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Georgia" w:cs="Georgia" w:eastAsia="SimSun" w:hAnsi="Georgia"/>
          <w:sz w:val="20"/>
          <w:szCs w:val="20"/>
        </w:rPr>
        <w:t xml:space="preserve"/>
      </w:r>
    </w:p>
    <w:p>
      <w:pPr>
        <w:spacing w:after="1200"/>
        <w:jc w:val="center"/>
      </w:pPr>
      <w:r>
        <w:rPr>
          <w:rFonts w:ascii="Georgia" w:cs="Georgia" w:eastAsia="SimSun" w:hAnsi="Georgia"/>
          <w:b/>
          <w:bCs/>
          <w:color w:val="6B7F94"/>
          <w:sz w:val="16"/>
          <w:szCs w:val="16"/>
        </w:rPr>
        <w:t xml:space="preserve">UNCLASSIFIED // ECONOMIC PLANNING ANALYSIS // NOT A BUDGETARY COMMITMENT</w:t>
      </w:r>
    </w:p>
    <w:p>
      <w:pPr>
        <w:spacing w:after="120"/>
        <w:jc w:val="center"/>
      </w:pPr>
      <w:r>
        <w:rPr>
          <w:rFonts w:ascii="Georgia" w:cs="Georgia" w:eastAsia="SimSun" w:hAnsi="Georgia"/>
          <w:b/>
          <w:bCs/>
          <w:color w:val="1F3A5F"/>
          <w:sz w:val="56"/>
          <w:szCs w:val="56"/>
        </w:rPr>
        <w:t xml:space="preserve">THE ECONOMIC NORTHERN HORIZON OUTLOOK</w:t>
      </w:r>
    </w:p>
    <w:p>
      <w:pPr>
        <w:spacing w:after="400"/>
        <w:jc w:val="center"/>
      </w:pPr>
      <w:r>
        <w:rPr>
          <w:rFonts w:ascii="Georgia" w:cs="Georgia" w:eastAsia="SimSun" w:hAnsi="Georgia"/>
          <w:b/>
          <w:bCs/>
          <w:color w:val="2E7D6E"/>
          <w:sz w:val="40"/>
          <w:szCs w:val="40"/>
        </w:rPr>
        <w:t xml:space="preserve">v6.1</w:t>
      </w:r>
    </w:p>
    <w:p>
      <w:pPr>
        <w:pBdr>
          <w:bottom w:val="single" w:color="C9A227" w:sz="12" w:space="1"/>
        </w:pBdr>
        <w:spacing w:after="200"/>
        <w:ind w:left="720" w:right="720"/>
      </w:pPr>
      <w:r>
        <w:rPr>
          <w:rFonts w:ascii="Georgia" w:cs="Georgia" w:eastAsia="SimSun" w:hAnsi="Georgia"/>
          <w:sz w:val="8"/>
          <w:szCs w:val="8"/>
        </w:rPr>
        <w:t xml:space="preserve"> </w:t>
      </w:r>
    </w:p>
    <w:p>
      <w:pPr>
        <w:spacing w:after="60"/>
        <w:jc w:val="center"/>
      </w:pPr>
      <w:r>
        <w:rPr>
          <w:rFonts w:ascii="Georgia" w:cs="Georgia" w:eastAsia="SimSun" w:hAnsi="Georgia"/>
          <w:color w:val="1F3A5F"/>
          <w:sz w:val="26"/>
          <w:szCs w:val="26"/>
        </w:rPr>
        <w:t xml:space="preserve">Seventeen Fleet Sizes, One Economic Question:</w:t>
      </w:r>
    </w:p>
    <w:p>
      <w:pPr>
        <w:spacing w:after="700"/>
        <w:jc w:val="center"/>
      </w:pPr>
      <w:r>
        <w:rPr>
          <w:rFonts w:ascii="Georgia" w:cs="Georgia" w:eastAsia="SimSun" w:hAnsi="Georgia"/>
          <w:color w:val="6B7F94"/>
          <w:sz w:val="22"/>
          <w:szCs w:val="22"/>
        </w:rPr>
        <w:t xml:space="preserve">Gripen E Acquisition, Sprinter, Striker and Arctic Augmentation Costs, Job Gains by Section and Province, and Industrial Return Across the Full Quantity Spectrum</w:t>
      </w:r>
    </w:p>
    <w:p>
      <w:pPr>
        <w:spacing w:after="60"/>
        <w:jc w:val="center"/>
      </w:pPr>
      <w:r>
        <w:rPr>
          <w:rFonts w:ascii="Georgia" w:cs="Georgia" w:eastAsia="SimSun" w:hAnsi="Georgia"/>
          <w:b/>
          <w:bCs/>
          <w:sz w:val="20"/>
          <w:szCs w:val="20"/>
        </w:rPr>
        <w:t xml:space="preserve">ECD-NHZN-2026-006 · Issue 6.1</w:t>
      </w:r>
    </w:p>
    <w:p>
      <w:pPr>
        <w:spacing w:after="60"/>
        <w:jc w:val="center"/>
      </w:pPr>
      <w:r>
        <w:rPr>
          <w:rFonts w:ascii="Georgia" w:cs="Georgia" w:eastAsia="SimSun" w:hAnsi="Georgia"/>
          <w:sz w:val="20"/>
          <w:szCs w:val="20"/>
        </w:rPr>
        <w:t xml:space="preserve">Economic Planning Baseline: v6.1 Package Companion Analysis</w:t>
      </w:r>
    </w:p>
    <w:p>
      <w:pPr>
        <w:spacing w:after="60"/>
        <w:jc w:val="center"/>
      </w:pPr>
      <w:r>
        <w:rPr>
          <w:rFonts w:ascii="Georgia" w:cs="Georgia" w:eastAsia="SimSun" w:hAnsi="Georgia"/>
          <w:color w:val="6B7F94"/>
          <w:sz w:val="18"/>
          <w:szCs w:val="18"/>
        </w:rPr>
        <w:t xml:space="preserve">Companion to AGA-PRC-061 · SPR-AIR-PPP-006 · STR-AIR-PPP-003 · DCT-OD-2026-001</w:t>
      </w:r>
    </w:p>
    <w:p>
      <w:pPr>
        <w:spacing w:after="900"/>
        <w:jc w:val="center"/>
      </w:pPr>
      <w:r>
        <w:rPr>
          <w:rFonts w:ascii="Georgia" w:cs="Georgia" w:eastAsia="SimSun" w:hAnsi="Georgia"/>
          <w:color w:val="6B7F94"/>
          <w:sz w:val="18"/>
          <w:szCs w:val="18"/>
        </w:rPr>
        <w:t xml:space="preserve">Programme Procurement Baselines of September 2026 · All Prices in 2026 Canadian Dollars</w:t>
      </w:r>
    </w:p>
    <w:p>
      <w:pPr>
        <w:spacing w:after="40"/>
        <w:jc w:val="center"/>
      </w:pPr>
      <w:r>
        <w:rPr>
          <w:rFonts w:ascii="Georgia" w:cs="Georgia" w:eastAsia="SimSun" w:hAnsi="Georgia"/>
          <w:b/>
          <w:bCs/>
          <w:color w:val="6B7F94"/>
          <w:sz w:val="16"/>
          <w:szCs w:val="16"/>
        </w:rPr>
        <w:t xml:space="preserve">PREPARED FOR</w:t>
      </w:r>
    </w:p>
    <w:p>
      <w:pPr>
        <w:spacing w:after="200"/>
        <w:jc w:val="center"/>
      </w:pPr>
      <w:r>
        <w:rPr>
          <w:rFonts w:ascii="Georgia" w:cs="Georgia" w:eastAsia="SimSun" w:hAnsi="Georgia"/>
          <w:sz w:val="20"/>
          <w:szCs w:val="20"/>
        </w:rPr>
        <w:t xml:space="preserve">Future Fighter Capability Project: Assistant Deputy Minister (Materiel)</w:t>
      </w:r>
    </w:p>
    <w:p>
      <w:pPr>
        <w:spacing w:after="40"/>
        <w:jc w:val="center"/>
      </w:pPr>
      <w:r>
        <w:rPr>
          <w:rFonts w:ascii="Georgia" w:cs="Georgia" w:eastAsia="SimSun" w:hAnsi="Georgia"/>
          <w:b/>
          <w:bCs/>
          <w:color w:val="6B7F94"/>
          <w:sz w:val="16"/>
          <w:szCs w:val="16"/>
        </w:rPr>
        <w:t xml:space="preserve">PREPARED BY</w:t>
      </w:r>
    </w:p>
    <w:p>
      <w:pPr>
        <w:spacing w:after="200"/>
        <w:jc w:val="center"/>
      </w:pPr>
      <w:r>
        <w:rPr>
          <w:rFonts w:ascii="Georgia" w:cs="Georgia" w:eastAsia="SimSun" w:hAnsi="Georgia"/>
          <w:sz w:val="20"/>
          <w:szCs w:val="20"/>
        </w:rPr>
        <w:t xml:space="preserve">Defence Industrial Economics Directorate</w:t>
      </w:r>
    </w:p>
    <w:p>
      <w:pPr>
        <w:spacing w:after="40"/>
        <w:jc w:val="center"/>
      </w:pPr>
      <w:r>
        <w:rPr>
          <w:rFonts w:ascii="Georgia" w:cs="Georgia" w:eastAsia="SimSun" w:hAnsi="Georgia"/>
          <w:color w:val="6B7F94"/>
          <w:sz w:val="18"/>
          <w:szCs w:val="18"/>
        </w:rPr>
        <w:t xml:space="preserve">Issued at Ottawa, Ontario, National Defence Headquarters</w:t>
      </w:r>
    </w:p>
    <w:p>
      <w:pPr>
        <w:spacing w:after="500"/>
        <w:jc w:val="center"/>
      </w:pPr>
      <w:r>
        <w:rPr>
          <w:rFonts w:ascii="Georgia" w:cs="Georgia" w:eastAsia="SimSun" w:hAnsi="Georgia"/>
          <w:color w:val="6B7F94"/>
          <w:sz w:val="18"/>
          <w:szCs w:val="18"/>
        </w:rPr>
        <w:t xml:space="preserve">This Sixth Day of September, Two Thousand Twenty-Six</w:t>
      </w:r>
    </w:p>
    <w:p>
      <w:pPr>
        <w:spacing w:after="0"/>
        <w:jc w:val="center"/>
      </w:pPr>
      <w:r>
        <w:rPr>
          <w:rFonts w:ascii="Georgia" w:cs="Georgia" w:eastAsia="SimSun" w:hAnsi="Georgia"/>
          <w:i/>
          <w:iCs/>
          <w:color w:val="6B7F94"/>
          <w:sz w:val="16"/>
          <w:szCs w:val="16"/>
        </w:rPr>
        <w:t xml:space="preserve">This document is an economic planning analysis, not a budgetary commitment. Programme figures derive from the three governing v6.1 procurement packages and from the reference documents named in Appendix D.</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Document Control</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200"/>
        <w:gridCol w:w="7160"/>
      </w:tblGrid>
      <w:tr>
        <w:trPr>
          <w:tblHeader/>
        </w:trPr>
        <w:tc>
          <w:tcPr>
            <w:tcW w:type="dxa" w:w="22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8"/>
                <w:szCs w:val="18"/>
              </w:rPr>
              <w:t xml:space="preserve">Field</w:t>
            </w:r>
          </w:p>
        </w:tc>
        <w:tc>
          <w:tcPr>
            <w:tcW w:type="dxa" w:w="716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8"/>
                <w:szCs w:val="18"/>
              </w:rPr>
              <w:t xml:space="preserve">Entry</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8"/>
                <w:szCs w:val="18"/>
              </w:rPr>
              <w:t xml:space="preserve">Document</w:t>
            </w:r>
          </w:p>
        </w:tc>
        <w:tc>
          <w:tcPr>
            <w:tcW w:type="dxa" w:w="716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8"/>
                <w:szCs w:val="18"/>
              </w:rPr>
              <w:t xml:space="preserve">The Economic Northern Horizon Outlook v6.1</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8"/>
                <w:szCs w:val="18"/>
              </w:rPr>
              <w:t xml:space="preserve">Document number</w:t>
            </w:r>
          </w:p>
        </w:tc>
        <w:tc>
          <w:tcPr>
            <w:tcW w:type="dxa" w:w="716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8"/>
                <w:szCs w:val="18"/>
              </w:rPr>
              <w:t xml:space="preserve">ECD-NHZN-2026-006, Issue 6.1</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8"/>
                <w:szCs w:val="18"/>
              </w:rPr>
              <w:t xml:space="preserve">Reference document</w:t>
            </w:r>
          </w:p>
        </w:tc>
        <w:tc>
          <w:tcPr>
            <w:tcW w:type="dxa" w:w="716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8"/>
                <w:szCs w:val="18"/>
              </w:rPr>
              <w:t xml:space="preserve">The Economic Northern Horizon Outlook (ECD-ARCTIC-2026-001, Final, June 2026), the v5.0-era economic deep dive</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8"/>
                <w:szCs w:val="18"/>
              </w:rPr>
              <w:t xml:space="preserve">Companion baselines</w:t>
            </w:r>
          </w:p>
        </w:tc>
        <w:tc>
          <w:tcPr>
            <w:tcW w:type="dxa" w:w="716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8"/>
                <w:szCs w:val="18"/>
              </w:rPr>
              <w:t xml:space="preserve">AGA-PRC-061 Issue 6.1; SPR-AIR-PPP-006 v6.1; STR-AIR-PPP-003 v6.1; DCT-OD-2026-001 v6.1</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8"/>
                <w:szCs w:val="18"/>
              </w:rPr>
              <w:t xml:space="preserve">Currency</w:t>
            </w:r>
          </w:p>
        </w:tc>
        <w:tc>
          <w:tcPr>
            <w:tcW w:type="dxa" w:w="716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8"/>
                <w:szCs w:val="18"/>
              </w:rPr>
              <w:t xml:space="preserve">2026 Canadian dollars throughout; the residual USD anchor for the Gripen E aircraft reference converts at the 1.35 CAD/USD planning rate</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8"/>
                <w:szCs w:val="18"/>
              </w:rPr>
              <w:t xml:space="preserve">Scope rule</w:t>
            </w:r>
          </w:p>
        </w:tc>
        <w:tc>
          <w:tcPr>
            <w:tcW w:type="dxa" w:w="716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8"/>
                <w:szCs w:val="18"/>
              </w:rPr>
              <w:t xml:space="preserve">Northern Horizon programme totals cover Gripen augmentation packages, Sprinter procurement and Striker procurement. Part III prices Gripen E aircraft acquisition separately, as its own account, never inside programme totals</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8"/>
                <w:szCs w:val="18"/>
              </w:rPr>
              <w:t xml:space="preserve">Fleet quantities</w:t>
            </w:r>
          </w:p>
        </w:tc>
        <w:tc>
          <w:tcPr>
            <w:tcW w:type="dxa" w:w="716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8"/>
                <w:szCs w:val="18"/>
              </w:rPr>
              <w:t xml:space="preserve">17 candidate fleet sizes: 10, 15, 20, 25, 28, 30, 35, 38, 40, 45, 50, 55, 58, 60, 65, 70 and 72</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8"/>
                <w:szCs w:val="18"/>
              </w:rPr>
              <w:t xml:space="preserve">Status</w:t>
            </w:r>
          </w:p>
        </w:tc>
        <w:tc>
          <w:tcPr>
            <w:tcW w:type="dxa" w:w="716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8"/>
                <w:szCs w:val="18"/>
              </w:rPr>
              <w:t xml:space="preserve">Economic planning analysis, not a budgetary commitment</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8"/>
                <w:szCs w:val="18"/>
              </w:rPr>
              <w:t xml:space="preserve">Verification</w:t>
            </w:r>
          </w:p>
        </w:tc>
        <w:tc>
          <w:tcPr>
            <w:tcW w:type="dxa" w:w="716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8"/>
                <w:szCs w:val="18"/>
              </w:rPr>
              <w:t xml:space="preserve">PACKAGE / CARRIED / PUBLISHED / CALCULATED / ESTIMATE tags; Appendix B registers the population</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8"/>
                <w:szCs w:val="18"/>
              </w:rPr>
              <w:t xml:space="preserve">Issue date</w:t>
            </w:r>
          </w:p>
        </w:tc>
        <w:tc>
          <w:tcPr>
            <w:tcW w:type="dxa" w:w="716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8"/>
                <w:szCs w:val="18"/>
              </w:rPr>
              <w:t xml:space="preserve">6 September 2026</w:t>
            </w:r>
          </w:p>
        </w:tc>
      </w:tr>
    </w:tbl>
    <w:p>
      <w:pPr>
        <w:spacing w:after="140" w:line="300"/>
      </w:pPr>
      <w:r>
        <w:rPr>
          <w:rFonts w:ascii="Georgia" w:cs="Georgia" w:eastAsia="SimSun" w:hAnsi="Georgia"/>
          <w:sz w:val="22"/>
          <w:szCs w:val="22"/>
        </w:rPr>
        <w:t xml:space="preserve"/>
      </w:r>
    </w:p>
    <w:p>
      <w:pPr>
        <w:spacing w:after="160"/>
      </w:pPr>
      <w:r>
        <w:rPr>
          <w:rFonts w:ascii="Georgia" w:cs="Georgia" w:eastAsia="SimSun" w:hAnsi="Georgia"/>
          <w:color w:val="6B7F94"/>
          <w:sz w:val="18"/>
          <w:szCs w:val="18"/>
        </w:rPr>
        <w:t xml:space="preserve">This Outlook replaces the v5.0-era Economic Northern Horizon Outlook as the economic companion to the v6.1 procurement baselines. The earlier issue priced a single reference fleet and kept the Gripen E aircraft purchase inside programme cost. This issue prices seventeen fleet sizes per element and separates Gripen E aircraft acquisition into its own part.</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Table of Contents</w:t>
      </w:r>
    </w:p>
    <w:p>
      <w:pPr>
        <w:spacing w:after="160"/>
      </w:pPr>
      <w:r>
        <w:rPr>
          <w:rFonts w:ascii="Georgia" w:cs="Georgia" w:eastAsia="SimSun" w:hAnsi="Georgia"/>
          <w:color w:val="6B7F94"/>
          <w:sz w:val="18"/>
          <w:szCs w:val="18"/>
        </w:rPr>
        <w:t xml:space="preserve">Right-click the table and select Update Field to refresh page numbers.</w:t>
      </w:r>
    </w:p>
    <w:sdt xmlns:w="http://schemas.openxmlformats.org/wordprocessingml/2006/main">
      <w:sdtPr>
        <w:alias w:val="Table of Contents"/>
      </w:sdtPr>
      <w:sdtContent>
        <w:p>
          <w:r>
            <w:fldChar w:fldCharType="begin" w:dirty="true"/>
            <w:instrText xml:space="preserve"> TOC \o "1-2" \h \z \u </w:instrText>
            <w:fldChar w:fldCharType="separate"/>
          </w:r>
        </w:p>
        <w:p>
          <w:pPr>
            <w:pStyle w:val="TOC1"/>
            <w:tabs>
              <w:tab w:val="right" w:leader="dot" w:pos="9000"/>
            </w:tabs>
            <w:ind w:left="0"/>
          </w:pPr>
          <w:r>
            <w:t>Executive Summary</w:t>
          </w:r>
          <w:r>
            <w:tab/>
          </w:r>
          <w:r>
            <w:t>4</w:t>
          </w:r>
        </w:p>
        <w:p>
          <w:pPr>
            <w:pStyle w:val="TOC1"/>
            <w:tabs>
              <w:tab w:val="right" w:leader="dot" w:pos="9000"/>
            </w:tabs>
            <w:ind w:left="0"/>
          </w:pPr>
          <w:r>
            <w:t>Part I. Introduction, Scope and Methodology</w:t>
          </w:r>
          <w:r>
            <w:tab/>
          </w:r>
          <w:r>
            <w:t>6</w:t>
          </w:r>
        </w:p>
        <w:p>
          <w:pPr>
            <w:pStyle w:val="TOC2"/>
            <w:tabs>
              <w:tab w:val="right" w:leader="dot" w:pos="9000"/>
            </w:tabs>
            <w:ind w:left="360"/>
          </w:pPr>
          <w:r>
            <w:t>1.1 Purpose and Scope</w:t>
          </w:r>
          <w:r>
            <w:tab/>
          </w:r>
          <w:r>
            <w:t>6</w:t>
          </w:r>
        </w:p>
        <w:p>
          <w:pPr>
            <w:pStyle w:val="TOC2"/>
            <w:tabs>
              <w:tab w:val="right" w:leader="dot" w:pos="9000"/>
            </w:tabs>
            <w:ind w:left="360"/>
          </w:pPr>
          <w:r>
            <w:t>1.2 Analytical Framework</w:t>
          </w:r>
          <w:r>
            <w:tab/>
          </w:r>
          <w:r>
            <w:t>6</w:t>
          </w:r>
        </w:p>
        <w:p>
          <w:pPr>
            <w:pStyle w:val="TOC2"/>
            <w:tabs>
              <w:tab w:val="right" w:leader="dot" w:pos="9000"/>
            </w:tabs>
            <w:ind w:left="360"/>
          </w:pPr>
          <w:r>
            <w:t>1.3 Data Sources and Verification Tags</w:t>
          </w:r>
          <w:r>
            <w:tab/>
          </w:r>
          <w:r>
            <w:t>7</w:t>
          </w:r>
        </w:p>
        <w:p>
          <w:pPr>
            <w:pStyle w:val="TOC2"/>
            <w:tabs>
              <w:tab w:val="right" w:leader="dot" w:pos="9000"/>
            </w:tabs>
            <w:ind w:left="360"/>
          </w:pPr>
          <w:r>
            <w:t>1.4 Relationship to the Prior Issue</w:t>
          </w:r>
          <w:r>
            <w:tab/>
          </w:r>
          <w:r>
            <w:t>7</w:t>
          </w:r>
        </w:p>
        <w:p>
          <w:pPr>
            <w:pStyle w:val="TOC1"/>
            <w:tabs>
              <w:tab w:val="right" w:leader="dot" w:pos="9000"/>
            </w:tabs>
            <w:ind w:left="0"/>
          </w:pPr>
          <w:r>
            <w:t>Part II. The v6.1 Procurement Packages</w:t>
          </w:r>
          <w:r>
            <w:tab/>
          </w:r>
          <w:r>
            <w:t>8</w:t>
          </w:r>
        </w:p>
        <w:p>
          <w:pPr>
            <w:pStyle w:val="TOC2"/>
            <w:tabs>
              <w:tab w:val="right" w:leader="dot" w:pos="9000"/>
            </w:tabs>
            <w:ind w:left="360"/>
          </w:pPr>
          <w:r>
            <w:t>2.1 The Three Governing Packages</w:t>
          </w:r>
          <w:r>
            <w:tab/>
          </w:r>
          <w:r>
            <w:t>8</w:t>
          </w:r>
        </w:p>
        <w:p>
          <w:pPr>
            <w:pStyle w:val="TOC2"/>
            <w:tabs>
              <w:tab w:val="right" w:leader="dot" w:pos="9000"/>
            </w:tabs>
            <w:ind w:left="360"/>
          </w:pPr>
          <w:r>
            <w:t>2.2 Recurring and Non-Recurring Separation</w:t>
          </w:r>
          <w:r>
            <w:tab/>
          </w:r>
          <w:r>
            <w:t>9</w:t>
          </w:r>
        </w:p>
        <w:p>
          <w:pPr>
            <w:pStyle w:val="TOC2"/>
            <w:tabs>
              <w:tab w:val="right" w:leader="dot" w:pos="9000"/>
            </w:tabs>
            <w:ind w:left="360"/>
          </w:pPr>
          <w:r>
            <w:t>2.3 What the Baseline Excludes</w:t>
          </w:r>
          <w:r>
            <w:tab/>
          </w:r>
          <w:r>
            <w:t>9</w:t>
          </w:r>
        </w:p>
        <w:p>
          <w:pPr>
            <w:pStyle w:val="TOC1"/>
            <w:tabs>
              <w:tab w:val="right" w:leader="dot" w:pos="9000"/>
            </w:tabs>
            <w:ind w:left="0"/>
          </w:pPr>
          <w:r>
            <w:t>Part III. Gripen E Acquisition Cost by Fleet Size</w:t>
          </w:r>
          <w:r>
            <w:tab/>
          </w:r>
          <w:r>
            <w:t>10</w:t>
          </w:r>
        </w:p>
        <w:p>
          <w:pPr>
            <w:pStyle w:val="TOC2"/>
            <w:tabs>
              <w:tab w:val="right" w:leader="dot" w:pos="9000"/>
            </w:tabs>
            <w:ind w:left="360"/>
          </w:pPr>
          <w:r>
            <w:t>3.1 Pricing Basis and the Seventeen Fleet Sizes</w:t>
          </w:r>
          <w:r>
            <w:tab/>
          </w:r>
          <w:r>
            <w:t>10</w:t>
          </w:r>
        </w:p>
        <w:p>
          <w:pPr>
            <w:pStyle w:val="TOC2"/>
            <w:tabs>
              <w:tab w:val="right" w:leader="dot" w:pos="9000"/>
            </w:tabs>
            <w:ind w:left="360"/>
          </w:pPr>
          <w:r>
            <w:t>3.2 Employment from Gripen E Acquisition</w:t>
          </w:r>
          <w:r>
            <w:tab/>
          </w:r>
          <w:r>
            <w:t>11</w:t>
          </w:r>
        </w:p>
        <w:p>
          <w:pPr>
            <w:pStyle w:val="TOC2"/>
            <w:tabs>
              <w:tab w:val="right" w:leader="dot" w:pos="9000"/>
            </w:tabs>
            <w:ind w:left="360"/>
          </w:pPr>
          <w:r>
            <w:t>3.3 Gripen E against the F-35 Counterfactual</w:t>
          </w:r>
          <w:r>
            <w:tab/>
          </w:r>
          <w:r>
            <w:t>12</w:t>
          </w:r>
        </w:p>
        <w:p>
          <w:pPr>
            <w:pStyle w:val="TOC1"/>
            <w:tabs>
              <w:tab w:val="right" w:leader="dot" w:pos="9000"/>
            </w:tabs>
            <w:ind w:left="0"/>
          </w:pPr>
          <w:r>
            <w:t>Part IV. Sprinter Fleet-Size Economics</w:t>
          </w:r>
          <w:r>
            <w:tab/>
          </w:r>
          <w:r>
            <w:t>13</w:t>
          </w:r>
        </w:p>
        <w:p>
          <w:pPr>
            <w:pStyle w:val="TOC1"/>
            <w:tabs>
              <w:tab w:val="right" w:leader="dot" w:pos="9000"/>
            </w:tabs>
            <w:ind w:left="0"/>
          </w:pPr>
          <w:r>
            <w:t>Part V. Striker Fleet-Size Economics</w:t>
          </w:r>
          <w:r>
            <w:tab/>
          </w:r>
          <w:r>
            <w:t>15</w:t>
          </w:r>
        </w:p>
        <w:p>
          <w:pPr>
            <w:pStyle w:val="TOC1"/>
            <w:tabs>
              <w:tab w:val="right" w:leader="dot" w:pos="9000"/>
            </w:tabs>
            <w:ind w:left="0"/>
          </w:pPr>
          <w:r>
            <w:t>Part VI. Arctic Gripen Augmentation Fleet-Size Economics</w:t>
          </w:r>
          <w:r>
            <w:tab/>
          </w:r>
          <w:r>
            <w:t>17</w:t>
          </w:r>
        </w:p>
        <w:p>
          <w:pPr>
            <w:pStyle w:val="TOC1"/>
            <w:tabs>
              <w:tab w:val="right" w:leader="dot" w:pos="9000"/>
            </w:tabs>
            <w:ind w:left="0"/>
          </w:pPr>
          <w:r>
            <w:t>Part VII. Combined Northern Horizon Fleet Scenarios</w:t>
          </w:r>
          <w:r>
            <w:tab/>
          </w:r>
          <w:r>
            <w:t>19</w:t>
          </w:r>
        </w:p>
        <w:p>
          <w:pPr>
            <w:pStyle w:val="TOC2"/>
            <w:tabs>
              <w:tab w:val="right" w:leader="dot" w:pos="9000"/>
            </w:tabs>
            <w:ind w:left="360"/>
          </w:pPr>
          <w:r>
            <w:t>7.1 The Seventeen Combined Fleets</w:t>
          </w:r>
          <w:r>
            <w:tab/>
          </w:r>
          <w:r>
            <w:t>19</w:t>
          </w:r>
        </w:p>
        <w:p>
          <w:pPr>
            <w:pStyle w:val="TOC2"/>
            <w:tabs>
              <w:tab w:val="right" w:leader="dot" w:pos="9000"/>
            </w:tabs>
            <w:ind w:left="360"/>
          </w:pPr>
          <w:r>
            <w:t>7.2 Marginal Cost of Growth</w:t>
          </w:r>
          <w:r>
            <w:tab/>
          </w:r>
          <w:r>
            <w:t>20</w:t>
          </w:r>
        </w:p>
        <w:p>
          <w:pPr>
            <w:pStyle w:val="TOC2"/>
            <w:tabs>
              <w:tab w:val="right" w:leader="dot" w:pos="9000"/>
            </w:tabs>
            <w:ind w:left="360"/>
          </w:pPr>
          <w:r>
            <w:t>7.3 Mixed Configurations: Small, Medium, Large and Maximum</w:t>
          </w:r>
          <w:r>
            <w:tab/>
          </w:r>
          <w:r>
            <w:t>21</w:t>
          </w:r>
        </w:p>
        <w:p>
          <w:pPr>
            <w:pStyle w:val="TOC2"/>
            <w:tabs>
              <w:tab w:val="right" w:leader="dot" w:pos="9000"/>
            </w:tabs>
            <w:ind w:left="360"/>
          </w:pPr>
          <w:r>
            <w:t>7.4 The Entire Breadth of the Programme</w:t>
          </w:r>
          <w:r>
            <w:tab/>
          </w:r>
          <w:r>
            <w:t>21</w:t>
          </w:r>
        </w:p>
        <w:p>
          <w:pPr>
            <w:pStyle w:val="TOC1"/>
            <w:tabs>
              <w:tab w:val="right" w:leader="dot" w:pos="9000"/>
            </w:tabs>
            <w:ind w:left="0"/>
          </w:pPr>
          <w:r>
            <w:t>Part VIII. Employment by Fleet Size</w:t>
          </w:r>
          <w:r>
            <w:tab/>
          </w:r>
          <w:r>
            <w:t>22</w:t>
          </w:r>
        </w:p>
        <w:p>
          <w:pPr>
            <w:pStyle w:val="TOC2"/>
            <w:tabs>
              <w:tab w:val="right" w:leader="dot" w:pos="9000"/>
            </w:tabs>
            <w:ind w:left="360"/>
          </w:pPr>
          <w:r>
            <w:t>8.1 The Employment Model</w:t>
          </w:r>
          <w:r>
            <w:tab/>
          </w:r>
          <w:r>
            <w:t>22</w:t>
          </w:r>
        </w:p>
        <w:p>
          <w:pPr>
            <w:pStyle w:val="TOC2"/>
            <w:tabs>
              <w:tab w:val="right" w:leader="dot" w:pos="9000"/>
            </w:tabs>
            <w:ind w:left="360"/>
          </w:pPr>
          <w:r>
            <w:t>8.2 Reading the Employment Curve</w:t>
          </w:r>
          <w:r>
            <w:tab/>
          </w:r>
          <w:r>
            <w:t>23</w:t>
          </w:r>
        </w:p>
        <w:p>
          <w:pPr>
            <w:pStyle w:val="TOC2"/>
            <w:tabs>
              <w:tab w:val="right" w:leader="dot" w:pos="9000"/>
            </w:tabs>
            <w:ind w:left="360"/>
          </w:pPr>
          <w:r>
            <w:t>8.3 Employment Ramp</w:t>
          </w:r>
          <w:r>
            <w:tab/>
          </w:r>
          <w:r>
            <w:t>24</w:t>
          </w:r>
        </w:p>
        <w:p>
          <w:pPr>
            <w:pStyle w:val="TOC2"/>
            <w:tabs>
              <w:tab w:val="right" w:leader="dot" w:pos="9000"/>
            </w:tabs>
            <w:ind w:left="360"/>
          </w:pPr>
          <w:r>
            <w:t>8.4 Job Creation by Programme Element</w:t>
          </w:r>
          <w:r>
            <w:tab/>
          </w:r>
          <w:r>
            <w:t>24</w:t>
          </w:r>
        </w:p>
        <w:p>
          <w:pPr>
            <w:pStyle w:val="TOC2"/>
            <w:tabs>
              <w:tab w:val="right" w:leader="dot" w:pos="9000"/>
            </w:tabs>
            <w:ind w:left="360"/>
          </w:pPr>
          <w:r>
            <w:t>8.5 Occupational Composition</w:t>
          </w:r>
          <w:r>
            <w:tab/>
          </w:r>
          <w:r>
            <w:t>25</w:t>
          </w:r>
        </w:p>
        <w:p>
          <w:pPr>
            <w:pStyle w:val="TOC2"/>
            <w:tabs>
              <w:tab w:val="right" w:leader="dot" w:pos="9000"/>
            </w:tabs>
            <w:ind w:left="360"/>
          </w:pPr>
          <w:r>
            <w:t>8.6 Package-Published Support Manpower</w:t>
          </w:r>
          <w:r>
            <w:tab/>
          </w:r>
          <w:r>
            <w:t>26</w:t>
          </w:r>
        </w:p>
        <w:p>
          <w:pPr>
            <w:pStyle w:val="TOC2"/>
            <w:tabs>
              <w:tab w:val="right" w:leader="dot" w:pos="9000"/>
            </w:tabs>
            <w:ind w:left="360"/>
          </w:pPr>
          <w:r>
            <w:t>8.7 The Whole-Programme Employment Picture</w:t>
          </w:r>
          <w:r>
            <w:tab/>
          </w:r>
          <w:r>
            <w:t>27</w:t>
          </w:r>
        </w:p>
        <w:p>
          <w:pPr>
            <w:pStyle w:val="TOC1"/>
            <w:tabs>
              <w:tab w:val="right" w:leader="dot" w:pos="9000"/>
            </w:tabs>
            <w:ind w:left="0"/>
          </w:pPr>
          <w:r>
            <w:t>Part IX. Job Gains by Province and Region</w:t>
          </w:r>
          <w:r>
            <w:tab/>
          </w:r>
          <w:r>
            <w:t>28</w:t>
          </w:r>
        </w:p>
        <w:p>
          <w:pPr>
            <w:pStyle w:val="TOC2"/>
            <w:tabs>
              <w:tab w:val="right" w:leader="dot" w:pos="9000"/>
            </w:tabs>
            <w:ind w:left="360"/>
          </w:pPr>
          <w:r>
            <w:t>9.1 The Regional Model</w:t>
          </w:r>
          <w:r>
            <w:tab/>
          </w:r>
          <w:r>
            <w:t>28</w:t>
          </w:r>
        </w:p>
        <w:p>
          <w:pPr>
            <w:pStyle w:val="TOC2"/>
            <w:tabs>
              <w:tab w:val="right" w:leader="dot" w:pos="9000"/>
            </w:tabs>
            <w:ind w:left="360"/>
          </w:pPr>
          <w:r>
            <w:t>9.2 Quebec</w:t>
          </w:r>
          <w:r>
            <w:tab/>
          </w:r>
          <w:r>
            <w:t>29</w:t>
          </w:r>
        </w:p>
        <w:p>
          <w:pPr>
            <w:pStyle w:val="TOC2"/>
            <w:tabs>
              <w:tab w:val="right" w:leader="dot" w:pos="9000"/>
            </w:tabs>
            <w:ind w:left="360"/>
          </w:pPr>
          <w:r>
            <w:t>9.3 Ontario</w:t>
          </w:r>
          <w:r>
            <w:tab/>
          </w:r>
          <w:r>
            <w:t>30</w:t>
          </w:r>
        </w:p>
        <w:p>
          <w:pPr>
            <w:pStyle w:val="TOC2"/>
            <w:tabs>
              <w:tab w:val="right" w:leader="dot" w:pos="9000"/>
            </w:tabs>
            <w:ind w:left="360"/>
          </w:pPr>
          <w:r>
            <w:t>9.4 Western Canada</w:t>
          </w:r>
          <w:r>
            <w:tab/>
          </w:r>
          <w:r>
            <w:t>30</w:t>
          </w:r>
        </w:p>
        <w:p>
          <w:pPr>
            <w:pStyle w:val="TOC2"/>
            <w:tabs>
              <w:tab w:val="right" w:leader="dot" w:pos="9000"/>
            </w:tabs>
            <w:ind w:left="360"/>
          </w:pPr>
          <w:r>
            <w:t>9.5 Atlantic and Northern Canada</w:t>
          </w:r>
          <w:r>
            <w:tab/>
          </w:r>
          <w:r>
            <w:t>30</w:t>
          </w:r>
        </w:p>
        <w:p>
          <w:pPr>
            <w:pStyle w:val="TOC2"/>
            <w:tabs>
              <w:tab w:val="right" w:leader="dot" w:pos="9000"/>
            </w:tabs>
            <w:ind w:left="360"/>
          </w:pPr>
          <w:r>
            <w:t>9.6 Pan-Canadian Activity</w:t>
          </w:r>
          <w:r>
            <w:tab/>
          </w:r>
          <w:r>
            <w:t>31</w:t>
          </w:r>
        </w:p>
        <w:p>
          <w:pPr>
            <w:pStyle w:val="TOC1"/>
            <w:tabs>
              <w:tab w:val="right" w:leader="dot" w:pos="9000"/>
            </w:tabs>
            <w:ind w:left="0"/>
          </w:pPr>
          <w:r>
            <w:t>Part X. Canadian Industrial Capture and Supply Chain</w:t>
          </w:r>
          <w:r>
            <w:tab/>
          </w:r>
          <w:r>
            <w:t>32</w:t>
          </w:r>
        </w:p>
        <w:p>
          <w:pPr>
            <w:pStyle w:val="TOC1"/>
            <w:tabs>
              <w:tab w:val="right" w:leader="dot" w:pos="9000"/>
            </w:tabs>
            <w:ind w:left="0"/>
          </w:pPr>
          <w:r>
            <w:t>Part XI. GDP Contribution and Economic Growth</w:t>
          </w:r>
          <w:r>
            <w:tab/>
          </w:r>
          <w:r>
            <w:t>34</w:t>
          </w:r>
        </w:p>
        <w:p>
          <w:pPr>
            <w:pStyle w:val="TOC1"/>
            <w:tabs>
              <w:tab w:val="right" w:leader="dot" w:pos="9000"/>
            </w:tabs>
            <w:ind w:left="0"/>
          </w:pPr>
          <w:r>
            <w:t>Part XII. Lifecycle Economics: Ten, Twenty and Thirty Years</w:t>
          </w:r>
          <w:r>
            <w:tab/>
          </w:r>
          <w:r>
            <w:t>36</w:t>
          </w:r>
        </w:p>
        <w:p>
          <w:pPr>
            <w:pStyle w:val="TOC1"/>
            <w:tabs>
              <w:tab w:val="right" w:leader="dot" w:pos="9000"/>
            </w:tabs>
            <w:ind w:left="0"/>
          </w:pPr>
          <w:r>
            <w:t>Part XIII. Export and Industrial Spillover Scenarios</w:t>
          </w:r>
          <w:r>
            <w:tab/>
          </w:r>
          <w:r>
            <w:t>37</w:t>
          </w:r>
        </w:p>
        <w:p>
          <w:pPr>
            <w:pStyle w:val="TOC1"/>
            <w:tabs>
              <w:tab w:val="right" w:leader="dot" w:pos="9000"/>
            </w:tabs>
            <w:ind w:left="0"/>
          </w:pPr>
          <w:r>
            <w:t>Part XIV. Tax Revenue and Fiscal Impact</w:t>
          </w:r>
          <w:r>
            <w:tab/>
          </w:r>
          <w:r>
            <w:t>38</w:t>
          </w:r>
        </w:p>
        <w:p>
          <w:pPr>
            <w:pStyle w:val="TOC1"/>
            <w:tabs>
              <w:tab w:val="right" w:leader="dot" w:pos="9000"/>
            </w:tabs>
            <w:ind w:left="0"/>
          </w:pPr>
          <w:r>
            <w:t>Part XV. Sensitivity and Uncertainty Analysis</w:t>
          </w:r>
          <w:r>
            <w:tab/>
          </w:r>
          <w:r>
            <w:t>39</w:t>
          </w:r>
        </w:p>
        <w:p>
          <w:pPr>
            <w:pStyle w:val="TOC1"/>
            <w:tabs>
              <w:tab w:val="right" w:leader="dot" w:pos="9000"/>
            </w:tabs>
            <w:ind w:left="0"/>
          </w:pPr>
          <w:r>
            <w:t>Part XVI. The Fleet-Size Economic Decision Matrix and Comparisons</w:t>
          </w:r>
          <w:r>
            <w:tab/>
          </w:r>
          <w:r>
            <w:t>41</w:t>
          </w:r>
        </w:p>
        <w:p>
          <w:pPr>
            <w:pStyle w:val="TOC1"/>
            <w:tabs>
              <w:tab w:val="right" w:leader="dot" w:pos="9000"/>
            </w:tabs>
            <w:ind w:left="0"/>
          </w:pPr>
          <w:r>
            <w:t>Appendix A. Methodology Detail and Formulas</w:t>
          </w:r>
          <w:r>
            <w:tab/>
          </w:r>
          <w:r>
            <w:t>44</w:t>
          </w:r>
        </w:p>
        <w:p>
          <w:pPr>
            <w:pStyle w:val="TOC1"/>
            <w:tabs>
              <w:tab w:val="right" w:leader="dot" w:pos="9000"/>
            </w:tabs>
            <w:ind w:left="0"/>
          </w:pPr>
          <w:r>
            <w:t>Appendix B. Verification Status Register</w:t>
          </w:r>
          <w:r>
            <w:tab/>
          </w:r>
          <w:r>
            <w:t>45</w:t>
          </w:r>
        </w:p>
        <w:p>
          <w:pPr>
            <w:pStyle w:val="TOC1"/>
            <w:tabs>
              <w:tab w:val="right" w:leader="dot" w:pos="9000"/>
            </w:tabs>
            <w:ind w:left="0"/>
          </w:pPr>
          <w:r>
            <w:t>Appendix C. Traceability to the v6.1 Packages</w:t>
          </w:r>
          <w:r>
            <w:tab/>
          </w:r>
          <w:r>
            <w:t>46</w:t>
          </w:r>
        </w:p>
        <w:p>
          <w:pPr>
            <w:pStyle w:val="TOC1"/>
            <w:tabs>
              <w:tab w:val="right" w:leader="dot" w:pos="9000"/>
            </w:tabs>
            <w:ind w:left="0"/>
          </w:pPr>
          <w:r>
            <w:t>Appendix D. Sources and Bibliography</w:t>
          </w:r>
          <w:r>
            <w:tab/>
          </w:r>
          <w:r>
            <w:t>46</w:t>
          </w:r>
        </w:p>
        <w:p>
          <w:r>
            <w:fldChar w:fldCharType="end"/>
          </w:r>
        </w:p>
      </w:sdtContent>
    </w:sdt>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Executive Summary</w:t>
      </w:r>
    </w:p>
    <w:p>
      <w:pPr>
        <w:spacing w:after="140" w:line="300"/>
        <w:ind w:firstLine="431"/>
      </w:pPr>
      <w:r>
        <w:rPr>
          <w:rFonts w:ascii="Georgia" w:cs="Georgia" w:eastAsia="SimSun" w:hAnsi="Georgia"/>
          <w:sz w:val="22"/>
          <w:szCs w:val="22"/>
        </w:rPr>
        <w:t xml:space="preserve">This Outlook quantifies the economic impact of the Northern Horizon programme across every fleet size the v6.1 procurement packages price: seventeen quantities, from 10 to 72 aircraft, applied uniformly to the Optimal Sprinter uncrewed loyal wingman (SPR-AIR-PPP-006), the Optimal Striker survivable uncrewed combat aircraft (STR-AIR-PPP-003) and the Optimal Arctic Gripen augmentation package (AGA-PRC-061). A fleet size of N means N Sprinters, N Strikers and N Gripen E augmentation kits. At the request of the programme office, this issue additionally prices Gripen E aircraft acquisition at each of the seventeen fleet sizes in Part III, as a separate account outside the Northern Horizon programme totals. The analysis measures programme cost, Canadian industrial capture, direct, indirect and induced employment, job gains by section and by province, GDP contribution, tax revenue and lifecycle economics for each of the seventeen quantities, and it closes with a decision matrix rather than a pre-selected fleet.</w:t>
      </w:r>
    </w:p>
    <w:p>
      <w:pPr>
        <w:spacing w:after="140" w:line="300"/>
        <w:ind w:firstLine="431"/>
      </w:pPr>
      <w:r>
        <w:rPr>
          <w:rFonts w:ascii="Georgia" w:cs="Georgia" w:eastAsia="SimSun" w:hAnsi="Georgia"/>
          <w:sz w:val="22"/>
          <w:szCs w:val="22"/>
        </w:rPr>
        <w:t xml:space="preserve">Two scope rules govern every figure. First, Northern Horizon programme totals price only the three v6.1 packages: the Gripen element buys the Arctic augmentation package exactly as AGA-PRC-061 defines it, and the Gripen E aircraft purchase stands alone in Part III. Second, every fleet quantity carries its own quantity-specific pricing from the governing packages: the Sprinter and Striker learning curves, the fixed non-recurring engineering accounts, the support-node formulas and the infrastructure formulas all apply per quantity. No fleet total in this Outlook derives from multiplying a 72-aircraft unit price by a smaller number.</w:t>
      </w:r>
    </w:p>
    <w:p>
      <w:pPr>
        <w:spacing w:after="140" w:line="300"/>
        <w:ind w:firstLine="431"/>
      </w:pPr>
      <w:r>
        <w:rPr>
          <w:rFonts w:ascii="Georgia" w:cs="Georgia" w:eastAsia="SimSun" w:hAnsi="Georgia"/>
          <w:sz w:val="22"/>
          <w:szCs w:val="22"/>
        </w:rPr>
        <w:t xml:space="preserve">Headline finding. Fleet size moves cost far less than it moves capability. Combined Northern Horizon acquisition rises from C$5.47 billion at fleet size 10 to C$9.52 billion at fleet size 72, a factor of 1.74, while the aircraft count rises by a factor of 7.2. The reason sits in the fixed accounts: C$3.90 billion of non-recurring engineering across the three packages, plus fixed support, infrastructure and training bases, lands on every programme regardless of quantity. All-in cost per aircraft element falls from C$182M at 10 aircraft of each type to C$44M at 72. Gripen E aircraft acquisition, priced separately at the US$85.0M normalized reference (C$114.75M at the 1.35 planning rate), adds C$1.15 billion at fleet size 10 to C$8.26 billion at fleet size 72, and the fleet acquisition RFP remains the closing event for that figure.</w:t>
      </w:r>
    </w:p>
    <w:p>
      <w:pPr>
        <w:spacing w:after="100" w:before="120"/>
        <w:jc w:val="center"/>
      </w:pPr>
      <w:r>
        <w:rPr>
          <w:rFonts w:ascii="Georgia" w:cs="Georgia" w:eastAsia="SimSun" w:hAnsi="Georgia"/>
          <w:i/>
          <w:iCs/>
          <w:color w:val="6B7F94"/>
          <w:sz w:val="18"/>
          <w:szCs w:val="18"/>
        </w:rPr>
        <w:t xml:space="preserve">Table ES-1. Headline figures at five anchor fleet sizes (2026 CAD; full seventeen-quantity tables in Parts IV to XIV)</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900"/>
        <w:gridCol w:w="1243"/>
        <w:gridCol w:w="1243"/>
        <w:gridCol w:w="1243"/>
        <w:gridCol w:w="1243"/>
        <w:gridCol w:w="1243"/>
        <w:gridCol w:w="1245"/>
      </w:tblGrid>
      <w:tr>
        <w:trPr>
          <w:tblHeader/>
        </w:trPr>
        <w:tc>
          <w:tcPr>
            <w:tcW w:type="dxa" w:w="19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Fleet size</w:t>
            </w:r>
          </w:p>
        </w:tc>
        <w:tc>
          <w:tcPr>
            <w:tcW w:type="dxa" w:w="1243"/>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5"/>
                <w:szCs w:val="15"/>
              </w:rPr>
              <w:t xml:space="preserve">Combined acq.</w:t>
            </w:r>
          </w:p>
        </w:tc>
        <w:tc>
          <w:tcPr>
            <w:tcW w:type="dxa" w:w="1243"/>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5"/>
                <w:szCs w:val="15"/>
              </w:rPr>
              <w:t xml:space="preserve">Canadian capture</w:t>
            </w:r>
          </w:p>
        </w:tc>
        <w:tc>
          <w:tcPr>
            <w:tcW w:type="dxa" w:w="1243"/>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5"/>
                <w:szCs w:val="15"/>
              </w:rPr>
              <w:t xml:space="preserve">Total jobs (peak)</w:t>
            </w:r>
          </w:p>
        </w:tc>
        <w:tc>
          <w:tcPr>
            <w:tcW w:type="dxa" w:w="1243"/>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5"/>
                <w:szCs w:val="15"/>
              </w:rPr>
              <w:t xml:space="preserve">GDP, 10-year</w:t>
            </w:r>
          </w:p>
        </w:tc>
        <w:tc>
          <w:tcPr>
            <w:tcW w:type="dxa" w:w="1243"/>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5"/>
                <w:szCs w:val="15"/>
              </w:rPr>
              <w:t xml:space="preserve">Tax, 10-year</w:t>
            </w:r>
          </w:p>
        </w:tc>
        <w:tc>
          <w:tcPr>
            <w:tcW w:type="dxa" w:w="1245"/>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5"/>
                <w:szCs w:val="15"/>
              </w:rPr>
              <w:t xml:space="preserve">Lifecycle, 30-yr</w:t>
            </w:r>
          </w:p>
        </w:tc>
      </w:tr>
      <w:tr>
        <w:trPr>
          <w:tblHeader w:val="false"/>
        </w:trPr>
        <w:tc>
          <w:tcPr>
            <w:tcW w:type="dxa" w:w="1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10 of each type (30 aircraft)</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C$5,467M</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C$4,359M (79.7%)</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6,447</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C$12,533M</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C$2,105M</w:t>
            </w:r>
          </w:p>
        </w:tc>
        <w:tc>
          <w:tcPr>
            <w:tcW w:type="dxa" w:w="124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C$10,279M</w:t>
            </w:r>
          </w:p>
        </w:tc>
      </w:tr>
      <w:tr>
        <w:trPr>
          <w:tblHeader w:val="false"/>
        </w:trPr>
        <w:tc>
          <w:tcPr>
            <w:tcW w:type="dxa" w:w="1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28 of each type (84 aircraft)</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C$6,703M</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C$4,976M (74.2%)</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8,358</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C$15,166M</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C$2,630M</w:t>
            </w:r>
          </w:p>
        </w:tc>
        <w:tc>
          <w:tcPr>
            <w:tcW w:type="dxa" w:w="124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C$13,581M</w:t>
            </w:r>
          </w:p>
        </w:tc>
      </w:tr>
      <w:tr>
        <w:trPr>
          <w:tblHeader w:val="false"/>
        </w:trPr>
        <w:tc>
          <w:tcPr>
            <w:tcW w:type="dxa" w:w="1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40 of each type (120 aircraft)</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C$7,497M</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C$5,393M (71.9%)</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8,710</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C$16,933M</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C$2,779M</w:t>
            </w:r>
          </w:p>
        </w:tc>
        <w:tc>
          <w:tcPr>
            <w:tcW w:type="dxa" w:w="124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C$15,753M</w:t>
            </w:r>
          </w:p>
        </w:tc>
      </w:tr>
      <w:tr>
        <w:trPr>
          <w:tblHeader w:val="false"/>
        </w:trPr>
        <w:tc>
          <w:tcPr>
            <w:tcW w:type="dxa" w:w="1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60 of each type (180 aircraft)</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C$8,778M</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C$6,094M (69.4%)</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9,323</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C$19,892M</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C$3,035M</w:t>
            </w:r>
          </w:p>
        </w:tc>
        <w:tc>
          <w:tcPr>
            <w:tcW w:type="dxa" w:w="124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C$19,330M</w:t>
            </w:r>
          </w:p>
        </w:tc>
      </w:tr>
      <w:tr>
        <w:trPr>
          <w:tblHeader w:val="false"/>
        </w:trPr>
        <w:tc>
          <w:tcPr>
            <w:tcW w:type="dxa" w:w="1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72 of each type (216 aircraft)</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C$9,525M</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C$6,517M (68.4%)</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9,691</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C$21,675M</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C$3,189M</w:t>
            </w:r>
          </w:p>
        </w:tc>
        <w:tc>
          <w:tcPr>
            <w:tcW w:type="dxa" w:w="124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C$21,454M</w:t>
            </w:r>
          </w:p>
        </w:tc>
      </w:tr>
    </w:tbl>
    <w:p>
      <w:pPr>
        <w:spacing w:after="160"/>
      </w:pPr>
      <w:r>
        <w:rPr>
          <w:rFonts w:ascii="Georgia" w:cs="Georgia" w:eastAsia="SimSun" w:hAnsi="Georgia"/>
          <w:color w:val="6B7F94"/>
          <w:sz w:val="18"/>
          <w:szCs w:val="18"/>
        </w:rPr>
        <w:t xml:space="preserve">Sources: SPR-AIR-PPP-006 Part XVI, STR-AIR-PPP-003 Part IX, AGA-PRC-061 Part XIII (PACKAGE); jobs, GDP and tax computed by the methodology of Appendix A (CALCULATED). Gripen E aircraft acquisition sits outside every figure in this table.</w:t>
      </w:r>
    </w:p>
    <w:p>
      <w:pPr>
        <w:spacing w:after="140" w:line="300"/>
        <w:ind w:firstLine="431"/>
      </w:pPr>
      <w:r>
        <w:rPr>
          <w:rFonts w:ascii="Georgia" w:cs="Georgia" w:eastAsia="SimSun" w:hAnsi="Georgia"/>
          <w:sz w:val="22"/>
          <w:szCs w:val="22"/>
        </w:rPr>
        <w:t xml:space="preserve">Jobs. Peak Northern Horizon employment runs from 6,447 total jobs (2,653 direct) at fleet size 10 to 9,691 total jobs (3,988 direct) at fleet size 72. Fixed development work lifts even the smallest option: the three packages carry C$3.90 billion of non-recurring engineering, and that engineering happens once whether Canada buys ten aircraft or seventy-two. The Gripen E aircraft account, built line by line in Part III from the reference document's activity model, adds 2,019 to 5,670 direct jobs across the same quantity range: assembly and delivery at Mirabel, the propulsion depot workshare, mission systems and training, the supplier base, and the enduring sustainment and MRO enterprise. The whole programme therefore spans 11,353 total jobs at fleet size 10 to 23,470 at fleet size 72, exceeding the reference document's 20,630-job single-fleet figure from fleet size 58 upward. The packages' own published support-manpower tables corroborate the enduring layer with 183 to 513 headcount depending on fleet size. Quebec anchors employment at every quantity with roughly half of national direct jobs; Ontario follows near one fifth; Western Canada and the Atlantic and Northern region together carry about one quarter, with their share rising as fleets grow because sustainment and base operations scale with aircraft numbers.</w:t>
      </w:r>
    </w:p>
    <w:p>
      <w:pPr>
        <w:spacing w:after="140" w:line="300"/>
        <w:ind w:firstLine="431"/>
      </w:pPr>
      <w:r>
        <w:rPr>
          <w:rFonts w:ascii="Georgia" w:cs="Georgia" w:eastAsia="SimSun" w:hAnsi="Georgia"/>
          <w:sz w:val="22"/>
          <w:szCs w:val="22"/>
        </w:rPr>
        <w:t xml:space="preserve">Canadian capture. The programme keeps between C$4.36 billion (fleet size 10) and C$6.52 billion (fleet size 72) inside the Canadian economy during acquisition, a capture share between 79.7 percent and 68.4 percent. The share declines gently with quantity because the fixed accounts, overwhelmingly Canadian engineering, dominate small fleets, while imported engines, sensors and weapons grow with aircraft count. Even at the maximum fleet, more than two dollars in three stay in Canada, against roughly two cents in the dollar for a pure import purchase.</w:t>
      </w:r>
    </w:p>
    <w:p>
      <w:pPr>
        <w:spacing w:after="140" w:line="300"/>
        <w:ind w:firstLine="431"/>
      </w:pPr>
      <w:r>
        <w:rPr>
          <w:rFonts w:ascii="Georgia" w:cs="Georgia" w:eastAsia="SimSun" w:hAnsi="Georgia"/>
          <w:sz w:val="22"/>
          <w:szCs w:val="22"/>
        </w:rPr>
        <w:t xml:space="preserve">Growth and fiscal return. Ten-year GDP contribution runs from C$12.5 billion at fleet size 10 to C$21.7 billion at fleet size 72 under the ISED 2024 aerospace multipliers, applied only to Canadian-content expenditure. Ten-year tax revenue runs from C$2.1 billion to C$3.2 billion, recovering 34 to 40 percent of acquisition outlay before any induced-effects credit.</w:t>
      </w:r>
    </w:p>
    <w:p>
      <w:pPr>
        <w:spacing w:after="140" w:line="300"/>
        <w:ind w:firstLine="431"/>
      </w:pPr>
      <w:r>
        <w:rPr>
          <w:rFonts w:ascii="Georgia" w:cs="Georgia" w:eastAsia="SimSun" w:hAnsi="Georgia"/>
          <w:sz w:val="22"/>
          <w:szCs w:val="22"/>
        </w:rPr>
        <w:t xml:space="preserve">The economically interesting quantities. Three fleet sizes mark structural breaks. At 40, non-recurring dilution flattens: unit economics improve by less than three percent per squadron step beyond that point, and the Sprinter package itself names 40 as the practical minimum for an economically defensible programme. At 58 to 60, the Striker reaches squadron depth with attrition margin and the combined programme crosses C$19 billion in ten-year GDP. At 72, the programmes reach rate production, Canadian content peaks on the localization curve, and the all-in cost per aircraft element bottoms at C$44M. Part XVI assembles the full decision matrix and the comparison tables.</w:t>
      </w:r>
    </w:p>
    <w:p>
      <w:pPr>
        <w:spacing w:after="140" w:line="300"/>
        <w:ind w:firstLine="431"/>
      </w:pPr>
      <w:r>
        <w:rPr>
          <w:rFonts w:ascii="Georgia" w:cs="Georgia" w:eastAsia="SimSun" w:hAnsi="Georgia"/>
          <w:sz w:val="22"/>
          <w:szCs w:val="22"/>
        </w:rPr>
        <w:t xml:space="preserve">What this Outlook does not do. It does not select a fleet size; the decision matrix compares the seventeen options and lets the analysis speak. It does not fold the Gripen E aircraft purchase into Northern Horizon programme totals. It does not price weapons beyond the packages' initial provisioning accounts, NORAD Northern Basing Infrastructure works, or classified electronic-warfare content. It does not rely on speculative exports: the domestic economic case stands on domestic procurement alone, and Part XIII treats exports as upside in three explicit scenarios.</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I. Introduction, Scope and Methodology</w:t>
      </w:r>
    </w:p>
    <w:p>
      <w:pPr>
        <w:pStyle w:val="Heading2"/>
        <w:spacing w:after="140" w:before="280"/>
      </w:pPr>
      <w:r>
        <w:rPr>
          <w:rFonts w:ascii="Georgia" w:cs="Georgia" w:eastAsia="SimSun" w:hAnsi="Georgia"/>
          <w:b/>
          <w:bCs/>
          <w:color w:val="1F3A5F"/>
          <w:sz w:val="26"/>
          <w:szCs w:val="26"/>
        </w:rPr>
        <w:t xml:space="preserve">1.1 Purpose and Scope</w:t>
      </w:r>
    </w:p>
    <w:p>
      <w:pPr>
        <w:spacing w:after="140" w:line="300"/>
        <w:ind w:firstLine="431"/>
      </w:pPr>
      <w:r>
        <w:rPr>
          <w:rFonts w:ascii="Georgia" w:cs="Georgia" w:eastAsia="SimSun" w:hAnsi="Georgia"/>
          <w:sz w:val="22"/>
          <w:szCs w:val="22"/>
        </w:rPr>
        <w:t xml:space="preserve">This Outlook answers one question seventeen times: what does the Northern Horizon programme cost, and what does it produce economically, at each fleet quantity the v6.1 procurement baselines define? The v6.1 package set prices seventeen candidate fleet sizes, 10, 15, 20, 25, 28, 30, 35, 38, 40, 45, 50, 55, 58, 60, 65, 70 and 72, on identical rules for the Sprinter and the Striker, and on a fixed-formula basis for the Gripen augmentation package. This Outlook carries those prices into a single economic model and adds the layers the packages deliberately leave to economists: Canadian content capture, employment by section and by province, GDP, tax revenue, lifecycle horizons and sensitivity.</w:t>
      </w:r>
    </w:p>
    <w:p>
      <w:pPr>
        <w:spacing w:after="140" w:line="300"/>
        <w:ind w:firstLine="431"/>
      </w:pPr>
      <w:r>
        <w:rPr>
          <w:rFonts w:ascii="Georgia" w:cs="Georgia" w:eastAsia="SimSun" w:hAnsi="Georgia"/>
          <w:sz w:val="22"/>
          <w:szCs w:val="22"/>
        </w:rPr>
        <w:t xml:space="preserve">The scope covers four accounts. The Sprinter element buys the uncrewed loyal wingman in quantity N. The Striker element buys the survivable uncrewed combat aircraft in quantity N. The Gripen augmentation element buys N copies of the Arctic augmentation package: the AOK-1 permanent kit plus one CFT-A2 conformal tank pair per aircraft, with the AOK-1-only sensitivity stated where it matters. The Gripen E aircraft account, priced in Part III, answers the acquisition-cost question the programme office posed for the same seventeen fleet sizes; it sits outside Northern Horizon programme totals by the governing scope rule, exactly as AGA-PRC-061 excludes it. Weapons beyond initial provisioning, NORAD Northern Basing Infrastructure capital works and classified electronic-warfare content sit outside every figure.</w:t>
      </w:r>
    </w:p>
    <w:p>
      <w:pPr>
        <w:pStyle w:val="Heading2"/>
        <w:spacing w:after="140" w:before="280"/>
      </w:pPr>
      <w:r>
        <w:rPr>
          <w:rFonts w:ascii="Georgia" w:cs="Georgia" w:eastAsia="SimSun" w:hAnsi="Georgia"/>
          <w:b/>
          <w:bCs/>
          <w:color w:val="1F3A5F"/>
          <w:sz w:val="26"/>
          <w:szCs w:val="26"/>
        </w:rPr>
        <w:t xml:space="preserve">1.2 Analytical Framework</w:t>
      </w:r>
    </w:p>
    <w:p>
      <w:pPr>
        <w:spacing w:after="140" w:line="300"/>
        <w:ind w:firstLine="431"/>
      </w:pPr>
      <w:r>
        <w:rPr>
          <w:rFonts w:ascii="Georgia" w:cs="Georgia" w:eastAsia="SimSun" w:hAnsi="Georgia"/>
          <w:sz w:val="22"/>
          <w:szCs w:val="22"/>
        </w:rPr>
        <w:t xml:space="preserve">The analysis applies five disciplines, each inherited from the v5.0-era reference document where that discipline proved sound. First, package fidelity: every programme dollar traces to a v6.1 package formula or table, and quantity-specific pricing applies at every fleet size so that learning-curve, fixed-cost, support and infrastructure scale effects survive intact. Second, content discipline: multipliers apply only to money that stays in Canada, never to imported expenditure. Third, employment realism: direct jobs build bottom-up from development, production, facilities and sustainment categories, with indirect and induced layers at the ISED 2024 aerospace ratios of 0.88x and 0.55x. Fourth, regional attribution: every job and every GDP dollar lands in a named region through category-specific distribution weights. Fifth, honesty about certainty: every figure carries a verification tag, and Part XV tests the results against exchange rates, content shares, learning curves, multipliers, schedule and contingency policy.</w:t>
      </w:r>
    </w:p>
    <w:p>
      <w:pPr>
        <w:spacing w:after="140" w:line="300"/>
        <w:ind w:firstLine="431"/>
      </w:pPr>
      <w:r>
        <w:rPr>
          <w:rFonts w:ascii="Georgia" w:cs="Georgia" w:eastAsia="SimSun" w:hAnsi="Georgia"/>
          <w:sz w:val="22"/>
          <w:szCs w:val="22"/>
        </w:rPr>
        <w:t xml:space="preserve">The framework separates five expenditure families throughout: recurring production, non-recurring engineering, initial support and spares, infrastructure and facilities, and contingency. Weapons initial provisioning appears as a separate account inside the decision-basis totals, consistent with the packages' own treatment. This separation matters for economics as much as for accounting: the families differ in Canadian content, in employment intensity and in sensitivity to fleet size.</w:t>
      </w:r>
    </w:p>
    <w:p>
      <w:pPr>
        <w:pStyle w:val="Heading2"/>
        <w:spacing w:after="140" w:before="280"/>
      </w:pPr>
      <w:r>
        <w:rPr>
          <w:rFonts w:ascii="Georgia" w:cs="Georgia" w:eastAsia="SimSun" w:hAnsi="Georgia"/>
          <w:b/>
          <w:bCs/>
          <w:color w:val="1F3A5F"/>
          <w:sz w:val="26"/>
          <w:szCs w:val="26"/>
        </w:rPr>
        <w:t xml:space="preserve">1.3 Data Sources and Verification Tags</w:t>
      </w:r>
    </w:p>
    <w:p>
      <w:pPr>
        <w:spacing w:after="140" w:line="300"/>
        <w:ind w:firstLine="431"/>
      </w:pPr>
      <w:r>
        <w:rPr>
          <w:rFonts w:ascii="Georgia" w:cs="Georgia" w:eastAsia="SimSun" w:hAnsi="Georgia"/>
          <w:sz w:val="22"/>
          <w:szCs w:val="22"/>
        </w:rPr>
        <w:t xml:space="preserve">Five tags mark every material figure. PACKAGE means the figure appears verbatim in a v6.1 procurement package. CARRIED means the figure comes from the v5.0-era reference documents where the v6.1 packages leave it unchanged, chiefly the ISED 2024 multipliers, the tax model and the regional industrial structure. PUBLISHED means an external public source, cited in Appendix D. CALCULATED means transparent arithmetic from tagged inputs, with formulas in Appendix A. ESTIMATE marks planning assumptions that no package or publication fixes, each with a stated basis; the Gripen E aircraft unit reference carries this tag throughout. Appendix B registers the tag population by part.</w:t>
      </w:r>
    </w:p>
    <w:p>
      <w:pPr>
        <w:pStyle w:val="Heading2"/>
        <w:spacing w:after="140" w:before="280"/>
      </w:pPr>
      <w:r>
        <w:rPr>
          <w:rFonts w:ascii="Georgia" w:cs="Georgia" w:eastAsia="SimSun" w:hAnsi="Georgia"/>
          <w:b/>
          <w:bCs/>
          <w:color w:val="1F3A5F"/>
          <w:sz w:val="26"/>
          <w:szCs w:val="26"/>
        </w:rPr>
        <w:t xml:space="preserve">1.4 Relationship to the Prior Issue</w:t>
      </w:r>
    </w:p>
    <w:p>
      <w:pPr>
        <w:spacing w:after="140" w:line="300"/>
        <w:ind w:firstLine="431"/>
      </w:pPr>
      <w:r>
        <w:rPr>
          <w:rFonts w:ascii="Georgia" w:cs="Georgia" w:eastAsia="SimSun" w:hAnsi="Georgia"/>
          <w:sz w:val="22"/>
          <w:szCs w:val="22"/>
        </w:rPr>
        <w:t xml:space="preserve">The v5.0-era Economic Northern Horizon Outlook priced one fleet: 48 operational Gripen E aircraft within a 76-airframe procurement total, 72 Sprinters and 36 Strikers, with the Gripen E aircraft purchase inside the programme total. Four changes separate this issue from that one. The fleet-size analysis expands from one configuration to seventeen for every element. The Gripen element within Northern Horizon shrinks to augmentation-only scope, which removes the largest import line from the old model and raises measured Canadian capture across every fleet size. The Gripen E aircraft purchase moves into its own part with an explicit ESTIMATE basis. And the drone baselines move to v6.1 pricing: the Sprinter recurring unit falls to C$11.85M at rate on a 92 percent learning curve, the Striker reprices to C$24.30M at its 48-aircraft reference point, and both packages now publish complete seventeen-quantity economics that this Outlook adopts without alteration.</w:t>
      </w:r>
    </w:p>
    <w:p>
      <w:pPr>
        <w:spacing w:after="140" w:line="300"/>
        <w:ind w:firstLine="431"/>
      </w:pPr>
      <w:r>
        <w:rPr>
          <w:rFonts w:ascii="Georgia" w:cs="Georgia" w:eastAsia="SimSun" w:hAnsi="Georgia"/>
          <w:sz w:val="22"/>
          <w:szCs w:val="22"/>
        </w:rPr>
        <w:t xml:space="preserve">Where the reference document's methods remain sound, this Outlook carries them: the ISED 2024 multiplier set, the wage-base tax model, the employment ramp shape, the regional industrial mapping, the export scenario architecture and the F-35 counterfactual framing all survive. Where the reference document's scope conflicts with the v6.1 rules, the v6.1 rules govern, and this document says so at each point of departure.</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II. The v6.1 Procurement Packages</w:t>
      </w:r>
    </w:p>
    <w:p>
      <w:pPr>
        <w:pStyle w:val="Heading2"/>
        <w:spacing w:after="140" w:before="280"/>
      </w:pPr>
      <w:r>
        <w:rPr>
          <w:rFonts w:ascii="Georgia" w:cs="Georgia" w:eastAsia="SimSun" w:hAnsi="Georgia"/>
          <w:b/>
          <w:bCs/>
          <w:color w:val="1F3A5F"/>
          <w:sz w:val="26"/>
          <w:szCs w:val="26"/>
        </w:rPr>
        <w:t xml:space="preserve">2.1 The Three Governing Packages</w:t>
      </w:r>
    </w:p>
    <w:p>
      <w:pPr>
        <w:spacing w:after="140" w:line="300"/>
        <w:ind w:firstLine="431"/>
      </w:pPr>
      <w:r>
        <w:rPr>
          <w:rFonts w:ascii="Georgia" w:cs="Georgia" w:eastAsia="SimSun" w:hAnsi="Georgia"/>
          <w:sz w:val="22"/>
          <w:szCs w:val="22"/>
        </w:rPr>
        <w:t xml:space="preserve">Three v6.1 procurement packages govern every programme dollar in this Outlook. SPR-AIR-PPP-006 prices the Sprinter loyal wingman: a 3,800 kg class uncrewed aircraft on the French Safran M88-2 engine, with a recurring flyaway of C$11.85M at the 72-aircraft rate, a C$14.25M ceiling, a 92 percent unit learning curve, C$1,320M of non-recurring engineering and an initial support model of C$27.0M fixed plus C$1.36M per aircraft. STR-AIR-PPP-003 prices the Striker: a 5,320 kg class survivable uncrewed combat aircraft with a recurring unit cost of C$24.30M at the 48-aircraft reference point, the same 92 percent learning curve, C$2,380M of non-recurring engineering and initial support of C$68M plus C$3.0M per aircraft. AGA-PRC-061 prices the Gripen Arctic augmentation: C$7.905M net recurring per aircraft for the full package, C$198.0M of fixed non-recurring engineering, support and infrastructure formulas driven by aircraft count and support nodes, and a 15 percent contingency.</w:t>
      </w:r>
    </w:p>
    <w:p>
      <w:pPr>
        <w:spacing w:after="100" w:before="120"/>
        <w:jc w:val="center"/>
      </w:pPr>
      <w:r>
        <w:rPr>
          <w:rFonts w:ascii="Georgia" w:cs="Georgia" w:eastAsia="SimSun" w:hAnsi="Georgia"/>
          <w:i/>
          <w:iCs/>
          <w:color w:val="6B7F94"/>
          <w:sz w:val="18"/>
          <w:szCs w:val="18"/>
        </w:rPr>
        <w:t xml:space="preserve">Table II-1. Pricing architecture of the three v6.1 packages (PACKAGE)</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750"/>
        <w:gridCol w:w="1268"/>
        <w:gridCol w:w="1268"/>
        <w:gridCol w:w="1268"/>
        <w:gridCol w:w="1268"/>
        <w:gridCol w:w="1268"/>
        <w:gridCol w:w="1270"/>
      </w:tblGrid>
      <w:tr>
        <w:trPr>
          <w:tblHeader/>
        </w:trPr>
        <w:tc>
          <w:tcPr>
            <w:tcW w:type="dxa" w:w="175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Element</w:t>
            </w:r>
          </w:p>
        </w:tc>
        <w:tc>
          <w:tcPr>
            <w:tcW w:type="dxa" w:w="1268"/>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Recurring unit anchor</w:t>
            </w:r>
          </w:p>
        </w:tc>
        <w:tc>
          <w:tcPr>
            <w:tcW w:type="dxa" w:w="1268"/>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Learning curve</w:t>
            </w:r>
          </w:p>
        </w:tc>
        <w:tc>
          <w:tcPr>
            <w:tcW w:type="dxa" w:w="1268"/>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Non-recurring</w:t>
            </w:r>
          </w:p>
        </w:tc>
        <w:tc>
          <w:tcPr>
            <w:tcW w:type="dxa" w:w="1268"/>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Initial support</w:t>
            </w:r>
          </w:p>
        </w:tc>
        <w:tc>
          <w:tcPr>
            <w:tcW w:type="dxa" w:w="1268"/>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Infrastructure</w:t>
            </w:r>
          </w:p>
        </w:tc>
        <w:tc>
          <w:tcPr>
            <w:tcW w:type="dxa" w:w="127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Contingency</w:t>
            </w:r>
          </w:p>
        </w:tc>
      </w:tr>
      <w:tr>
        <w:trPr>
          <w:tblHeader w:val="false"/>
        </w:trPr>
        <w:tc>
          <w:tcPr>
            <w:tcW w:type="dxa" w:w="17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Sprinter (SPR-AIR-PPP-006)</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C$11.85M at 72</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92% unit curve</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C$1,320M fixed</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C$27.0M + C$1.36M per aircraft</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C$57.5M + C$0.45M per aircraft</w:t>
            </w:r>
          </w:p>
        </w:tc>
        <w:tc>
          <w:tcPr>
            <w:tcW w:type="dxa" w:w="127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10% of subtotal</w:t>
            </w:r>
          </w:p>
        </w:tc>
      </w:tr>
      <w:tr>
        <w:trPr>
          <w:tblHeader w:val="false"/>
        </w:trPr>
        <w:tc>
          <w:tcPr>
            <w:tcW w:type="dxa" w:w="17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Striker (STR-AIR-PPP-003)</w:t>
            </w:r>
          </w:p>
        </w:tc>
        <w:tc>
          <w:tcPr>
            <w:tcW w:type="dxa" w:w="126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C$24.30M at 48</w:t>
            </w:r>
          </w:p>
        </w:tc>
        <w:tc>
          <w:tcPr>
            <w:tcW w:type="dxa" w:w="126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92% unit curve</w:t>
            </w:r>
          </w:p>
        </w:tc>
        <w:tc>
          <w:tcPr>
            <w:tcW w:type="dxa" w:w="126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C$2,380M fixed</w:t>
            </w:r>
          </w:p>
        </w:tc>
        <w:tc>
          <w:tcPr>
            <w:tcW w:type="dxa" w:w="126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C$68M + C$3.0M per aircraft</w:t>
            </w:r>
          </w:p>
        </w:tc>
        <w:tc>
          <w:tcPr>
            <w:tcW w:type="dxa" w:w="126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C$150M + C$0.55M per aircraft</w:t>
            </w:r>
          </w:p>
        </w:tc>
        <w:tc>
          <w:tcPr>
            <w:tcW w:type="dxa" w:w="127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10% of subtotal</w:t>
            </w:r>
          </w:p>
        </w:tc>
      </w:tr>
      <w:tr>
        <w:trPr>
          <w:tblHeader w:val="false"/>
        </w:trPr>
        <w:tc>
          <w:tcPr>
            <w:tcW w:type="dxa" w:w="17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Gripen augmentation (AGA-PRC-061)</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C$7.905M flat</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None (kit, not aircraft)</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C$198.0M fixed</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C$32M + C$4.2M per node + C$1.55M per aircraft</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C$16M + C$7.5M per node + C$0.28M per aircraft</w:t>
            </w:r>
          </w:p>
        </w:tc>
        <w:tc>
          <w:tcPr>
            <w:tcW w:type="dxa" w:w="127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15% of subtotal</w:t>
            </w:r>
          </w:p>
        </w:tc>
      </w:tr>
    </w:tbl>
    <w:p>
      <w:pPr>
        <w:spacing w:after="140" w:line="300"/>
        <w:ind w:firstLine="431"/>
      </w:pPr>
      <w:r>
        <w:rPr>
          <w:rFonts w:ascii="Georgia" w:cs="Georgia" w:eastAsia="SimSun" w:hAnsi="Georgia"/>
          <w:sz w:val="22"/>
          <w:szCs w:val="22"/>
        </w:rPr>
        <w:t xml:space="preserve">Support nodes in the Gripen package follow S = min(4, max(1, ceil(N/18))): one node up to 18 aircraft, two to 36, three to 54, four beyond. Weapons initial provisioning adds C$0.706M per Sprinter and C$9.18M per Striker as separate accounts inside the decision-basis totals.</w:t>
      </w:r>
    </w:p>
    <w:p>
      <w:pPr>
        <w:pStyle w:val="Heading2"/>
        <w:spacing w:after="140" w:before="280"/>
      </w:pPr>
      <w:r>
        <w:rPr>
          <w:rFonts w:ascii="Georgia" w:cs="Georgia" w:eastAsia="SimSun" w:hAnsi="Georgia"/>
          <w:b/>
          <w:bCs/>
          <w:color w:val="1F3A5F"/>
          <w:sz w:val="26"/>
          <w:szCs w:val="26"/>
        </w:rPr>
        <w:t xml:space="preserve">2.2 Recurring and Non-Recurring Separation</w:t>
      </w:r>
    </w:p>
    <w:p>
      <w:pPr>
        <w:spacing w:after="140" w:line="300"/>
        <w:ind w:firstLine="431"/>
      </w:pPr>
      <w:r>
        <w:rPr>
          <w:rFonts w:ascii="Georgia" w:cs="Georgia" w:eastAsia="SimSun" w:hAnsi="Georgia"/>
          <w:sz w:val="22"/>
          <w:szCs w:val="22"/>
        </w:rPr>
        <w:t xml:space="preserve">The fleet-size question lives or dies on the split between recurring and fixed expenditure. Recurring production, the aircraft and kits themselves, spans C$523M at fleet size 10 to C$3,089M at fleet size 72. Non-recurring engineering sits fixed at C$3,898M across all seventeen options: the Sprinter, the Striker and the augmentation package each go through design maturation, qualification and flight test exactly once. Programme-level accounts, support, weapons provisioning, infrastructure and contingency, grow with quantity but carry fixed bases of their own. The consequence shapes this entire document: small fleets are engineering programmes with aircraft attached; large fleets are production programmes that finally dilute the engineering.</w:t>
      </w:r>
    </w:p>
    <w:p>
      <w:pPr>
        <w:spacing w:after="100" w:before="120"/>
        <w:jc w:val="center"/>
      </w:pPr>
      <w:r>
        <w:rPr>
          <w:rFonts w:ascii="Georgia" w:cs="Georgia" w:eastAsia="SimSun" w:hAnsi="Georgia"/>
          <w:i/>
          <w:iCs/>
          <w:color w:val="6B7F94"/>
          <w:sz w:val="18"/>
          <w:szCs w:val="18"/>
        </w:rPr>
        <w:t xml:space="preserve">Table II-2. Combined expenditure families by fleet size (2026 C$M; CALCULATED from PACKAGE formulas)</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100"/>
        <w:gridCol w:w="1652"/>
        <w:gridCol w:w="1652"/>
        <w:gridCol w:w="1652"/>
        <w:gridCol w:w="1652"/>
        <w:gridCol w:w="1652"/>
      </w:tblGrid>
      <w:tr>
        <w:trPr>
          <w:tblHeader/>
        </w:trPr>
        <w:tc>
          <w:tcPr>
            <w:tcW w:type="dxa" w:w="11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N</w:t>
            </w:r>
          </w:p>
        </w:tc>
        <w:tc>
          <w:tcPr>
            <w:tcW w:type="dxa" w:w="165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6"/>
                <w:szCs w:val="16"/>
              </w:rPr>
              <w:t xml:space="preserve">Recurring production</w:t>
            </w:r>
          </w:p>
        </w:tc>
        <w:tc>
          <w:tcPr>
            <w:tcW w:type="dxa" w:w="165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6"/>
                <w:szCs w:val="16"/>
              </w:rPr>
              <w:t xml:space="preserve">Non-recurring engineering</w:t>
            </w:r>
          </w:p>
        </w:tc>
        <w:tc>
          <w:tcPr>
            <w:tcW w:type="dxa" w:w="165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6"/>
                <w:szCs w:val="16"/>
              </w:rPr>
              <w:t xml:space="preserve">Programme-level accounts</w:t>
            </w:r>
          </w:p>
        </w:tc>
        <w:tc>
          <w:tcPr>
            <w:tcW w:type="dxa" w:w="165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6"/>
                <w:szCs w:val="16"/>
              </w:rPr>
              <w:t xml:space="preserve">Total acquisition</w:t>
            </w:r>
          </w:p>
        </w:tc>
        <w:tc>
          <w:tcPr>
            <w:tcW w:type="dxa" w:w="165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6"/>
                <w:szCs w:val="16"/>
              </w:rPr>
              <w:t xml:space="preserve">NRE share of total</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10</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522.8</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3,898</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1,046.1</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5,466.9</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71.3%</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15</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752.5</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3,898</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1,165.4</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5,815.9</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67.0%</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20</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974.6</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3,898</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1,297.4</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6,170.0</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63.2%</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25</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1,191.2</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3,898</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1,415.4</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6,504.6</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59.9%</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28</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1,319.0</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3,898</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1,486.0</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6,703.1</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58.2%</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30</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1,403.5</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3,898</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1,533.0</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6,834.6</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57.0%</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35</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1,612.5</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3,898</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1,650.3</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7,160.7</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54.4%</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38</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1,736.4</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3,898</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1,733.9</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7,368.3</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52.9%</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40</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1,818.5</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3,898</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1,780.7</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7,497.2</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52.0%</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45</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2,022.0</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3,898</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1,897.4</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7,817.4</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49.9%</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50</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2,223.4</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3,898</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2,013.9</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8,135.2</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47.9%</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55</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2,422.8</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3,898</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2,143.6</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8,464.4</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46.1%</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58</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2,541.6</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3,898</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2,213.3</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8,652.9</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45.0%</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60</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2,620.4</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3,898</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2,259.7</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8,778.2</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44.4%</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65</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2,816.5</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3,898</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2,375.7</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9,090.2</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42.9%</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70</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3,011.2</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3,898</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2,491.5</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9,400.7</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41.5%</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72</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3,088.7</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3,898</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2,537.8</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9,524.5</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40.9%</w:t>
            </w:r>
          </w:p>
        </w:tc>
      </w:tr>
    </w:tbl>
    <w:p>
      <w:pPr>
        <w:spacing w:after="160"/>
      </w:pPr>
      <w:r>
        <w:rPr>
          <w:rFonts w:ascii="Georgia" w:cs="Georgia" w:eastAsia="SimSun" w:hAnsi="Georgia"/>
          <w:color w:val="6B7F94"/>
          <w:sz w:val="18"/>
          <w:szCs w:val="18"/>
        </w:rPr>
        <w:t xml:space="preserve">Recurring production: aircraft and kits at quantity-specific learning-curve prices. Programme-level accounts: initial support and spares, weapons initial provisioning, infrastructure and contingency. NRE share falls from 71 percent at fleet size 10 to 41 percent at 72.</w:t>
      </w:r>
    </w:p>
    <w:p>
      <w:pPr>
        <w:pStyle w:val="Heading2"/>
        <w:spacing w:after="140" w:before="280"/>
      </w:pPr>
      <w:r>
        <w:rPr>
          <w:rFonts w:ascii="Georgia" w:cs="Georgia" w:eastAsia="SimSun" w:hAnsi="Georgia"/>
          <w:b/>
          <w:bCs/>
          <w:color w:val="1F3A5F"/>
          <w:sz w:val="26"/>
          <w:szCs w:val="26"/>
        </w:rPr>
        <w:t xml:space="preserve">2.3 What the Baseline Excludes</w:t>
      </w:r>
    </w:p>
    <w:p>
      <w:pPr>
        <w:spacing w:after="140" w:line="300"/>
        <w:ind w:firstLine="431"/>
      </w:pPr>
      <w:r>
        <w:rPr>
          <w:rFonts w:ascii="Georgia" w:cs="Georgia" w:eastAsia="SimSun" w:hAnsi="Georgia"/>
          <w:sz w:val="22"/>
          <w:szCs w:val="22"/>
        </w:rPr>
        <w:t xml:space="preserve">Four exclusions hold throughout. The Gripen E aircraft purchase sits outside Northern Horizon programme totals and appears only in Part III as its own account. Weapons beyond the packages' initial provisioning accounts sit outside. NORAD Northern Basing Infrastructure capital works sit outside, though the packages price their own mobile and package-attributable infrastructure. Classified electronic-warfare content sits outside. Each exclusion traces to a scope statement in the governing packages, and Appendix C maps them.</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III. Gripen E Acquisition Cost by Fleet Size</w:t>
      </w:r>
    </w:p>
    <w:p>
      <w:pPr>
        <w:pStyle w:val="Heading2"/>
        <w:spacing w:after="140" w:before="280"/>
      </w:pPr>
      <w:r>
        <w:rPr>
          <w:rFonts w:ascii="Georgia" w:cs="Georgia" w:eastAsia="SimSun" w:hAnsi="Georgia"/>
          <w:b/>
          <w:bCs/>
          <w:color w:val="1F3A5F"/>
          <w:sz w:val="26"/>
          <w:szCs w:val="26"/>
        </w:rPr>
        <w:t xml:space="preserve">3.1 Pricing Basis and the Seventeen Fleet Sizes</w:t>
      </w:r>
    </w:p>
    <w:p>
      <w:pPr>
        <w:spacing w:after="140" w:line="300"/>
        <w:ind w:firstLine="431"/>
      </w:pPr>
      <w:r>
        <w:rPr>
          <w:rFonts w:ascii="Georgia" w:cs="Georgia" w:eastAsia="SimSun" w:hAnsi="Georgia"/>
          <w:sz w:val="22"/>
          <w:szCs w:val="22"/>
        </w:rPr>
        <w:t xml:space="preserve">No v6.1 procurement package prices the Gripen E aircraft itself: AGA-PRC-061 excludes aircraft acquisition by scope statement, and the closing event for an aircraft price remains the fleet acquisition RFP. This part therefore prices Gripen E acquisition on the corpus' single normalized reference: US$85.0M per aircraft, carried from the v5.0-era specification normalization and tagged ESTIMATE throughout. At the 1.35 CAD/USD planning rate the reference converts to C$114.75M per aircraft. The flat column applies that unit reference at every quantity; the curve column applies a 95 percent unit learning curve anchored at the 50-aircraft quantity, the sensitivity convention the drone packages themselves use, to show the outer boundary of quantity-discount behaviour. Support, training, spares and weapons for the aircraft sit outside this normalized reference and price through the RFP; the Arctic augmentation of each aircraft prices separately in Part VI.</w:t>
      </w:r>
    </w:p>
    <w:p>
      <w:pPr>
        <w:spacing w:after="100" w:before="120"/>
        <w:jc w:val="center"/>
      </w:pPr>
      <w:r>
        <w:rPr>
          <w:rFonts w:ascii="Georgia" w:cs="Georgia" w:eastAsia="SimSun" w:hAnsi="Georgia"/>
          <w:i/>
          <w:iCs/>
          <w:color w:val="6B7F94"/>
          <w:sz w:val="18"/>
          <w:szCs w:val="18"/>
        </w:rPr>
        <w:t xml:space="preserve">Table III-1. Gripen E aircraft acquisition cost by fleet size (2026 C$M; ESTIMATE on the US$85.0M normalized reference at 1.35 CAD/USD)</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300"/>
        <w:gridCol w:w="1612"/>
        <w:gridCol w:w="1612"/>
        <w:gridCol w:w="1612"/>
        <w:gridCol w:w="1612"/>
        <w:gridCol w:w="1612"/>
      </w:tblGrid>
      <w:tr>
        <w:trPr>
          <w:tblHeader/>
        </w:trPr>
        <w:tc>
          <w:tcPr>
            <w:tcW w:type="dxa" w:w="13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Fleet size N</w:t>
            </w:r>
          </w:p>
        </w:tc>
        <w:tc>
          <w:tcPr>
            <w:tcW w:type="dxa" w:w="161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6"/>
                <w:szCs w:val="16"/>
              </w:rPr>
              <w:t xml:space="preserve">Unit reference (C$M, flat)</w:t>
            </w:r>
          </w:p>
        </w:tc>
        <w:tc>
          <w:tcPr>
            <w:tcW w:type="dxa" w:w="161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6"/>
                <w:szCs w:val="16"/>
              </w:rPr>
              <w:t xml:space="preserve">Fleet total, flat (C$M)</w:t>
            </w:r>
          </w:p>
        </w:tc>
        <w:tc>
          <w:tcPr>
            <w:tcW w:type="dxa" w:w="161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6"/>
                <w:szCs w:val="16"/>
              </w:rPr>
              <w:t xml:space="preserve">Unit at 95% curve (C$M)</w:t>
            </w:r>
          </w:p>
        </w:tc>
        <w:tc>
          <w:tcPr>
            <w:tcW w:type="dxa" w:w="161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6"/>
                <w:szCs w:val="16"/>
              </w:rPr>
              <w:t xml:space="preserve">Fleet total, 95% curve (C$M)</w:t>
            </w:r>
          </w:p>
        </w:tc>
        <w:tc>
          <w:tcPr>
            <w:tcW w:type="dxa" w:w="161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6"/>
                <w:szCs w:val="16"/>
              </w:rPr>
              <w:t xml:space="preserve">Curve saving vs flat (C$M)</w:t>
            </w:r>
          </w:p>
        </w:tc>
      </w:tr>
      <w:tr>
        <w:trPr>
          <w:tblHeader w:val="false"/>
        </w:trPr>
        <w:tc>
          <w:tcPr>
            <w:tcW w:type="dxa" w:w="13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10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114.75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1,148</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129.3</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1,293</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-145</w:t>
            </w:r>
          </w:p>
        </w:tc>
      </w:tr>
      <w:tr>
        <w:trPr>
          <w:tblHeader w:val="false"/>
        </w:trPr>
        <w:tc>
          <w:tcPr>
            <w:tcW w:type="dxa" w:w="13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15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114.75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1,721</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125.4</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1,882</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-160</w:t>
            </w:r>
          </w:p>
        </w:tc>
      </w:tr>
      <w:tr>
        <w:trPr>
          <w:tblHeader w:val="false"/>
        </w:trPr>
        <w:tc>
          <w:tcPr>
            <w:tcW w:type="dxa" w:w="13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20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114.75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2,295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122.8</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2,456</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-161</w:t>
            </w:r>
          </w:p>
        </w:tc>
      </w:tr>
      <w:tr>
        <w:trPr>
          <w:tblHeader w:val="false"/>
        </w:trPr>
        <w:tc>
          <w:tcPr>
            <w:tcW w:type="dxa" w:w="13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25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114.75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2,869</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120.8</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3,020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-151</w:t>
            </w:r>
          </w:p>
        </w:tc>
      </w:tr>
      <w:tr>
        <w:trPr>
          <w:tblHeader w:val="false"/>
        </w:trPr>
        <w:tc>
          <w:tcPr>
            <w:tcW w:type="dxa" w:w="13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28</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114.75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3,213</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119.8</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3,354</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-141</w:t>
            </w:r>
          </w:p>
        </w:tc>
      </w:tr>
      <w:tr>
        <w:trPr>
          <w:tblHeader w:val="false"/>
        </w:trPr>
        <w:tc>
          <w:tcPr>
            <w:tcW w:type="dxa" w:w="13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30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114.75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3,443</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119.2</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3,575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-133</w:t>
            </w:r>
          </w:p>
        </w:tc>
      </w:tr>
      <w:tr>
        <w:trPr>
          <w:tblHeader w:val="false"/>
        </w:trPr>
        <w:tc>
          <w:tcPr>
            <w:tcW w:type="dxa" w:w="13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35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114.75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4,016</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117.8</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4,124</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-107</w:t>
            </w:r>
          </w:p>
        </w:tc>
      </w:tr>
      <w:tr>
        <w:trPr>
          <w:tblHeader w:val="false"/>
        </w:trPr>
        <w:tc>
          <w:tcPr>
            <w:tcW w:type="dxa" w:w="13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38</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114.75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4,361</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117.1</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4,450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-89</w:t>
            </w:r>
          </w:p>
        </w:tc>
      </w:tr>
      <w:tr>
        <w:trPr>
          <w:tblHeader w:val="false"/>
        </w:trPr>
        <w:tc>
          <w:tcPr>
            <w:tcW w:type="dxa" w:w="13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40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114.75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4,590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116.7</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4,666</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-76</w:t>
            </w:r>
          </w:p>
        </w:tc>
      </w:tr>
      <w:tr>
        <w:trPr>
          <w:tblHeader w:val="false"/>
        </w:trPr>
        <w:tc>
          <w:tcPr>
            <w:tcW w:type="dxa" w:w="13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45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114.75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5,164</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115.6</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5,204</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-40</w:t>
            </w:r>
          </w:p>
        </w:tc>
      </w:tr>
      <w:tr>
        <w:trPr>
          <w:tblHeader w:val="false"/>
        </w:trPr>
        <w:tc>
          <w:tcPr>
            <w:tcW w:type="dxa" w:w="13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50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114.75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5,738</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114.8</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5,738</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0</w:t>
            </w:r>
          </w:p>
        </w:tc>
      </w:tr>
      <w:tr>
        <w:trPr>
          <w:tblHeader w:val="false"/>
        </w:trPr>
        <w:tc>
          <w:tcPr>
            <w:tcW w:type="dxa" w:w="13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55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114.75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6,311</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113.9</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6,267</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44</w:t>
            </w:r>
          </w:p>
        </w:tc>
      </w:tr>
      <w:tr>
        <w:trPr>
          <w:tblHeader w:val="false"/>
        </w:trPr>
        <w:tc>
          <w:tcPr>
            <w:tcW w:type="dxa" w:w="13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58</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114.75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6,656</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113.5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6,583</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73</w:t>
            </w:r>
          </w:p>
        </w:tc>
      </w:tr>
      <w:tr>
        <w:trPr>
          <w:tblHeader w:val="false"/>
        </w:trPr>
        <w:tc>
          <w:tcPr>
            <w:tcW w:type="dxa" w:w="13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60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114.75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6,885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113.2</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6,793</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92</w:t>
            </w:r>
          </w:p>
        </w:tc>
      </w:tr>
      <w:tr>
        <w:trPr>
          <w:tblHeader w:val="false"/>
        </w:trPr>
        <w:tc>
          <w:tcPr>
            <w:tcW w:type="dxa" w:w="13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65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114.75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7,459</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112.5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7,315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143</w:t>
            </w:r>
          </w:p>
        </w:tc>
      </w:tr>
      <w:tr>
        <w:trPr>
          <w:tblHeader w:val="false"/>
        </w:trPr>
        <w:tc>
          <w:tcPr>
            <w:tcW w:type="dxa" w:w="13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70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114.75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8,033</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111.9</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7,835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198</w:t>
            </w:r>
          </w:p>
        </w:tc>
      </w:tr>
      <w:tr>
        <w:trPr>
          <w:tblHeader w:val="false"/>
        </w:trPr>
        <w:tc>
          <w:tcPr>
            <w:tcW w:type="dxa" w:w="13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72</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114.75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8,262</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111.7</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8,042</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220</w:t>
            </w:r>
          </w:p>
        </w:tc>
      </w:tr>
    </w:tbl>
    <w:p>
      <w:pPr>
        <w:spacing w:after="160"/>
      </w:pPr>
      <w:r>
        <w:rPr>
          <w:rFonts w:ascii="Georgia" w:cs="Georgia" w:eastAsia="SimSun" w:hAnsi="Georgia"/>
          <w:color w:val="6B7F94"/>
          <w:sz w:val="18"/>
          <w:szCs w:val="18"/>
        </w:rPr>
        <w:t xml:space="preserve">ESTIMATE basis: the fleet acquisition RFP closes the actual price. The 95 percent curve exists only as a sensitivity bound; the corpus supplies no Gripen E aircraft learning-curve commitment. Acquisition of the aircraft sits outside Northern Horizon programme totals in every other part of this Outlook.</w:t>
      </w:r>
    </w:p>
    <w:p>
      <w:pPr>
        <w:spacing w:after="140" w:line="300"/>
        <w:ind w:firstLine="431"/>
      </w:pPr>
      <w:r>
        <w:rPr>
          <w:rFonts w:ascii="Georgia" w:cs="Georgia" w:eastAsia="SimSun" w:hAnsi="Georgia"/>
          <w:sz w:val="22"/>
          <w:szCs w:val="22"/>
        </w:rPr>
        <w:t xml:space="preserve">Read against the F-35 counterfactual, the scale of the Gripen E account comes into focus. The Auditor General prices 88 F-35A aircraft at C$27.8 billion, about C$315.9M per aircraft on acquisition. The Gripen E reference fleet of 72 aircraft totals C$8.26 billion flat, or C$8.04 billion on the 95 percent curve: roughly thirty cents on the F-35 dollar per aircraft, before sustainment. Even the smallest Gripen E option, ten aircraft at C$1.15 billion, buys a meaningful sovereignty and training capability; the largest matches the historical CF-18 replacement scale at a fraction of the F-35 outlay.</w:t>
      </w:r>
    </w:p>
    <w:p>
      <w:pPr>
        <w:pStyle w:val="Heading2"/>
        <w:spacing w:after="140" w:before="280"/>
      </w:pPr>
      <w:r>
        <w:rPr>
          <w:rFonts w:ascii="Georgia" w:cs="Georgia" w:eastAsia="SimSun" w:hAnsi="Georgia"/>
          <w:b/>
          <w:bCs/>
          <w:color w:val="1F3A5F"/>
          <w:sz w:val="26"/>
          <w:szCs w:val="26"/>
        </w:rPr>
        <w:t xml:space="preserve">3.2 Employment from Gripen E Acquisition: The Full Account Build</w:t>
      </w:r>
    </w:p>
    <w:p>
      <w:pPr>
        <w:spacing w:after="140" w:line="300"/>
        <w:ind w:firstLine="431"/>
      </w:pPr>
      <w:r>
        <w:rPr>
          <w:rFonts w:ascii="Georgia" w:cs="Georgia" w:eastAsia="SimSun" w:hAnsi="Georgia"/>
          <w:sz w:val="22"/>
          <w:szCs w:val="22"/>
        </w:rPr>
        <w:t xml:space="preserve">Employment from the aircraft account depends on one industrial decision: import the aircraft, or assemble and support it in Canada. The import option returns almost nothing domestically, about 200 direct and 500 total jobs on the pattern the reference document measures for a pure import purchase. The Canadian option goes far beyond the assembly line alone. The reference document's activity build attaches six employment lines to the Gripen E account: final assembly and delivery at Mirabel, the propulsion depot and upgrade workshare at Longueuil, the Gripen-attributable share of mission systems, sensors and electronic-warfare work at MDA and L3Harris, training and simulation at CAE Montreal, the supplier and SME base behind kit and aircraft flow-down, and the enduring sustainment and MRO enterprise at IMP Aerospace Halifax, Western MRO providers and Cold Lake. This Outlook scales each line by fleet size from its 48-aircraft anchor in the reference document: a fixed establishment that stands up once, plus a per-aircraft rate that fills as the fleet grows. The build adds no line to the Northern Horizon totals of Part VIII; every figure here belongs to the aircraft account of this part.</w:t>
      </w:r>
    </w:p>
    <w:p>
      <w:pPr>
        <w:spacing w:after="100" w:before="120"/>
        <w:jc w:val="center"/>
      </w:pPr>
      <w:r>
        <w:rPr>
          <w:rFonts w:ascii="Georgia" w:cs="Georgia" w:eastAsia="SimSun" w:hAnsi="Georgia"/>
          <w:i/>
          <w:iCs/>
          <w:color w:val="6B7F94"/>
          <w:sz w:val="18"/>
          <w:szCs w:val="18"/>
        </w:rPr>
        <w:t xml:space="preserve">Table III-2. Gripen E account employment build by activity line (direct jobs at anchor fleet sizes; activity basis CARRIED, scaling ESTIMATE)</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500"/>
        <w:gridCol w:w="857"/>
        <w:gridCol w:w="857"/>
        <w:gridCol w:w="857"/>
        <w:gridCol w:w="857"/>
        <w:gridCol w:w="857"/>
        <w:gridCol w:w="857"/>
        <w:gridCol w:w="857"/>
        <w:gridCol w:w="861"/>
      </w:tblGrid>
      <w:tr>
        <w:trPr>
          <w:tblHeader/>
        </w:trPr>
        <w:tc>
          <w:tcPr>
            <w:tcW w:type="dxa" w:w="25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3"/>
                <w:szCs w:val="13"/>
              </w:rPr>
              <w:t xml:space="preserve">Activity line (CARRIED from the reference document)</w:t>
            </w:r>
          </w:p>
        </w:tc>
        <w:tc>
          <w:tcPr>
            <w:tcW w:type="dxa" w:w="857"/>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3"/>
                <w:szCs w:val="13"/>
              </w:rPr>
              <w:t xml:space="preserve">Fixed establishment</w:t>
            </w:r>
          </w:p>
        </w:tc>
        <w:tc>
          <w:tcPr>
            <w:tcW w:type="dxa" w:w="857"/>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3"/>
                <w:szCs w:val="13"/>
              </w:rPr>
              <w:t xml:space="preserve">Per aircraft</w:t>
            </w:r>
          </w:p>
        </w:tc>
        <w:tc>
          <w:tcPr>
            <w:tcW w:type="dxa" w:w="857"/>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3"/>
                <w:szCs w:val="13"/>
              </w:rPr>
              <w:t xml:space="preserve">N = 10</w:t>
            </w:r>
          </w:p>
        </w:tc>
        <w:tc>
          <w:tcPr>
            <w:tcW w:type="dxa" w:w="857"/>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3"/>
                <w:szCs w:val="13"/>
              </w:rPr>
              <w:t xml:space="preserve">N = 28</w:t>
            </w:r>
          </w:p>
        </w:tc>
        <w:tc>
          <w:tcPr>
            <w:tcW w:type="dxa" w:w="857"/>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3"/>
                <w:szCs w:val="13"/>
              </w:rPr>
              <w:t xml:space="preserve">N = 40</w:t>
            </w:r>
          </w:p>
        </w:tc>
        <w:tc>
          <w:tcPr>
            <w:tcW w:type="dxa" w:w="857"/>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3"/>
                <w:szCs w:val="13"/>
              </w:rPr>
              <w:t xml:space="preserve">N = 48</w:t>
            </w:r>
          </w:p>
        </w:tc>
        <w:tc>
          <w:tcPr>
            <w:tcW w:type="dxa" w:w="857"/>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3"/>
                <w:szCs w:val="13"/>
              </w:rPr>
              <w:t xml:space="preserve">N = 60</w:t>
            </w:r>
          </w:p>
        </w:tc>
        <w:tc>
          <w:tcPr>
            <w:tcW w:type="dxa" w:w="861"/>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3"/>
                <w:szCs w:val="13"/>
              </w:rPr>
              <w:t xml:space="preserve">N = 72</w:t>
            </w:r>
          </w:p>
        </w:tc>
      </w:tr>
      <w:tr>
        <w:trPr>
          <w:tblHeader w:val="false"/>
        </w:trPr>
        <w:tc>
          <w:tcPr>
            <w:tcW w:type="dxa" w:w="2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Final assembly and delivery centre, Mirabel (QC)</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600</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25.0</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850</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1,300</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1,600</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1,800</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2,100</w:t>
            </w:r>
          </w:p>
        </w:tc>
        <w:tc>
          <w:tcPr>
            <w:tcW w:type="dxa" w:w="861"/>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2,400</w:t>
            </w:r>
          </w:p>
        </w:tc>
      </w:tr>
      <w:tr>
        <w:trPr>
          <w:tblHeader w:val="false"/>
        </w:trPr>
        <w:tc>
          <w:tcPr>
            <w:tcW w:type="dxa" w:w="2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Propulsion depot and upgrade workshare, P&amp;WC Longueuil (QC)</w:t>
            </w:r>
          </w:p>
        </w:tc>
        <w:tc>
          <w:tcPr>
            <w:tcW w:type="dxa" w:w="85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150</w:t>
            </w:r>
          </w:p>
        </w:tc>
        <w:tc>
          <w:tcPr>
            <w:tcW w:type="dxa" w:w="85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5.2</w:t>
            </w:r>
          </w:p>
        </w:tc>
        <w:tc>
          <w:tcPr>
            <w:tcW w:type="dxa" w:w="85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202</w:t>
            </w:r>
          </w:p>
        </w:tc>
        <w:tc>
          <w:tcPr>
            <w:tcW w:type="dxa" w:w="85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296</w:t>
            </w:r>
          </w:p>
        </w:tc>
        <w:tc>
          <w:tcPr>
            <w:tcW w:type="dxa" w:w="85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358</w:t>
            </w:r>
          </w:p>
        </w:tc>
        <w:tc>
          <w:tcPr>
            <w:tcW w:type="dxa" w:w="85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400</w:t>
            </w:r>
          </w:p>
        </w:tc>
        <w:tc>
          <w:tcPr>
            <w:tcW w:type="dxa" w:w="85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462</w:t>
            </w:r>
          </w:p>
        </w:tc>
        <w:tc>
          <w:tcPr>
            <w:tcW w:type="dxa" w:w="861"/>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524</w:t>
            </w:r>
          </w:p>
        </w:tc>
      </w:tr>
      <w:tr>
        <w:trPr>
          <w:tblHeader w:val="false"/>
        </w:trPr>
        <w:tc>
          <w:tcPr>
            <w:tcW w:type="dxa" w:w="2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Mission systems, sensors and EW workshare, MDA / L3Harris (ON/QC)</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80</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2.7</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107</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156</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188</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210</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242</w:t>
            </w:r>
          </w:p>
        </w:tc>
        <w:tc>
          <w:tcPr>
            <w:tcW w:type="dxa" w:w="861"/>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274</w:t>
            </w:r>
          </w:p>
        </w:tc>
      </w:tr>
      <w:tr>
        <w:trPr>
          <w:tblHeader w:val="false"/>
        </w:trPr>
        <w:tc>
          <w:tcPr>
            <w:tcW w:type="dxa" w:w="2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Training and simulation, CAE Montreal (QC)</w:t>
            </w:r>
          </w:p>
        </w:tc>
        <w:tc>
          <w:tcPr>
            <w:tcW w:type="dxa" w:w="85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100</w:t>
            </w:r>
          </w:p>
        </w:tc>
        <w:tc>
          <w:tcPr>
            <w:tcW w:type="dxa" w:w="85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3.1</w:t>
            </w:r>
          </w:p>
        </w:tc>
        <w:tc>
          <w:tcPr>
            <w:tcW w:type="dxa" w:w="85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131</w:t>
            </w:r>
          </w:p>
        </w:tc>
        <w:tc>
          <w:tcPr>
            <w:tcW w:type="dxa" w:w="85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187</w:t>
            </w:r>
          </w:p>
        </w:tc>
        <w:tc>
          <w:tcPr>
            <w:tcW w:type="dxa" w:w="85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224</w:t>
            </w:r>
          </w:p>
        </w:tc>
        <w:tc>
          <w:tcPr>
            <w:tcW w:type="dxa" w:w="85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249</w:t>
            </w:r>
          </w:p>
        </w:tc>
        <w:tc>
          <w:tcPr>
            <w:tcW w:type="dxa" w:w="85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286</w:t>
            </w:r>
          </w:p>
        </w:tc>
        <w:tc>
          <w:tcPr>
            <w:tcW w:type="dxa" w:w="861"/>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323</w:t>
            </w:r>
          </w:p>
        </w:tc>
      </w:tr>
      <w:tr>
        <w:trPr>
          <w:tblHeader w:val="false"/>
        </w:trPr>
        <w:tc>
          <w:tcPr>
            <w:tcW w:type="dxa" w:w="2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Supplier and SME base, kit and aircraft flow-down (national)</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150</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7.3</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223</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354</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442</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500</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588</w:t>
            </w:r>
          </w:p>
        </w:tc>
        <w:tc>
          <w:tcPr>
            <w:tcW w:type="dxa" w:w="861"/>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676</w:t>
            </w:r>
          </w:p>
        </w:tc>
      </w:tr>
      <w:tr>
        <w:trPr>
          <w:tblHeader w:val="false"/>
        </w:trPr>
        <w:tc>
          <w:tcPr>
            <w:tcW w:type="dxa" w:w="2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Enduring sustainment and MRO: IMP Halifax hub, Western MRO, Cold Lake operations (ATL/WEST)</w:t>
            </w:r>
          </w:p>
        </w:tc>
        <w:tc>
          <w:tcPr>
            <w:tcW w:type="dxa" w:w="85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350</w:t>
            </w:r>
          </w:p>
        </w:tc>
        <w:tc>
          <w:tcPr>
            <w:tcW w:type="dxa" w:w="85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15.6</w:t>
            </w:r>
          </w:p>
        </w:tc>
        <w:tc>
          <w:tcPr>
            <w:tcW w:type="dxa" w:w="85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506</w:t>
            </w:r>
          </w:p>
        </w:tc>
        <w:tc>
          <w:tcPr>
            <w:tcW w:type="dxa" w:w="85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787</w:t>
            </w:r>
          </w:p>
        </w:tc>
        <w:tc>
          <w:tcPr>
            <w:tcW w:type="dxa" w:w="85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974</w:t>
            </w:r>
          </w:p>
        </w:tc>
        <w:tc>
          <w:tcPr>
            <w:tcW w:type="dxa" w:w="85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1,099</w:t>
            </w:r>
          </w:p>
        </w:tc>
        <w:tc>
          <w:tcPr>
            <w:tcW w:type="dxa" w:w="85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1,286</w:t>
            </w:r>
          </w:p>
        </w:tc>
        <w:tc>
          <w:tcPr>
            <w:tcW w:type="dxa" w:w="861"/>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1,473</w:t>
            </w:r>
          </w:p>
        </w:tc>
      </w:tr>
      <w:tr>
        <w:trPr>
          <w:tblHeader w:val="false"/>
        </w:trPr>
        <w:tc>
          <w:tcPr>
            <w:tcW w:type="dxa" w:w="2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GRIPEN E ACCOUNT TOTAL (direct)</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1,430</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58.9</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2,019</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3,079</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3,786</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4,257</w:t>
            </w:r>
          </w:p>
        </w:tc>
        <w:tc>
          <w:tcPr>
            <w:tcW w:type="dxa" w:w="85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4,964</w:t>
            </w:r>
          </w:p>
        </w:tc>
        <w:tc>
          <w:tcPr>
            <w:tcW w:type="dxa" w:w="861"/>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3"/>
                <w:szCs w:val="13"/>
              </w:rPr>
              <w:t xml:space="preserve">5,671</w:t>
            </w:r>
          </w:p>
        </w:tc>
      </w:tr>
    </w:tbl>
    <w:p>
      <w:pPr>
        <w:spacing w:after="160"/>
      </w:pPr>
      <w:r>
        <w:rPr>
          <w:rFonts w:ascii="Georgia" w:cs="Georgia" w:eastAsia="SimSun" w:hAnsi="Georgia"/>
          <w:color w:val="6B7F94"/>
          <w:sz w:val="18"/>
          <w:szCs w:val="18"/>
        </w:rPr>
        <w:t xml:space="preserve">Basis: the reference document's provincial activity tables at 48 Gripen E aircraft (ECD-ARCTIC-2026-001, Part II), decomposed into fixed establishment plus per-aircraft rate. At the 48-aircraft anchor the build reproduces the reference document's Gripen-attributable employment of roughly 4,300 direct jobs. Indirect and induced layers apply the ISED 2024 ratios of 0.88x and 0.55x.</w:t>
      </w:r>
    </w:p>
    <w:p>
      <w:pPr>
        <w:spacing w:after="100" w:before="120"/>
        <w:jc w:val="center"/>
      </w:pPr>
      <w:r>
        <w:rPr>
          <w:rFonts w:ascii="Georgia" w:cs="Georgia" w:eastAsia="SimSun" w:hAnsi="Georgia"/>
          <w:i/>
          <w:iCs/>
          <w:color w:val="6B7F94"/>
          <w:sz w:val="18"/>
          <w:szCs w:val="18"/>
        </w:rPr>
        <w:t xml:space="preserve">Table III-3. Gripen E account employment by fleet size (peak-year jobs; CALCULATED from the Table III-2 build)</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000"/>
        <w:gridCol w:w="1194"/>
        <w:gridCol w:w="1194"/>
        <w:gridCol w:w="1194"/>
        <w:gridCol w:w="1194"/>
        <w:gridCol w:w="1194"/>
        <w:gridCol w:w="1194"/>
        <w:gridCol w:w="1196"/>
      </w:tblGrid>
      <w:tr>
        <w:trPr>
          <w:tblHeader/>
        </w:trPr>
        <w:tc>
          <w:tcPr>
            <w:tcW w:type="dxa" w:w="10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3"/>
                <w:szCs w:val="13"/>
              </w:rPr>
              <w:t xml:space="preserve">Fleet size N</w:t>
            </w:r>
          </w:p>
        </w:tc>
        <w:tc>
          <w:tcPr>
            <w:tcW w:type="dxa" w:w="1194"/>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Acquisition-phase direct</w:t>
            </w:r>
          </w:p>
        </w:tc>
        <w:tc>
          <w:tcPr>
            <w:tcW w:type="dxa" w:w="1194"/>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Enduring sustainment direct</w:t>
            </w:r>
          </w:p>
        </w:tc>
        <w:tc>
          <w:tcPr>
            <w:tcW w:type="dxa" w:w="1194"/>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Total direct</w:t>
            </w:r>
          </w:p>
        </w:tc>
        <w:tc>
          <w:tcPr>
            <w:tcW w:type="dxa" w:w="1194"/>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Indirect (0.88x)</w:t>
            </w:r>
          </w:p>
        </w:tc>
        <w:tc>
          <w:tcPr>
            <w:tcW w:type="dxa" w:w="1194"/>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Induced (0.55x)</w:t>
            </w:r>
          </w:p>
        </w:tc>
        <w:tc>
          <w:tcPr>
            <w:tcW w:type="dxa" w:w="1194"/>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Total jobs</w:t>
            </w:r>
          </w:p>
        </w:tc>
        <w:tc>
          <w:tcPr>
            <w:tcW w:type="dxa" w:w="1196"/>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Memo: import-purchase total (CARRIED)</w:t>
            </w:r>
          </w:p>
        </w:tc>
      </w:tr>
      <w:tr>
        <w:trPr>
          <w:tblHeader w:val="false"/>
        </w:trPr>
        <w:tc>
          <w:tcPr>
            <w:tcW w:type="dxa" w:w="1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10</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1,513</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506</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2,019</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1,777</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1,110</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4,906</w:t>
            </w:r>
          </w:p>
        </w:tc>
        <w:tc>
          <w:tcPr>
            <w:tcW w:type="dxa" w:w="119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approx. 500</w:t>
            </w:r>
          </w:p>
        </w:tc>
      </w:tr>
      <w:tr>
        <w:trPr>
          <w:tblHeader w:val="false"/>
        </w:trPr>
        <w:tc>
          <w:tcPr>
            <w:tcW w:type="dxa" w:w="1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15</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1,729</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584</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2,313</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2,035</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1,272</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5,620</w:t>
            </w:r>
          </w:p>
        </w:tc>
        <w:tc>
          <w:tcPr>
            <w:tcW w:type="dxa" w:w="119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approx. 500</w:t>
            </w:r>
          </w:p>
        </w:tc>
      </w:tr>
      <w:tr>
        <w:trPr>
          <w:tblHeader w:val="false"/>
        </w:trPr>
        <w:tc>
          <w:tcPr>
            <w:tcW w:type="dxa" w:w="1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20</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1,946</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662</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2,608</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2,295</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1,434</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6,337</w:t>
            </w:r>
          </w:p>
        </w:tc>
        <w:tc>
          <w:tcPr>
            <w:tcW w:type="dxa" w:w="119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approx. 500</w:t>
            </w:r>
          </w:p>
        </w:tc>
      </w:tr>
      <w:tr>
        <w:trPr>
          <w:tblHeader w:val="false"/>
        </w:trPr>
        <w:tc>
          <w:tcPr>
            <w:tcW w:type="dxa" w:w="1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25</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2,163</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740</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2,903</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2,555</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1,597</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7,055</w:t>
            </w:r>
          </w:p>
        </w:tc>
        <w:tc>
          <w:tcPr>
            <w:tcW w:type="dxa" w:w="119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approx. 500</w:t>
            </w:r>
          </w:p>
        </w:tc>
      </w:tr>
      <w:tr>
        <w:trPr>
          <w:tblHeader w:val="false"/>
        </w:trPr>
        <w:tc>
          <w:tcPr>
            <w:tcW w:type="dxa" w:w="1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28</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2,293</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787</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3,080</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2,710</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1,694</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7,484</w:t>
            </w:r>
          </w:p>
        </w:tc>
        <w:tc>
          <w:tcPr>
            <w:tcW w:type="dxa" w:w="119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approx. 500</w:t>
            </w:r>
          </w:p>
        </w:tc>
      </w:tr>
      <w:tr>
        <w:trPr>
          <w:tblHeader w:val="false"/>
        </w:trPr>
        <w:tc>
          <w:tcPr>
            <w:tcW w:type="dxa" w:w="1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30</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2,379</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818</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3,197</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2,813</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1,758</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7,768</w:t>
            </w:r>
          </w:p>
        </w:tc>
        <w:tc>
          <w:tcPr>
            <w:tcW w:type="dxa" w:w="119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approx. 500</w:t>
            </w:r>
          </w:p>
        </w:tc>
      </w:tr>
      <w:tr>
        <w:trPr>
          <w:tblHeader w:val="false"/>
        </w:trPr>
        <w:tc>
          <w:tcPr>
            <w:tcW w:type="dxa" w:w="1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35</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2,595</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896</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3,491</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3,072</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1,920</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8,483</w:t>
            </w:r>
          </w:p>
        </w:tc>
        <w:tc>
          <w:tcPr>
            <w:tcW w:type="dxa" w:w="119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approx. 500</w:t>
            </w:r>
          </w:p>
        </w:tc>
      </w:tr>
      <w:tr>
        <w:trPr>
          <w:tblHeader w:val="false"/>
        </w:trPr>
        <w:tc>
          <w:tcPr>
            <w:tcW w:type="dxa" w:w="1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38</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2,726</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943</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3,669</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3,229</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2,018</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8,916</w:t>
            </w:r>
          </w:p>
        </w:tc>
        <w:tc>
          <w:tcPr>
            <w:tcW w:type="dxa" w:w="119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approx. 500</w:t>
            </w:r>
          </w:p>
        </w:tc>
      </w:tr>
      <w:tr>
        <w:trPr>
          <w:tblHeader w:val="false"/>
        </w:trPr>
        <w:tc>
          <w:tcPr>
            <w:tcW w:type="dxa" w:w="1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40</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2,812</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974</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3,786</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3,332</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2,082</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9,200</w:t>
            </w:r>
          </w:p>
        </w:tc>
        <w:tc>
          <w:tcPr>
            <w:tcW w:type="dxa" w:w="119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approx. 500</w:t>
            </w:r>
          </w:p>
        </w:tc>
      </w:tr>
      <w:tr>
        <w:trPr>
          <w:tblHeader w:val="false"/>
        </w:trPr>
        <w:tc>
          <w:tcPr>
            <w:tcW w:type="dxa" w:w="1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45</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3,029</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1,052</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4,081</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3,591</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2,245</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9,917</w:t>
            </w:r>
          </w:p>
        </w:tc>
        <w:tc>
          <w:tcPr>
            <w:tcW w:type="dxa" w:w="119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approx. 500</w:t>
            </w:r>
          </w:p>
        </w:tc>
      </w:tr>
      <w:tr>
        <w:trPr>
          <w:tblHeader w:val="false"/>
        </w:trPr>
        <w:tc>
          <w:tcPr>
            <w:tcW w:type="dxa" w:w="1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50</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3,245</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1,130</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4,375</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3,850</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2,406</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10,631</w:t>
            </w:r>
          </w:p>
        </w:tc>
        <w:tc>
          <w:tcPr>
            <w:tcW w:type="dxa" w:w="119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approx. 500</w:t>
            </w:r>
          </w:p>
        </w:tc>
      </w:tr>
      <w:tr>
        <w:trPr>
          <w:tblHeader w:val="false"/>
        </w:trPr>
        <w:tc>
          <w:tcPr>
            <w:tcW w:type="dxa" w:w="1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55</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3,461</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1,208</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4,669</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4,109</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2,568</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11,346</w:t>
            </w:r>
          </w:p>
        </w:tc>
        <w:tc>
          <w:tcPr>
            <w:tcW w:type="dxa" w:w="119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approx. 500</w:t>
            </w:r>
          </w:p>
        </w:tc>
      </w:tr>
      <w:tr>
        <w:trPr>
          <w:tblHeader w:val="false"/>
        </w:trPr>
        <w:tc>
          <w:tcPr>
            <w:tcW w:type="dxa" w:w="1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58</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3,592</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1,255</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4,847</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4,265</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2,666</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11,778</w:t>
            </w:r>
          </w:p>
        </w:tc>
        <w:tc>
          <w:tcPr>
            <w:tcW w:type="dxa" w:w="119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approx. 500</w:t>
            </w:r>
          </w:p>
        </w:tc>
      </w:tr>
      <w:tr>
        <w:trPr>
          <w:tblHeader w:val="false"/>
        </w:trPr>
        <w:tc>
          <w:tcPr>
            <w:tcW w:type="dxa" w:w="1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60</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3,678</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1,286</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4,964</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4,368</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2,730</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12,062</w:t>
            </w:r>
          </w:p>
        </w:tc>
        <w:tc>
          <w:tcPr>
            <w:tcW w:type="dxa" w:w="119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approx. 500</w:t>
            </w:r>
          </w:p>
        </w:tc>
      </w:tr>
      <w:tr>
        <w:trPr>
          <w:tblHeader w:val="false"/>
        </w:trPr>
        <w:tc>
          <w:tcPr>
            <w:tcW w:type="dxa" w:w="1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65</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3,895</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1,364</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5,259</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4,628</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2,892</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12,779</w:t>
            </w:r>
          </w:p>
        </w:tc>
        <w:tc>
          <w:tcPr>
            <w:tcW w:type="dxa" w:w="119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approx. 500</w:t>
            </w:r>
          </w:p>
        </w:tc>
      </w:tr>
      <w:tr>
        <w:trPr>
          <w:tblHeader w:val="false"/>
        </w:trPr>
        <w:tc>
          <w:tcPr>
            <w:tcW w:type="dxa" w:w="1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70</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4,111</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1,442</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5,553</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4,887</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3,054</w:t>
            </w:r>
          </w:p>
        </w:tc>
        <w:tc>
          <w:tcPr>
            <w:tcW w:type="dxa" w:w="119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13,494</w:t>
            </w:r>
          </w:p>
        </w:tc>
        <w:tc>
          <w:tcPr>
            <w:tcW w:type="dxa" w:w="119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approx. 500</w:t>
            </w:r>
          </w:p>
        </w:tc>
      </w:tr>
      <w:tr>
        <w:trPr>
          <w:tblHeader w:val="false"/>
        </w:trPr>
        <w:tc>
          <w:tcPr>
            <w:tcW w:type="dxa" w:w="1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72</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4,197</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1,473</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5,670</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4,990</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3,119</w:t>
            </w:r>
          </w:p>
        </w:tc>
        <w:tc>
          <w:tcPr>
            <w:tcW w:type="dxa" w:w="119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13,779</w:t>
            </w:r>
          </w:p>
        </w:tc>
        <w:tc>
          <w:tcPr>
            <w:tcW w:type="dxa" w:w="119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approx. 500</w:t>
            </w:r>
          </w:p>
        </w:tc>
      </w:tr>
    </w:tbl>
    <w:p>
      <w:pPr>
        <w:spacing w:after="160"/>
      </w:pPr>
      <w:r>
        <w:rPr>
          <w:rFonts w:ascii="Georgia" w:cs="Georgia" w:eastAsia="SimSun" w:hAnsi="Georgia"/>
          <w:color w:val="6B7F94"/>
          <w:sz w:val="18"/>
          <w:szCs w:val="18"/>
        </w:rPr>
        <w:t xml:space="preserve">Acquisition-phase direct covers the first five activity lines through the delivery window; enduring sustainment direct covers the sixth line and persists for the fleet's life. The import-purchase memo carries the reference document's import pattern of roughly 200 direct and 500 total jobs at any quantity (CARRIED).</w:t>
      </w:r>
    </w:p>
    <w:p>
      <w:pPr>
        <w:spacing w:after="140" w:line="300"/>
        <w:ind w:firstLine="431"/>
      </w:pPr>
      <w:r>
        <w:rPr>
          <w:rFonts w:ascii="Georgia" w:cs="Georgia" w:eastAsia="SimSun" w:hAnsi="Georgia"/>
          <w:sz w:val="22"/>
          <w:szCs w:val="22"/>
        </w:rPr>
        <w:t xml:space="preserve">Three features stand out. First, the account now reads like the industrial programme it actually is: at fleet size 72 the Gripen E account alone carries 5,670 direct and 13,779 total jobs, against 2,019 direct and 4,906 total at fleet size 10, because assembly, propulsion, training, supplier and sustainment lines all fill with quantity. Second, the enduring sustainment line matters most over time: 506 to 1,473 direct jobs that never wind down, anchored in Halifax, Winnipeg and Cold Lake. Third, the assembly floor mirrors the drone programmes' engineering floor: fixed establishments of roughly 1,430 direct jobs exist regardless of quantity, so the per-aircraft job yield rises steadily as the fleet grows. The regional split of the account appears in Part IX.</w:t>
      </w:r>
    </w:p>
    <w:p>
      <w:pPr>
        <w:pStyle w:val="Heading2"/>
        <w:spacing w:after="140" w:before="280"/>
      </w:pPr>
      <w:r>
        <w:rPr>
          <w:rFonts w:ascii="Georgia" w:cs="Georgia" w:eastAsia="SimSun" w:hAnsi="Georgia"/>
          <w:b/>
          <w:bCs/>
          <w:color w:val="1F3A5F"/>
          <w:sz w:val="26"/>
          <w:szCs w:val="26"/>
        </w:rPr>
        <w:t xml:space="preserve">3.3 Gripen E against the F-35 Counterfactual</w:t>
      </w:r>
    </w:p>
    <w:p>
      <w:pPr>
        <w:spacing w:after="140" w:line="300"/>
        <w:ind w:firstLine="431"/>
      </w:pPr>
      <w:r>
        <w:rPr>
          <w:rFonts w:ascii="Georgia" w:cs="Georgia" w:eastAsia="SimSun" w:hAnsi="Georgia"/>
          <w:sz w:val="22"/>
          <w:szCs w:val="22"/>
        </w:rPr>
        <w:t xml:space="preserve">The reference document built its economic case on the F-35 comparison, and this issue preserves that discipline. The table below places the two aircraft options side by side at the quantities each programme actually discusses: 88 F-35A aircraft at the Auditor General's 2025 figure, and Gripen E fleets at 72 and, as a memo, 88 aircraft on the normalized reference.</w:t>
      </w:r>
    </w:p>
    <w:p>
      <w:pPr>
        <w:spacing w:after="100" w:before="120"/>
        <w:jc w:val="center"/>
      </w:pPr>
      <w:r>
        <w:rPr>
          <w:rFonts w:ascii="Georgia" w:cs="Georgia" w:eastAsia="SimSun" w:hAnsi="Georgia"/>
          <w:i/>
          <w:iCs/>
          <w:color w:val="6B7F94"/>
          <w:sz w:val="18"/>
          <w:szCs w:val="18"/>
        </w:rPr>
        <w:t xml:space="preserve">Table III-3. Gripen E acquisition against the F-35 counterfactual (2026 CAD)</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300"/>
        <w:gridCol w:w="2353"/>
        <w:gridCol w:w="2353"/>
        <w:gridCol w:w="2354"/>
      </w:tblGrid>
      <w:tr>
        <w:trPr>
          <w:tblHeader/>
        </w:trPr>
        <w:tc>
          <w:tcPr>
            <w:tcW w:type="dxa" w:w="23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Metric</w:t>
            </w:r>
          </w:p>
        </w:tc>
        <w:tc>
          <w:tcPr>
            <w:tcW w:type="dxa" w:w="2353"/>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F-35A option (88 aircraft)</w:t>
            </w:r>
          </w:p>
        </w:tc>
        <w:tc>
          <w:tcPr>
            <w:tcW w:type="dxa" w:w="2353"/>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Gripen E option at fleet size 72</w:t>
            </w:r>
          </w:p>
        </w:tc>
        <w:tc>
          <w:tcPr>
            <w:tcW w:type="dxa" w:w="2354"/>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Gripen E option at fleet size 88 (memo)</w:t>
            </w:r>
          </w:p>
        </w:tc>
      </w:tr>
      <w:tr>
        <w:trPr>
          <w:tblHeader w:val="false"/>
        </w:trPr>
        <w:tc>
          <w:tcPr>
            <w:tcW w:type="dxa" w:w="23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Acquisition cost</w:t>
            </w:r>
          </w:p>
        </w:tc>
        <w:tc>
          <w:tcPr>
            <w:tcW w:type="dxa" w:w="23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C$27.8B (OAG 2025, PUBLISHED)</w:t>
            </w:r>
          </w:p>
        </w:tc>
        <w:tc>
          <w:tcPr>
            <w:tcW w:type="dxa" w:w="23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C$8.26B (ESTIMATE, normalized reference)</w:t>
            </w:r>
          </w:p>
        </w:tc>
        <w:tc>
          <w:tcPr>
            <w:tcW w:type="dxa" w:w="2354"/>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C$10.10B (ESTIMATE, normalized reference)</w:t>
            </w:r>
          </w:p>
        </w:tc>
      </w:tr>
      <w:tr>
        <w:trPr>
          <w:tblHeader w:val="false"/>
        </w:trPr>
        <w:tc>
          <w:tcPr>
            <w:tcW w:type="dxa" w:w="23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Cost per aircraft</w:t>
            </w:r>
          </w:p>
        </w:tc>
        <w:tc>
          <w:tcPr>
            <w:tcW w:type="dxa" w:w="23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C$315.9M</w:t>
            </w:r>
          </w:p>
        </w:tc>
        <w:tc>
          <w:tcPr>
            <w:tcW w:type="dxa" w:w="23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C$114.75M</w:t>
            </w:r>
          </w:p>
        </w:tc>
        <w:tc>
          <w:tcPr>
            <w:tcW w:type="dxa" w:w="2354"/>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C$114.75M</w:t>
            </w:r>
          </w:p>
        </w:tc>
      </w:tr>
      <w:tr>
        <w:trPr>
          <w:tblHeader w:val="false"/>
        </w:trPr>
        <w:tc>
          <w:tcPr>
            <w:tcW w:type="dxa" w:w="23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Annual operating cost</w:t>
            </w:r>
          </w:p>
        </w:tc>
        <w:tc>
          <w:tcPr>
            <w:tcW w:type="dxa" w:w="23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C$1.52B (v5.0 reference, CARRIED)</w:t>
            </w:r>
          </w:p>
        </w:tc>
        <w:tc>
          <w:tcPr>
            <w:tcW w:type="dxa" w:w="23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C$0.39B class sustainment per the Gripen package family (ESTIMATE)</w:t>
            </w:r>
          </w:p>
        </w:tc>
        <w:tc>
          <w:tcPr>
            <w:tcW w:type="dxa" w:w="2354"/>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Same class</w:t>
            </w:r>
          </w:p>
        </w:tc>
      </w:tr>
      <w:tr>
        <w:trPr>
          <w:tblHeader w:val="false"/>
        </w:trPr>
        <w:tc>
          <w:tcPr>
            <w:tcW w:type="dxa" w:w="23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Canadian direct jobs (peak)</w:t>
            </w:r>
          </w:p>
        </w:tc>
        <w:tc>
          <w:tcPr>
            <w:tcW w:type="dxa" w:w="23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About 200 (import purchase, CARRIED)</w:t>
            </w:r>
          </w:p>
        </w:tc>
        <w:tc>
          <w:tcPr>
            <w:tcW w:type="dxa" w:w="23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2,400 under Canadian final assembly (ESTIMATE)</w:t>
            </w:r>
          </w:p>
        </w:tc>
        <w:tc>
          <w:tcPr>
            <w:tcW w:type="dxa" w:w="2354"/>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2,800 under Canadian final assembly (ESTIMATE)</w:t>
            </w:r>
          </w:p>
        </w:tc>
      </w:tr>
      <w:tr>
        <w:trPr>
          <w:tblHeader w:val="false"/>
        </w:trPr>
        <w:tc>
          <w:tcPr>
            <w:tcW w:type="dxa" w:w="23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Source code access</w:t>
            </w:r>
          </w:p>
        </w:tc>
        <w:tc>
          <w:tcPr>
            <w:tcW w:type="dxa" w:w="23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Denied (black box)</w:t>
            </w:r>
          </w:p>
        </w:tc>
        <w:tc>
          <w:tcPr>
            <w:tcW w:type="dxa" w:w="23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Full access under the Saab transfer guarantee (v5.0 reference, CARRIED)</w:t>
            </w:r>
          </w:p>
        </w:tc>
        <w:tc>
          <w:tcPr>
            <w:tcW w:type="dxa" w:w="2354"/>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Full access under the Saab transfer guarantee (v5.0 reference, CARRIED)</w:t>
            </w:r>
          </w:p>
        </w:tc>
      </w:tr>
      <w:tr>
        <w:trPr>
          <w:tblHeader w:val="false"/>
        </w:trPr>
        <w:tc>
          <w:tcPr>
            <w:tcW w:type="dxa" w:w="23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Arctic augmentation path</w:t>
            </w:r>
          </w:p>
        </w:tc>
        <w:tc>
          <w:tcPr>
            <w:tcW w:type="dxa" w:w="23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None priced</w:t>
            </w:r>
          </w:p>
        </w:tc>
        <w:tc>
          <w:tcPr>
            <w:tcW w:type="dxa" w:w="23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AOK-1 kit at C$7.905M per aircraft (PACKAGE)</w:t>
            </w:r>
          </w:p>
        </w:tc>
        <w:tc>
          <w:tcPr>
            <w:tcW w:type="dxa" w:w="2354"/>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AOK-1 kit at C$7.905M per aircraft (PACKAGE)</w:t>
            </w:r>
          </w:p>
        </w:tc>
      </w:tr>
    </w:tbl>
    <w:p>
      <w:pPr>
        <w:spacing w:after="160"/>
      </w:pPr>
      <w:r>
        <w:rPr>
          <w:rFonts w:ascii="Georgia" w:cs="Georgia" w:eastAsia="SimSun" w:hAnsi="Georgia"/>
          <w:color w:val="6B7F94"/>
          <w:sz w:val="18"/>
          <w:szCs w:val="18"/>
        </w:rPr>
        <w:t xml:space="preserve">Sources: OAG 2025 figure PUBLISHED; Gripen E figures ESTIMATE on the normalized reference; operating-cost and source-code rows CARRIED from the v5.0-era reference documents. The augmentation row prices through AGA-PRC-061 (PACKAGE).</w:t>
      </w:r>
    </w:p>
    <w:p>
      <w:pPr>
        <w:pStyle w:val="Heading1"/>
        <w:pBdr>
          <w:bottom w:val="single" w:color="C9A227" w:sz="8" w:space="4"/>
        </w:pBdr>
        <w:spacing w:after="180" w:before="360"/>
      </w:pPr>
      <w:r>
        <w:rPr>
          <w:rFonts w:ascii="Georgia" w:cs="Georgia" w:eastAsia="SimSun" w:hAnsi="Georgia"/>
          <w:b/>
          <w:bCs/>
          <w:color w:val="1F3A5F"/>
          <w:sz w:val="32"/>
          <w:szCs w:val="32"/>
        </w:rPr>
        <w:t xml:space="preserve">Part IV. Sprinter Fleet-Size Economics</w:t>
      </w:r>
    </w:p>
    <w:p>
      <w:pPr>
        <w:pStyle w:val="Heading2"/>
        <w:spacing w:after="140" w:before="280"/>
      </w:pPr>
      <w:r>
        <w:rPr>
          <w:rFonts w:ascii="Georgia" w:cs="Georgia" w:eastAsia="SimSun" w:hAnsi="Georgia"/>
          <w:b/>
          <w:bCs/>
          <w:color w:val="1F3A5F"/>
          <w:sz w:val="26"/>
          <w:szCs w:val="26"/>
        </w:rPr>
        <w:t xml:space="preserve">4.1 The Seventeen Sprinter Options</w:t>
      </w:r>
    </w:p>
    <w:p>
      <w:pPr>
        <w:spacing w:after="140" w:line="300"/>
        <w:ind w:firstLine="431"/>
      </w:pPr>
      <w:r>
        <w:rPr>
          <w:rFonts w:ascii="Georgia" w:cs="Georgia" w:eastAsia="SimSun" w:hAnsi="Georgia"/>
          <w:sz w:val="22"/>
          <w:szCs w:val="22"/>
        </w:rPr>
        <w:t xml:space="preserve">SPR-AIR-PPP-006 prices all seventeen fleet sizes on identical rules: a 92 percent unit learning curve anchored at C$11.85M for the 72-aircraft rate, fixed non-recurring engineering of C$1,320M, initial support of C$27.0M plus C$1.36M per aircraft, weapons initial provisioning at C$0.706M per aircraft, infrastructure at C$57.5M plus C$0.45M per aircraft, and contingency at 10 percent of the acquisition subtotal. The package's own Part XVI decision table carries the results; this Outlook reproduces it without alteration because it is the governing price list for the Sprinter element.</w:t>
      </w:r>
    </w:p>
    <w:p>
      <w:pPr>
        <w:spacing w:after="100" w:before="120"/>
        <w:jc w:val="center"/>
      </w:pPr>
      <w:r>
        <w:rPr>
          <w:rFonts w:ascii="Georgia" w:cs="Georgia" w:eastAsia="SimSun" w:hAnsi="Georgia"/>
          <w:i/>
          <w:iCs/>
          <w:color w:val="6B7F94"/>
          <w:sz w:val="18"/>
          <w:szCs w:val="18"/>
        </w:rPr>
        <w:t xml:space="preserve">Table IV-1. Sprinter programme cost by fleet size (2026 C$M; PACKAGE, SPR-AIR-PPP-006 Part XVI)</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720"/>
        <w:gridCol w:w="960"/>
        <w:gridCol w:w="960"/>
        <w:gridCol w:w="960"/>
        <w:gridCol w:w="960"/>
        <w:gridCol w:w="960"/>
        <w:gridCol w:w="960"/>
        <w:gridCol w:w="960"/>
        <w:gridCol w:w="960"/>
        <w:gridCol w:w="960"/>
      </w:tblGrid>
      <w:tr>
        <w:trPr>
          <w:tblHeader/>
        </w:trPr>
        <w:tc>
          <w:tcPr>
            <w:tcW w:type="dxa" w:w="72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N</w:t>
            </w:r>
          </w:p>
        </w:tc>
        <w:tc>
          <w:tcPr>
            <w:tcW w:type="dxa" w:w="9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Unit rec.</w:t>
            </w:r>
          </w:p>
        </w:tc>
        <w:tc>
          <w:tcPr>
            <w:tcW w:type="dxa" w:w="9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Fleet rec.</w:t>
            </w:r>
          </w:p>
        </w:tc>
        <w:tc>
          <w:tcPr>
            <w:tcW w:type="dxa" w:w="9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NRE</w:t>
            </w:r>
          </w:p>
        </w:tc>
        <w:tc>
          <w:tcPr>
            <w:tcW w:type="dxa" w:w="9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Init. support</w:t>
            </w:r>
          </w:p>
        </w:tc>
        <w:tc>
          <w:tcPr>
            <w:tcW w:type="dxa" w:w="9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Weapons</w:t>
            </w:r>
          </w:p>
        </w:tc>
        <w:tc>
          <w:tcPr>
            <w:tcW w:type="dxa" w:w="9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Infrast.</w:t>
            </w:r>
          </w:p>
        </w:tc>
        <w:tc>
          <w:tcPr>
            <w:tcW w:type="dxa" w:w="9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Conting.</w:t>
            </w:r>
          </w:p>
        </w:tc>
        <w:tc>
          <w:tcPr>
            <w:tcW w:type="dxa" w:w="9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Total acq.</w:t>
            </w:r>
          </w:p>
        </w:tc>
        <w:tc>
          <w:tcPr>
            <w:tcW w:type="dxa" w:w="9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Life 10-yr</w:t>
            </w:r>
          </w:p>
        </w:tc>
      </w:tr>
      <w:tr>
        <w:trPr>
          <w:tblHeader w:val="false"/>
        </w:trPr>
        <w:tc>
          <w:tcPr>
            <w:tcW w:type="dxa" w:w="72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15.03</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150.3</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40.6</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7.1</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62.0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158.0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1,737.9</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2,092.9</w:t>
            </w:r>
          </w:p>
        </w:tc>
      </w:tr>
      <w:tr>
        <w:trPr>
          <w:tblHeader w:val="false"/>
        </w:trPr>
        <w:tc>
          <w:tcPr>
            <w:tcW w:type="dxa" w:w="72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15</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14.31</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214.7</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47.4</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10.6</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64.2</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165.7</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1,822.6</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2,245.1</w:t>
            </w:r>
          </w:p>
        </w:tc>
      </w:tr>
      <w:tr>
        <w:trPr>
          <w:tblHeader w:val="false"/>
        </w:trPr>
        <w:tc>
          <w:tcPr>
            <w:tcW w:type="dxa" w:w="72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13.82</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276.5</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54.2</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14.1</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66.5</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173.1</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1,904.4</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2,394.4</w:t>
            </w:r>
          </w:p>
        </w:tc>
      </w:tr>
      <w:tr>
        <w:trPr>
          <w:tblHeader w:val="false"/>
        </w:trPr>
        <w:tc>
          <w:tcPr>
            <w:tcW w:type="dxa" w:w="72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25</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13.46</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336.5</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61.0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17.6</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68.8</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180.4</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1,984.2</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2,541.7</w:t>
            </w:r>
          </w:p>
        </w:tc>
      </w:tr>
      <w:tr>
        <w:trPr>
          <w:tblHeader w:val="false"/>
        </w:trPr>
        <w:tc>
          <w:tcPr>
            <w:tcW w:type="dxa" w:w="72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28</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13.28</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371.7</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65.1</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70.1</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184.7</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2,031.3</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2,629.3</w:t>
            </w:r>
          </w:p>
        </w:tc>
      </w:tr>
      <w:tr>
        <w:trPr>
          <w:tblHeader w:val="false"/>
        </w:trPr>
        <w:tc>
          <w:tcPr>
            <w:tcW w:type="dxa" w:w="72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13.17</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395.0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67.8</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21.2</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71.0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187.5</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2,062.5</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2,687.5</w:t>
            </w:r>
          </w:p>
        </w:tc>
      </w:tr>
      <w:tr>
        <w:trPr>
          <w:tblHeader w:val="false"/>
        </w:trPr>
        <w:tc>
          <w:tcPr>
            <w:tcW w:type="dxa" w:w="72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35</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12.92</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452.3</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74.6</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24.7</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73.2</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194.5</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2,139.4</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2,831.9</w:t>
            </w:r>
          </w:p>
        </w:tc>
      </w:tr>
      <w:tr>
        <w:trPr>
          <w:tblHeader w:val="false"/>
        </w:trPr>
        <w:tc>
          <w:tcPr>
            <w:tcW w:type="dxa" w:w="72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38</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12.80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486.3</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78.7</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26.8</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74.6</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198.6</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2,185.0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2,918.0</w:t>
            </w:r>
          </w:p>
        </w:tc>
      </w:tr>
      <w:tr>
        <w:trPr>
          <w:tblHeader w:val="false"/>
        </w:trPr>
        <w:tc>
          <w:tcPr>
            <w:tcW w:type="dxa" w:w="72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12.72</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508.7</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81.4</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28.2</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75.5</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201.4</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2,215.3</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2,975.3</w:t>
            </w:r>
          </w:p>
        </w:tc>
      </w:tr>
      <w:tr>
        <w:trPr>
          <w:tblHeader w:val="false"/>
        </w:trPr>
        <w:tc>
          <w:tcPr>
            <w:tcW w:type="dxa" w:w="72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45</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12.54</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564.3</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88.2</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31.8</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77.8</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208.2</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2,290.2</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3,117.7</w:t>
            </w:r>
          </w:p>
        </w:tc>
      </w:tr>
      <w:tr>
        <w:trPr>
          <w:tblHeader w:val="false"/>
        </w:trPr>
        <w:tc>
          <w:tcPr>
            <w:tcW w:type="dxa" w:w="72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12.38</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619.1</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95.0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35.3</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80.0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214.9</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2,364.3</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3,259.3</w:t>
            </w:r>
          </w:p>
        </w:tc>
      </w:tr>
      <w:tr>
        <w:trPr>
          <w:tblHeader w:val="false"/>
        </w:trPr>
        <w:tc>
          <w:tcPr>
            <w:tcW w:type="dxa" w:w="72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55</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12.24</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673.2</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101.8</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38.8</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82.2</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221.6</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2,437.7</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3,400.2</w:t>
            </w:r>
          </w:p>
        </w:tc>
      </w:tr>
      <w:tr>
        <w:trPr>
          <w:tblHeader w:val="false"/>
        </w:trPr>
        <w:tc>
          <w:tcPr>
            <w:tcW w:type="dxa" w:w="72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58</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12.16</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705.4</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105.9</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40.9</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83.6</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225.6</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2,481.4</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3,484.4</w:t>
            </w:r>
          </w:p>
        </w:tc>
      </w:tr>
      <w:tr>
        <w:trPr>
          <w:tblHeader w:val="false"/>
        </w:trPr>
        <w:tc>
          <w:tcPr>
            <w:tcW w:type="dxa" w:w="72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12.11</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726.8</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108.6</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42.4</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84.5</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228.2</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2,510.4</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3,540.4</w:t>
            </w:r>
          </w:p>
        </w:tc>
      </w:tr>
      <w:tr>
        <w:trPr>
          <w:tblHeader w:val="false"/>
        </w:trPr>
        <w:tc>
          <w:tcPr>
            <w:tcW w:type="dxa" w:w="72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65</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12.00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779.8</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115.4</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45.9</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86.8</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234.8</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2,582.6</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3,680.1</w:t>
            </w:r>
          </w:p>
        </w:tc>
      </w:tr>
      <w:tr>
        <w:trPr>
          <w:tblHeader w:val="false"/>
        </w:trPr>
        <w:tc>
          <w:tcPr>
            <w:tcW w:type="dxa" w:w="72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11.89</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832.3</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122.2</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49.4</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89.0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241.3</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2,654.2</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3,819.2</w:t>
            </w:r>
          </w:p>
        </w:tc>
      </w:tr>
      <w:tr>
        <w:trPr>
          <w:tblHeader w:val="false"/>
        </w:trPr>
        <w:tc>
          <w:tcPr>
            <w:tcW w:type="dxa" w:w="72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72</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11.85</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853.2</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124.9</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50.8</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89.9</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243.9</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2,682.7</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3,874.7</w:t>
            </w:r>
          </w:p>
        </w:tc>
      </w:tr>
    </w:tbl>
    <w:p>
      <w:pPr>
        <w:spacing w:after="160"/>
      </w:pPr>
      <w:r>
        <w:rPr>
          <w:rFonts w:ascii="Georgia" w:cs="Georgia" w:eastAsia="SimSun" w:hAnsi="Georgia"/>
          <w:color w:val="6B7F94"/>
          <w:sz w:val="18"/>
          <w:szCs w:val="18"/>
        </w:rPr>
        <w:t xml:space="preserve">Lifecycle 10-year adds ten years of sustainment at C$1.35M per aircraft per year plus C$22.0M fixed programme support. Totals differ by rounding at the 0.1M level.</w:t>
      </w:r>
    </w:p>
    <w:p>
      <w:pPr>
        <w:pStyle w:val="Heading2"/>
        <w:spacing w:after="140" w:before="280"/>
      </w:pPr>
      <w:r>
        <w:rPr>
          <w:rFonts w:ascii="Georgia" w:cs="Georgia" w:eastAsia="SimSun" w:hAnsi="Georgia"/>
          <w:b/>
          <w:bCs/>
          <w:color w:val="1F3A5F"/>
          <w:sz w:val="26"/>
          <w:szCs w:val="26"/>
        </w:rPr>
        <w:t xml:space="preserve">4.2 Reading the Sprinter Curve</w:t>
      </w:r>
    </w:p>
    <w:p>
      <w:pPr>
        <w:spacing w:after="140" w:line="300"/>
        <w:ind w:firstLine="431"/>
      </w:pPr>
      <w:r>
        <w:rPr>
          <w:rFonts w:ascii="Georgia" w:cs="Georgia" w:eastAsia="SimSun" w:hAnsi="Georgia"/>
          <w:sz w:val="22"/>
          <w:szCs w:val="22"/>
        </w:rPr>
        <w:t xml:space="preserve">The Sprinter economics turn on non-recurring dilution. At 10 aircraft the C$1,320M engineering account allocates C$132.0M to each tail, nearly nine times the recurring unit cost, and the all-in figure reaches C$174.2M per aircraft. At 40 aircraft the allocation falls to C$33.0M and the all-in figure to C$55.5M. At 72 it reaches C$18.3M and C$37.3M. The package itself draws the conclusion: the curve flattens beyond about 40 aircraft, which makes 40 the practical minimum for an economically defensible Sprinter programme. Each squadron of 12 beyond 40 adds roughly C$155M of recurring procurement while reducing unit cost by only 2 to 4 percent.</w:t>
      </w:r>
    </w:p>
    <w:p>
      <w:pPr>
        <w:spacing w:after="140" w:line="300"/>
        <w:ind w:firstLine="431"/>
      </w:pPr>
      <w:r>
        <w:rPr>
          <w:rFonts w:ascii="Georgia" w:cs="Georgia" w:eastAsia="SimSun" w:hAnsi="Georgia"/>
          <w:sz w:val="22"/>
          <w:szCs w:val="22"/>
        </w:rPr>
        <w:t xml:space="preserve">The recurring curve contributes a second, quieter effect. Moving from 10 to 72 aircraft cuts the unit recurring price from C$15.03M to C$11.85M, a 21 percent learning gain worth C$229M on a 72-aircraft run relative to flat pricing at the 10-aircraft unit rate. Canada captures most of that gain domestically: the composite cell, final assembly and acceptance test all sit at Mirabel, and the package measures roughly 48 percent Canadian content at first article rising toward 56 percent at rate production as recycled-material streams localize.</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V. Striker Fleet-Size Economics</w:t>
      </w:r>
    </w:p>
    <w:p>
      <w:pPr>
        <w:pStyle w:val="Heading2"/>
        <w:spacing w:after="140" w:before="280"/>
      </w:pPr>
      <w:r>
        <w:rPr>
          <w:rFonts w:ascii="Georgia" w:cs="Georgia" w:eastAsia="SimSun" w:hAnsi="Georgia"/>
          <w:b/>
          <w:bCs/>
          <w:color w:val="1F3A5F"/>
          <w:sz w:val="26"/>
          <w:szCs w:val="26"/>
        </w:rPr>
        <w:t xml:space="preserve">5.1 The Seventeen Striker Options</w:t>
      </w:r>
    </w:p>
    <w:p>
      <w:pPr>
        <w:spacing w:after="140" w:line="300"/>
        <w:ind w:firstLine="431"/>
      </w:pPr>
      <w:r>
        <w:rPr>
          <w:rFonts w:ascii="Georgia" w:cs="Georgia" w:eastAsia="SimSun" w:hAnsi="Georgia"/>
          <w:sz w:val="22"/>
          <w:szCs w:val="22"/>
        </w:rPr>
        <w:t xml:space="preserve">STR-AIR-PPP-003 prices the Striker on a deliberately simple and auditable model: unit recurring cost U(N) = C$24.30M x (N/48)^b with b = ln(0.92)/ln(2), initial support S(N) = C$68M + C$3.0M x N, fixed non-recurring engineering of C$2,380M, and decision-basis adders of C$9.18M per aircraft for the standard initial effects package, C$150M + C$0.55M per aircraft for infrastructure, and 10 percent contingency. The package publishes the seventeen core rows directly; the adders follow its Part IX formulas. The 48-aircraft point is a costing reference, not a force-structure recommendation.</w:t>
      </w:r>
    </w:p>
    <w:p>
      <w:pPr>
        <w:spacing w:after="100" w:before="120"/>
        <w:jc w:val="center"/>
      </w:pPr>
      <w:r>
        <w:rPr>
          <w:rFonts w:ascii="Georgia" w:cs="Georgia" w:eastAsia="SimSun" w:hAnsi="Georgia"/>
          <w:i/>
          <w:iCs/>
          <w:color w:val="6B7F94"/>
          <w:sz w:val="18"/>
          <w:szCs w:val="18"/>
        </w:rPr>
        <w:t xml:space="preserve">Table V-1. Striker programme cost by fleet size (2026 C$M; core columns PACKAGE from STR-AIR-PPP-003 Table 9-3; adders CALCULATED from Part IX formulas)</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720"/>
        <w:gridCol w:w="960"/>
        <w:gridCol w:w="960"/>
        <w:gridCol w:w="960"/>
        <w:gridCol w:w="960"/>
        <w:gridCol w:w="960"/>
        <w:gridCol w:w="960"/>
        <w:gridCol w:w="960"/>
        <w:gridCol w:w="960"/>
        <w:gridCol w:w="960"/>
      </w:tblGrid>
      <w:tr>
        <w:trPr>
          <w:tblHeader/>
        </w:trPr>
        <w:tc>
          <w:tcPr>
            <w:tcW w:type="dxa" w:w="72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N</w:t>
            </w:r>
          </w:p>
        </w:tc>
        <w:tc>
          <w:tcPr>
            <w:tcW w:type="dxa" w:w="9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Unit rec.</w:t>
            </w:r>
          </w:p>
        </w:tc>
        <w:tc>
          <w:tcPr>
            <w:tcW w:type="dxa" w:w="9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Fleet rec.</w:t>
            </w:r>
          </w:p>
        </w:tc>
        <w:tc>
          <w:tcPr>
            <w:tcW w:type="dxa" w:w="9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NRE</w:t>
            </w:r>
          </w:p>
        </w:tc>
        <w:tc>
          <w:tcPr>
            <w:tcW w:type="dxa" w:w="9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Init. support</w:t>
            </w:r>
          </w:p>
        </w:tc>
        <w:tc>
          <w:tcPr>
            <w:tcW w:type="dxa" w:w="9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Weapons</w:t>
            </w:r>
          </w:p>
        </w:tc>
        <w:tc>
          <w:tcPr>
            <w:tcW w:type="dxa" w:w="9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Infrast.</w:t>
            </w:r>
          </w:p>
        </w:tc>
        <w:tc>
          <w:tcPr>
            <w:tcW w:type="dxa" w:w="9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Conting.</w:t>
            </w:r>
          </w:p>
        </w:tc>
        <w:tc>
          <w:tcPr>
            <w:tcW w:type="dxa" w:w="9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Total acq.</w:t>
            </w:r>
          </w:p>
        </w:tc>
        <w:tc>
          <w:tcPr>
            <w:tcW w:type="dxa" w:w="9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Life 15-yr</w:t>
            </w:r>
          </w:p>
        </w:tc>
      </w:tr>
      <w:tr>
        <w:trPr>
          <w:tblHeader w:val="false"/>
        </w:trPr>
        <w:tc>
          <w:tcPr>
            <w:tcW w:type="dxa" w:w="72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29.30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293.5</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2,380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98.0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91.8</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155.5</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301.9</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3,320.7</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5,030.7</w:t>
            </w:r>
          </w:p>
        </w:tc>
      </w:tr>
      <w:tr>
        <w:trPr>
          <w:tblHeader w:val="false"/>
        </w:trPr>
        <w:tc>
          <w:tcPr>
            <w:tcW w:type="dxa" w:w="72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15</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27.90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419.2</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2,380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113.0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137.7</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158.2</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320.8</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3,528.9</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5,393.9</w:t>
            </w:r>
          </w:p>
        </w:tc>
      </w:tr>
      <w:tr>
        <w:trPr>
          <w:tblHeader w:val="false"/>
        </w:trPr>
        <w:tc>
          <w:tcPr>
            <w:tcW w:type="dxa" w:w="72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27.00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540.0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2,380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128.0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183.6</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161.0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339.3</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3,731.9</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5,751.9</w:t>
            </w:r>
          </w:p>
        </w:tc>
      </w:tr>
      <w:tr>
        <w:trPr>
          <w:tblHeader w:val="false"/>
        </w:trPr>
        <w:tc>
          <w:tcPr>
            <w:tcW w:type="dxa" w:w="72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25</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26.30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657.1</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2,380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143.0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229.5</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163.8</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357.3</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3,930.7</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6,105.7</w:t>
            </w:r>
          </w:p>
        </w:tc>
      </w:tr>
      <w:tr>
        <w:trPr>
          <w:tblHeader w:val="false"/>
        </w:trPr>
        <w:tc>
          <w:tcPr>
            <w:tcW w:type="dxa" w:w="72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28</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25.90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726.0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2,380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152.0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257.0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165.4</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368.0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4,048.4</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6,316.4</w:t>
            </w:r>
          </w:p>
        </w:tc>
      </w:tr>
      <w:tr>
        <w:trPr>
          <w:tblHeader w:val="false"/>
        </w:trPr>
        <w:tc>
          <w:tcPr>
            <w:tcW w:type="dxa" w:w="72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25.70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771.4</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2,380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158.0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275.4</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166.5</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375.1</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4,126.4</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6,456.4</w:t>
            </w:r>
          </w:p>
        </w:tc>
      </w:tr>
      <w:tr>
        <w:trPr>
          <w:tblHeader w:val="false"/>
        </w:trPr>
        <w:tc>
          <w:tcPr>
            <w:tcW w:type="dxa" w:w="72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35</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25.20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883.4</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2,380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173.0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321.3</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169.2</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392.7</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4,319.6</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6,804.6</w:t>
            </w:r>
          </w:p>
        </w:tc>
      </w:tr>
      <w:tr>
        <w:trPr>
          <w:tblHeader w:val="false"/>
        </w:trPr>
        <w:tc>
          <w:tcPr>
            <w:tcW w:type="dxa" w:w="72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38</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25.00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949.7</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2,380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182.0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348.8</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170.9</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403.1</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4,434.5</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7,012.5</w:t>
            </w:r>
          </w:p>
        </w:tc>
      </w:tr>
      <w:tr>
        <w:trPr>
          <w:tblHeader w:val="false"/>
        </w:trPr>
        <w:tc>
          <w:tcPr>
            <w:tcW w:type="dxa" w:w="72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24.80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993.6</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2,380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188.0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367.2</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172.0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410.1</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4,510.9</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7,150.9</w:t>
            </w:r>
          </w:p>
        </w:tc>
      </w:tr>
      <w:tr>
        <w:trPr>
          <w:tblHeader w:val="false"/>
        </w:trPr>
        <w:tc>
          <w:tcPr>
            <w:tcW w:type="dxa" w:w="72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45</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24.50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1,102.0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2,380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203.0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413.1</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174.8</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427.3</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4,700.2</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7,495.2</w:t>
            </w:r>
          </w:p>
        </w:tc>
      </w:tr>
      <w:tr>
        <w:trPr>
          <w:tblHeader w:val="false"/>
        </w:trPr>
        <w:tc>
          <w:tcPr>
            <w:tcW w:type="dxa" w:w="72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24.20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1,209.0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2,380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218.0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459.0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177.5</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444.4</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4,887.9</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7,837.9</w:t>
            </w:r>
          </w:p>
        </w:tc>
      </w:tr>
      <w:tr>
        <w:trPr>
          <w:tblHeader w:val="false"/>
        </w:trPr>
        <w:tc>
          <w:tcPr>
            <w:tcW w:type="dxa" w:w="72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55</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23.90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1,314.8</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2,380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233.0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504.9</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180.2</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461.3</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5,074.2</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8,179.2</w:t>
            </w:r>
          </w:p>
        </w:tc>
      </w:tr>
      <w:tr>
        <w:trPr>
          <w:tblHeader w:val="false"/>
        </w:trPr>
        <w:tc>
          <w:tcPr>
            <w:tcW w:type="dxa" w:w="72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58</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23.80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1,377.7</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2,380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242.0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532.4</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181.9</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471.4</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5,185.4</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8,383.4</w:t>
            </w:r>
          </w:p>
        </w:tc>
      </w:tr>
      <w:tr>
        <w:trPr>
          <w:tblHeader w:val="false"/>
        </w:trPr>
        <w:tc>
          <w:tcPr>
            <w:tcW w:type="dxa" w:w="72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23.70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1,419.4</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2,380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248.0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550.8</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183.0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478.1</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5,259.3</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8,519.3</w:t>
            </w:r>
          </w:p>
        </w:tc>
      </w:tr>
      <w:tr>
        <w:trPr>
          <w:tblHeader w:val="false"/>
        </w:trPr>
        <w:tc>
          <w:tcPr>
            <w:tcW w:type="dxa" w:w="72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65</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23.40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1,522.9</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2,380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263.0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596.7</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185.8</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494.8</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5,443.2</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8,858.2</w:t>
            </w:r>
          </w:p>
        </w:tc>
      </w:tr>
      <w:tr>
        <w:trPr>
          <w:tblHeader w:val="false"/>
        </w:trPr>
        <w:tc>
          <w:tcPr>
            <w:tcW w:type="dxa" w:w="72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23.20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1,625.5</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2,380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278.0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642.6</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188.5</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511.5</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5,626.1</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9,196.1</w:t>
            </w:r>
          </w:p>
        </w:tc>
      </w:tr>
      <w:tr>
        <w:trPr>
          <w:tblHeader w:val="false"/>
        </w:trPr>
        <w:tc>
          <w:tcPr>
            <w:tcW w:type="dxa" w:w="72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72</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23.10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1,666.3</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2,380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284.0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661.0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189.6</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518.1</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5,699.0</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9,331.0</w:t>
            </w:r>
          </w:p>
        </w:tc>
      </w:tr>
    </w:tbl>
    <w:p>
      <w:pPr>
        <w:spacing w:after="160"/>
      </w:pPr>
      <w:r>
        <w:rPr>
          <w:rFonts w:ascii="Georgia" w:cs="Georgia" w:eastAsia="SimSun" w:hAnsi="Georgia"/>
          <w:color w:val="6B7F94"/>
          <w:sz w:val="18"/>
          <w:szCs w:val="18"/>
        </w:rPr>
        <w:t xml:space="preserve">Lifecycle 15-year adds the package support estimate of C$1,400M + C$31M per aircraft over 15 years. The weapons column prices the standard initial effects package at C$9.18M per aircraft; the package marks it separable, and deleting it changes no aircraft cost line.</w:t>
      </w:r>
    </w:p>
    <w:p>
      <w:pPr>
        <w:pStyle w:val="Heading2"/>
        <w:spacing w:after="140" w:before="280"/>
      </w:pPr>
      <w:r>
        <w:rPr>
          <w:rFonts w:ascii="Georgia" w:cs="Georgia" w:eastAsia="SimSun" w:hAnsi="Georgia"/>
          <w:b/>
          <w:bCs/>
          <w:color w:val="1F3A5F"/>
          <w:sz w:val="26"/>
          <w:szCs w:val="26"/>
        </w:rPr>
        <w:t xml:space="preserve">5.2 Reading the Striker Curve</w:t>
      </w:r>
    </w:p>
    <w:p>
      <w:pPr>
        <w:spacing w:after="140" w:line="300"/>
        <w:ind w:firstLine="431"/>
      </w:pPr>
      <w:r>
        <w:rPr>
          <w:rFonts w:ascii="Georgia" w:cs="Georgia" w:eastAsia="SimSun" w:hAnsi="Georgia"/>
          <w:sz w:val="22"/>
          <w:szCs w:val="22"/>
        </w:rPr>
        <w:t xml:space="preserve">The Striker carries the largest fixed account in the programme: C$2,380M of non-recurring engineering against C$294M of recurring production at fleet size 10. Fixed cost therefore dominates the small end even more heavily than for the Sprinter: at 10 aircraft the core programme runs C$2,771.5M, of which 86 percent is engineering and support infrastructure rather than aircraft. Total acquisition including effects, infrastructure and contingency spans C$3,321M at 10 aircraft to C$5,699M at 72. The all-in cost per aircraft falls from C$332M to C$79M across that range.</w:t>
      </w:r>
    </w:p>
    <w:p>
      <w:pPr>
        <w:spacing w:after="140" w:line="300"/>
        <w:ind w:firstLine="431"/>
      </w:pPr>
      <w:r>
        <w:rPr>
          <w:rFonts w:ascii="Georgia" w:cs="Georgia" w:eastAsia="SimSun" w:hAnsi="Georgia"/>
          <w:sz w:val="22"/>
          <w:szCs w:val="22"/>
        </w:rPr>
        <w:t xml:space="preserve">The Striker learning curve rewards quantity more steeply in dollar terms because the unit is larger: unit recurring falls from C$29.35M at 10 to C$23.14M at 72, a C$6.2M per-aircraft swing. The package's own sensitivity work adds a control point worth repeating here: a learning-curve worsening from 92 to 95 percent adds approximately C$90M of recurring cost across a 48-aircraft run, which is why the package ties rate-production tooling, stable configuration and lot options to the curve assumption.</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VI. Arctic Gripen Augmentation Fleet-Size Economics</w:t>
      </w:r>
    </w:p>
    <w:p>
      <w:pPr>
        <w:pStyle w:val="Heading2"/>
        <w:spacing w:after="140" w:before="280"/>
      </w:pPr>
      <w:r>
        <w:rPr>
          <w:rFonts w:ascii="Georgia" w:cs="Georgia" w:eastAsia="SimSun" w:hAnsi="Georgia"/>
          <w:b/>
          <w:bCs/>
          <w:color w:val="1F3A5F"/>
          <w:sz w:val="26"/>
          <w:szCs w:val="26"/>
        </w:rPr>
        <w:t xml:space="preserve">6.1 The Seventeen Augmentation Options</w:t>
      </w:r>
    </w:p>
    <w:p>
      <w:pPr>
        <w:spacing w:after="140" w:line="300"/>
        <w:ind w:firstLine="431"/>
      </w:pPr>
      <w:r>
        <w:rPr>
          <w:rFonts w:ascii="Georgia" w:cs="Georgia" w:eastAsia="SimSun" w:hAnsi="Georgia"/>
          <w:sz w:val="22"/>
          <w:szCs w:val="22"/>
        </w:rPr>
        <w:t xml:space="preserve">AGA-PRC-061 prices the Arctic augmentation package only: the AOK-1 permanent kit, one CFT-A2 conformal tank pair per aircraft in the comparable full package, Arctic ground support, initial sustainment, qualification and 15 percent contingency. The recurring unit holds flat at C$7.905M because a modification kit has no airframe learning curve; scale effects enter through the fixed C$198.0M engineering account and through support nodes, which step from one to four as the fleet crosses 18, 36 and 54 aircraft. The purchase price of Gripen E aircraft appears nowhere in this element, by the scope rule that governs this entire Outlook; Part III prices the aircraft separately.</w:t>
      </w:r>
    </w:p>
    <w:p>
      <w:pPr>
        <w:spacing w:after="100" w:before="120"/>
        <w:jc w:val="center"/>
      </w:pPr>
      <w:r>
        <w:rPr>
          <w:rFonts w:ascii="Georgia" w:cs="Georgia" w:eastAsia="SimSun" w:hAnsi="Georgia"/>
          <w:i/>
          <w:iCs/>
          <w:color w:val="6B7F94"/>
          <w:sz w:val="18"/>
          <w:szCs w:val="18"/>
        </w:rPr>
        <w:t xml:space="preserve">Table VI-1. Gripen augmentation programme cost by fleet size (2026 C$M; PACKAGE, AGA-PRC-061 Part XIII)</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760"/>
        <w:gridCol w:w="955"/>
        <w:gridCol w:w="955"/>
        <w:gridCol w:w="955"/>
        <w:gridCol w:w="955"/>
        <w:gridCol w:w="955"/>
        <w:gridCol w:w="955"/>
        <w:gridCol w:w="955"/>
        <w:gridCol w:w="955"/>
        <w:gridCol w:w="960"/>
      </w:tblGrid>
      <w:tr>
        <w:trPr>
          <w:tblHeader/>
        </w:trPr>
        <w:tc>
          <w:tcPr>
            <w:tcW w:type="dxa" w:w="76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N</w:t>
            </w:r>
          </w:p>
        </w:tc>
        <w:tc>
          <w:tcPr>
            <w:tcW w:type="dxa" w:w="955"/>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Unit rec.</w:t>
            </w:r>
          </w:p>
        </w:tc>
        <w:tc>
          <w:tcPr>
            <w:tcW w:type="dxa" w:w="955"/>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Fleet rec.</w:t>
            </w:r>
          </w:p>
        </w:tc>
        <w:tc>
          <w:tcPr>
            <w:tcW w:type="dxa" w:w="955"/>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NRE</w:t>
            </w:r>
          </w:p>
        </w:tc>
        <w:tc>
          <w:tcPr>
            <w:tcW w:type="dxa" w:w="955"/>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Init. support</w:t>
            </w:r>
          </w:p>
        </w:tc>
        <w:tc>
          <w:tcPr>
            <w:tcW w:type="dxa" w:w="955"/>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Infrast.</w:t>
            </w:r>
          </w:p>
        </w:tc>
        <w:tc>
          <w:tcPr>
            <w:tcW w:type="dxa" w:w="955"/>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Conting. 15%</w:t>
            </w:r>
          </w:p>
        </w:tc>
        <w:tc>
          <w:tcPr>
            <w:tcW w:type="dxa" w:w="955"/>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Total acq.</w:t>
            </w:r>
          </w:p>
        </w:tc>
        <w:tc>
          <w:tcPr>
            <w:tcW w:type="dxa" w:w="955"/>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Life 25-yr</w:t>
            </w:r>
          </w:p>
        </w:tc>
        <w:tc>
          <w:tcPr>
            <w:tcW w:type="dxa" w:w="9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Nodes</w:t>
            </w:r>
          </w:p>
        </w:tc>
      </w:tr>
      <w:tr>
        <w:trPr>
          <w:tblHeader w:val="false"/>
        </w:trPr>
        <w:tc>
          <w:tcPr>
            <w:tcW w:type="dxa" w:w="76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10</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7.905</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79.1</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51.7</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26.3</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53.3</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408.3</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680.8</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w:t>
            </w:r>
          </w:p>
        </w:tc>
      </w:tr>
      <w:tr>
        <w:trPr>
          <w:tblHeader w:val="false"/>
        </w:trPr>
        <w:tc>
          <w:tcPr>
            <w:tcW w:type="dxa" w:w="76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15</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7.905</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118.6</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59.5</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27.7</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60.6</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464.3</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788.0</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w:t>
            </w:r>
          </w:p>
        </w:tc>
      </w:tr>
      <w:tr>
        <w:trPr>
          <w:tblHeader w:val="false"/>
        </w:trPr>
        <w:tc>
          <w:tcPr>
            <w:tcW w:type="dxa" w:w="76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20</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7.905</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158.1</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71.4</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36.6</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69.6</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533.7</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908.7</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w:t>
            </w:r>
          </w:p>
        </w:tc>
      </w:tr>
      <w:tr>
        <w:trPr>
          <w:tblHeader w:val="false"/>
        </w:trPr>
        <w:tc>
          <w:tcPr>
            <w:tcW w:type="dxa" w:w="76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25</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7.905</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197.6</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79.2</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38.0</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76.9</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589.7</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1,015.9</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w:t>
            </w:r>
          </w:p>
        </w:tc>
      </w:tr>
      <w:tr>
        <w:trPr>
          <w:tblHeader w:val="false"/>
        </w:trPr>
        <w:tc>
          <w:tcPr>
            <w:tcW w:type="dxa" w:w="76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28</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7.905</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221.3</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83.8</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38.8</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81.3</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623.3</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1,080.3</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w:t>
            </w:r>
          </w:p>
        </w:tc>
      </w:tr>
      <w:tr>
        <w:trPr>
          <w:tblHeader w:val="false"/>
        </w:trPr>
        <w:tc>
          <w:tcPr>
            <w:tcW w:type="dxa" w:w="76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30</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7.905</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237.2</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86.9</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39.4</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84.2</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645.7</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1,123.2</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w:t>
            </w:r>
          </w:p>
        </w:tc>
      </w:tr>
      <w:tr>
        <w:trPr>
          <w:tblHeader w:val="false"/>
        </w:trPr>
        <w:tc>
          <w:tcPr>
            <w:tcW w:type="dxa" w:w="76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35</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7.905</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276.7</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94.7</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40.8</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91.5</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701.6</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1,230.4</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w:t>
            </w:r>
          </w:p>
        </w:tc>
      </w:tr>
      <w:tr>
        <w:trPr>
          <w:tblHeader w:val="false"/>
        </w:trPr>
        <w:tc>
          <w:tcPr>
            <w:tcW w:type="dxa" w:w="76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38</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7.905</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300.4</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103.5</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49.1</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97.7</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748.7</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1,308.2</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w:t>
            </w:r>
          </w:p>
        </w:tc>
      </w:tr>
      <w:tr>
        <w:trPr>
          <w:tblHeader w:val="false"/>
        </w:trPr>
        <w:tc>
          <w:tcPr>
            <w:tcW w:type="dxa" w:w="76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40</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7.905</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316.2</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106.6</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49.7</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100.6</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771.1</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1,351.1</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w:t>
            </w:r>
          </w:p>
        </w:tc>
      </w:tr>
      <w:tr>
        <w:trPr>
          <w:tblHeader w:val="false"/>
        </w:trPr>
        <w:tc>
          <w:tcPr>
            <w:tcW w:type="dxa" w:w="76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45</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7.905</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355.7</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114.4</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51.1</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107.9</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827.1</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1,458.3</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w:t>
            </w:r>
          </w:p>
        </w:tc>
      </w:tr>
      <w:tr>
        <w:trPr>
          <w:tblHeader w:val="false"/>
        </w:trPr>
        <w:tc>
          <w:tcPr>
            <w:tcW w:type="dxa" w:w="76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50</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7.905</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395.3</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122.1</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52.5</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115.2</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883.0</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1,565.5</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w:t>
            </w:r>
          </w:p>
        </w:tc>
      </w:tr>
      <w:tr>
        <w:trPr>
          <w:tblHeader w:val="false"/>
        </w:trPr>
        <w:tc>
          <w:tcPr>
            <w:tcW w:type="dxa" w:w="76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55</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7.905</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434.8</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134.1</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61.4</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124.2</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952.5</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1,686.2</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w:t>
            </w:r>
          </w:p>
        </w:tc>
      </w:tr>
      <w:tr>
        <w:trPr>
          <w:tblHeader w:val="false"/>
        </w:trPr>
        <w:tc>
          <w:tcPr>
            <w:tcW w:type="dxa" w:w="76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58</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7.905</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458.5</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138.7</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62.2</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128.6</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986.0</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1,750.5</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w:t>
            </w:r>
          </w:p>
        </w:tc>
      </w:tr>
      <w:tr>
        <w:trPr>
          <w:tblHeader w:val="false"/>
        </w:trPr>
        <w:tc>
          <w:tcPr>
            <w:tcW w:type="dxa" w:w="76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60</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7.905</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474.3</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141.8</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62.8</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131.5</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1,008.4</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1,793.4</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w:t>
            </w:r>
          </w:p>
        </w:tc>
      </w:tr>
      <w:tr>
        <w:trPr>
          <w:tblHeader w:val="false"/>
        </w:trPr>
        <w:tc>
          <w:tcPr>
            <w:tcW w:type="dxa" w:w="76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65</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7.905</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513.8</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149.6</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64.2</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138.8</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1,064.4</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1,900.7</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w:t>
            </w:r>
          </w:p>
        </w:tc>
      </w:tr>
      <w:tr>
        <w:trPr>
          <w:tblHeader w:val="false"/>
        </w:trPr>
        <w:tc>
          <w:tcPr>
            <w:tcW w:type="dxa" w:w="76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70</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7.905</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553.4</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157.3</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65.6</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146.1</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1,120.4</w:t>
            </w:r>
          </w:p>
        </w:tc>
        <w:tc>
          <w:tcPr>
            <w:tcW w:type="dxa" w:w="95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2,007.9</w:t>
            </w:r>
          </w:p>
        </w:tc>
        <w:tc>
          <w:tcPr>
            <w:tcW w:type="dxa" w:w="9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w:t>
            </w:r>
          </w:p>
        </w:tc>
      </w:tr>
      <w:tr>
        <w:trPr>
          <w:tblHeader w:val="false"/>
        </w:trPr>
        <w:tc>
          <w:tcPr>
            <w:tcW w:type="dxa" w:w="76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72</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7.905</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569.2</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160.4</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66.2</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149.1</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1,142.8</w:t>
            </w:r>
          </w:p>
        </w:tc>
        <w:tc>
          <w:tcPr>
            <w:tcW w:type="dxa" w:w="95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2,050.8</w:t>
            </w:r>
          </w:p>
        </w:tc>
        <w:tc>
          <w:tcPr>
            <w:tcW w:type="dxa" w:w="9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w:t>
            </w:r>
          </w:p>
        </w:tc>
      </w:tr>
    </w:tbl>
    <w:p>
      <w:pPr>
        <w:spacing w:after="160"/>
      </w:pPr>
      <w:r>
        <w:rPr>
          <w:rFonts w:ascii="Georgia" w:cs="Georgia" w:eastAsia="SimSun" w:hAnsi="Georgia"/>
          <w:color w:val="6B7F94"/>
          <w:sz w:val="18"/>
          <w:szCs w:val="18"/>
        </w:rPr>
        <w:t xml:space="preserve">Coating content of C$174,000 per aircraft sits inside recurring cost as a memo item, never additive. The AOK-1-only sensitivity prices C$6.263M recurring per aircraft with a C$154.0M NRE basis if Canada defers the conformal tanks.</w:t>
      </w:r>
    </w:p>
    <w:p>
      <w:pPr>
        <w:pStyle w:val="Heading2"/>
        <w:spacing w:after="140" w:before="280"/>
      </w:pPr>
      <w:r>
        <w:rPr>
          <w:rFonts w:ascii="Georgia" w:cs="Georgia" w:eastAsia="SimSun" w:hAnsi="Georgia"/>
          <w:b/>
          <w:bCs/>
          <w:color w:val="1F3A5F"/>
          <w:sz w:val="26"/>
          <w:szCs w:val="26"/>
        </w:rPr>
        <w:t xml:space="preserve">6.2 Reading the Augmentation Curve</w:t>
      </w:r>
    </w:p>
    <w:p>
      <w:pPr>
        <w:spacing w:after="140" w:line="300"/>
        <w:ind w:firstLine="431"/>
      </w:pPr>
      <w:r>
        <w:rPr>
          <w:rFonts w:ascii="Georgia" w:cs="Georgia" w:eastAsia="SimSun" w:hAnsi="Georgia"/>
          <w:sz w:val="22"/>
          <w:szCs w:val="22"/>
        </w:rPr>
        <w:t xml:space="preserve">The augmentation element behaves differently from the drones: flat unit pricing makes the fleet-size story purely about fixed-cost dilution and node steps. NRE per aircraft falls from C$19.8M at 10 aircraft to C$2.75M at 72. The support-node steps create small discontinuities in per-aircraft support cost at 19, 37 and 55 aircraft, visible in the table as the support column jumps at those boundaries. Total acquisition spans C$408.3M at 10 packages to C$1,142.8M at 72, and the 25-year augmentation lifecycle spans C$680.8M to C$2,050.8M.</w:t>
      </w:r>
    </w:p>
    <w:p>
      <w:pPr>
        <w:spacing w:after="140" w:line="300"/>
        <w:ind w:firstLine="431"/>
      </w:pPr>
      <w:r>
        <w:rPr>
          <w:rFonts w:ascii="Georgia" w:cs="Georgia" w:eastAsia="SimSun" w:hAnsi="Georgia"/>
          <w:sz w:val="22"/>
          <w:szCs w:val="22"/>
        </w:rPr>
        <w:t xml:space="preserve">This element carries the highest Canadian content in the programme: 60.6 percent of gross recurring value sources from Canadian primary suppliers, with kit embodiment at IMP Aerospace and L3Harris MAS, navigation content from NovAtel Calgary, structural work from Magellan Winnipeg and Avcorp, and simulation content from CAE. Because the kit buys Canadian labour and Canadian hardware on an imported aircraft Canada already operates, each augmentation dollar captures more domestic value than any drone dollar at first article.</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VII. Combined Northern Horizon Fleet Scenarios</w:t>
      </w:r>
    </w:p>
    <w:p>
      <w:pPr>
        <w:pStyle w:val="Heading2"/>
        <w:spacing w:after="140" w:before="280"/>
      </w:pPr>
      <w:r>
        <w:rPr>
          <w:rFonts w:ascii="Georgia" w:cs="Georgia" w:eastAsia="SimSun" w:hAnsi="Georgia"/>
          <w:b/>
          <w:bCs/>
          <w:color w:val="1F3A5F"/>
          <w:sz w:val="26"/>
          <w:szCs w:val="26"/>
        </w:rPr>
        <w:t xml:space="preserve">7.1 The Seventeen Combined Fleets</w:t>
      </w:r>
    </w:p>
    <w:p>
      <w:pPr>
        <w:spacing w:after="140" w:line="300"/>
        <w:ind w:firstLine="431"/>
      </w:pPr>
      <w:r>
        <w:rPr>
          <w:rFonts w:ascii="Georgia" w:cs="Georgia" w:eastAsia="SimSun" w:hAnsi="Georgia"/>
          <w:sz w:val="22"/>
          <w:szCs w:val="22"/>
        </w:rPr>
        <w:t xml:space="preserve">The combined scenario at fleet size N procures N Sprinters, N Strikers and N Gripen augmentation packages, 3N aircraft elements in total. Each element keeps its own package pricing, its own contingency policy and its own support architecture; the combination is arithmetic, not averaging. Combined acquisition spans C$5,467M at fleet size 10 to C$9,524M at fleet size 72. The all-in cost per aircraft element falls from C$182.2M to C$44.1M across the same range, the single clearest statement of what scale buys.</w:t>
      </w:r>
    </w:p>
    <w:p>
      <w:pPr>
        <w:spacing w:after="100" w:before="120"/>
        <w:jc w:val="center"/>
      </w:pPr>
      <w:r>
        <w:rPr>
          <w:rFonts w:ascii="Georgia" w:cs="Georgia" w:eastAsia="SimSun" w:hAnsi="Georgia"/>
          <w:i/>
          <w:iCs/>
          <w:color w:val="6B7F94"/>
          <w:sz w:val="18"/>
          <w:szCs w:val="18"/>
        </w:rPr>
        <w:t xml:space="preserve">Table VII-1. Combined Northern Horizon acquisition by fleet size (2026 C$M; element columns PACKAGE, combination CALCULATED)</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050"/>
        <w:gridCol w:w="1038"/>
        <w:gridCol w:w="1038"/>
        <w:gridCol w:w="1038"/>
        <w:gridCol w:w="1038"/>
        <w:gridCol w:w="1038"/>
        <w:gridCol w:w="1038"/>
        <w:gridCol w:w="1038"/>
        <w:gridCol w:w="1044"/>
      </w:tblGrid>
      <w:tr>
        <w:trPr>
          <w:tblHeader/>
        </w:trPr>
        <w:tc>
          <w:tcPr>
            <w:tcW w:type="dxa" w:w="105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N</w:t>
            </w:r>
          </w:p>
        </w:tc>
        <w:tc>
          <w:tcPr>
            <w:tcW w:type="dxa" w:w="1038"/>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Total elements</w:t>
            </w:r>
          </w:p>
        </w:tc>
        <w:tc>
          <w:tcPr>
            <w:tcW w:type="dxa" w:w="1038"/>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Sprinter</w:t>
            </w:r>
          </w:p>
        </w:tc>
        <w:tc>
          <w:tcPr>
            <w:tcW w:type="dxa" w:w="1038"/>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Striker</w:t>
            </w:r>
          </w:p>
        </w:tc>
        <w:tc>
          <w:tcPr>
            <w:tcW w:type="dxa" w:w="1038"/>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Gripen aug.</w:t>
            </w:r>
          </w:p>
        </w:tc>
        <w:tc>
          <w:tcPr>
            <w:tcW w:type="dxa" w:w="1038"/>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Combined acq.</w:t>
            </w:r>
          </w:p>
        </w:tc>
        <w:tc>
          <w:tcPr>
            <w:tcW w:type="dxa" w:w="1038"/>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All-in per ac.</w:t>
            </w:r>
          </w:p>
        </w:tc>
        <w:tc>
          <w:tcPr>
            <w:tcW w:type="dxa" w:w="1038"/>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Cdn capture</w:t>
            </w:r>
          </w:p>
        </w:tc>
        <w:tc>
          <w:tcPr>
            <w:tcW w:type="dxa" w:w="1044"/>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Share</w:t>
            </w:r>
          </w:p>
        </w:tc>
      </w:tr>
      <w:tr>
        <w:trPr>
          <w:tblHeader w:val="false"/>
        </w:trPr>
        <w:tc>
          <w:tcPr>
            <w:tcW w:type="dxa" w:w="10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10</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1,737.9</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3,320.7</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408.3</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5,466.9</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182.2</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4,359.3</w:t>
            </w:r>
          </w:p>
        </w:tc>
        <w:tc>
          <w:tcPr>
            <w:tcW w:type="dxa" w:w="104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79.7%</w:t>
            </w:r>
          </w:p>
        </w:tc>
      </w:tr>
      <w:tr>
        <w:trPr>
          <w:tblHeader w:val="false"/>
        </w:trPr>
        <w:tc>
          <w:tcPr>
            <w:tcW w:type="dxa" w:w="10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15</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1,822.6</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3,528.9</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464.3</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5,815.9</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129.2</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4,528.4</w:t>
            </w:r>
          </w:p>
        </w:tc>
        <w:tc>
          <w:tcPr>
            <w:tcW w:type="dxa" w:w="104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77.9%</w:t>
            </w:r>
          </w:p>
        </w:tc>
      </w:tr>
      <w:tr>
        <w:trPr>
          <w:tblHeader w:val="false"/>
        </w:trPr>
        <w:tc>
          <w:tcPr>
            <w:tcW w:type="dxa" w:w="10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20</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1,904.4</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3,731.9</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533.7</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6,170.0</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102.8</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4,708.4</w:t>
            </w:r>
          </w:p>
        </w:tc>
        <w:tc>
          <w:tcPr>
            <w:tcW w:type="dxa" w:w="104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76.3%</w:t>
            </w:r>
          </w:p>
        </w:tc>
      </w:tr>
      <w:tr>
        <w:trPr>
          <w:tblHeader w:val="false"/>
        </w:trPr>
        <w:tc>
          <w:tcPr>
            <w:tcW w:type="dxa" w:w="10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25</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75</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1,984.2</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3,930.7</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589.7</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6,504.6</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86.7</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4,875.7</w:t>
            </w:r>
          </w:p>
        </w:tc>
        <w:tc>
          <w:tcPr>
            <w:tcW w:type="dxa" w:w="104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75%</w:t>
            </w:r>
          </w:p>
        </w:tc>
      </w:tr>
      <w:tr>
        <w:trPr>
          <w:tblHeader w:val="false"/>
        </w:trPr>
        <w:tc>
          <w:tcPr>
            <w:tcW w:type="dxa" w:w="10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28</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84</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2,031.3</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4,048.4</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623.3</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6,703.1</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79.8</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4,976.2</w:t>
            </w:r>
          </w:p>
        </w:tc>
        <w:tc>
          <w:tcPr>
            <w:tcW w:type="dxa" w:w="104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74.2%</w:t>
            </w:r>
          </w:p>
        </w:tc>
      </w:tr>
      <w:tr>
        <w:trPr>
          <w:tblHeader w:val="false"/>
        </w:trPr>
        <w:tc>
          <w:tcPr>
            <w:tcW w:type="dxa" w:w="10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30</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90</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2,062.5</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4,126.4</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645.7</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6,834.6</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75.9</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5,043.4</w:t>
            </w:r>
          </w:p>
        </w:tc>
        <w:tc>
          <w:tcPr>
            <w:tcW w:type="dxa" w:w="104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73.8%</w:t>
            </w:r>
          </w:p>
        </w:tc>
      </w:tr>
      <w:tr>
        <w:trPr>
          <w:tblHeader w:val="false"/>
        </w:trPr>
        <w:tc>
          <w:tcPr>
            <w:tcW w:type="dxa" w:w="10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35</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105</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2,139.4</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4,319.6</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701.6</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7,160.7</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68.2</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5,211.6</w:t>
            </w:r>
          </w:p>
        </w:tc>
        <w:tc>
          <w:tcPr>
            <w:tcW w:type="dxa" w:w="104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72.8%</w:t>
            </w:r>
          </w:p>
        </w:tc>
      </w:tr>
      <w:tr>
        <w:trPr>
          <w:tblHeader w:val="false"/>
        </w:trPr>
        <w:tc>
          <w:tcPr>
            <w:tcW w:type="dxa" w:w="10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38</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114</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2,185.0</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4,434.5</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748.7</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7,368.3</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64.6</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5,325.2</w:t>
            </w:r>
          </w:p>
        </w:tc>
        <w:tc>
          <w:tcPr>
            <w:tcW w:type="dxa" w:w="104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72.3%</w:t>
            </w:r>
          </w:p>
        </w:tc>
      </w:tr>
      <w:tr>
        <w:trPr>
          <w:tblHeader w:val="false"/>
        </w:trPr>
        <w:tc>
          <w:tcPr>
            <w:tcW w:type="dxa" w:w="10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40</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120</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2,215.3</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4,510.9</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771.1</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7,497.2</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62.5</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5,393.0</w:t>
            </w:r>
          </w:p>
        </w:tc>
        <w:tc>
          <w:tcPr>
            <w:tcW w:type="dxa" w:w="104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71.9%</w:t>
            </w:r>
          </w:p>
        </w:tc>
      </w:tr>
      <w:tr>
        <w:trPr>
          <w:tblHeader w:val="false"/>
        </w:trPr>
        <w:tc>
          <w:tcPr>
            <w:tcW w:type="dxa" w:w="10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45</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135</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2,290.2</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4,700.2</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827.1</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7,817.4</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57.9</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5,563.2</w:t>
            </w:r>
          </w:p>
        </w:tc>
        <w:tc>
          <w:tcPr>
            <w:tcW w:type="dxa" w:w="104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71.2%</w:t>
            </w:r>
          </w:p>
        </w:tc>
      </w:tr>
      <w:tr>
        <w:trPr>
          <w:tblHeader w:val="false"/>
        </w:trPr>
        <w:tc>
          <w:tcPr>
            <w:tcW w:type="dxa" w:w="10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50</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150</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2,364.3</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4,887.9</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883.0</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8,135.2</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54.2</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5,734.5</w:t>
            </w:r>
          </w:p>
        </w:tc>
        <w:tc>
          <w:tcPr>
            <w:tcW w:type="dxa" w:w="104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70.5%</w:t>
            </w:r>
          </w:p>
        </w:tc>
      </w:tr>
      <w:tr>
        <w:trPr>
          <w:tblHeader w:val="false"/>
        </w:trPr>
        <w:tc>
          <w:tcPr>
            <w:tcW w:type="dxa" w:w="10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55</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165</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2,437.7</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5,074.2</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952.5</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8,464.4</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51.3</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5,919.4</w:t>
            </w:r>
          </w:p>
        </w:tc>
        <w:tc>
          <w:tcPr>
            <w:tcW w:type="dxa" w:w="104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69.9%</w:t>
            </w:r>
          </w:p>
        </w:tc>
      </w:tr>
      <w:tr>
        <w:trPr>
          <w:tblHeader w:val="false"/>
        </w:trPr>
        <w:tc>
          <w:tcPr>
            <w:tcW w:type="dxa" w:w="10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58</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174</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2,481.4</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5,185.4</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986.0</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8,652.9</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49.7</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6,023.7</w:t>
            </w:r>
          </w:p>
        </w:tc>
        <w:tc>
          <w:tcPr>
            <w:tcW w:type="dxa" w:w="104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69.6%</w:t>
            </w:r>
          </w:p>
        </w:tc>
      </w:tr>
      <w:tr>
        <w:trPr>
          <w:tblHeader w:val="false"/>
        </w:trPr>
        <w:tc>
          <w:tcPr>
            <w:tcW w:type="dxa" w:w="10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60</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180</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2,510.4</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5,259.3</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1,008.4</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8,778.2</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48.8</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6,093.5</w:t>
            </w:r>
          </w:p>
        </w:tc>
        <w:tc>
          <w:tcPr>
            <w:tcW w:type="dxa" w:w="104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69.4%</w:t>
            </w:r>
          </w:p>
        </w:tc>
      </w:tr>
      <w:tr>
        <w:trPr>
          <w:tblHeader w:val="false"/>
        </w:trPr>
        <w:tc>
          <w:tcPr>
            <w:tcW w:type="dxa" w:w="10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65</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195</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2,582.6</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5,443.2</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1,064.4</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9,090.2</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46.6</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6,268.9</w:t>
            </w:r>
          </w:p>
        </w:tc>
        <w:tc>
          <w:tcPr>
            <w:tcW w:type="dxa" w:w="104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69%</w:t>
            </w:r>
          </w:p>
        </w:tc>
      </w:tr>
      <w:tr>
        <w:trPr>
          <w:tblHeader w:val="false"/>
        </w:trPr>
        <w:tc>
          <w:tcPr>
            <w:tcW w:type="dxa" w:w="10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70</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210</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2,654.2</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5,626.1</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1,120.4</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9,400.7</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44.8</w:t>
            </w:r>
          </w:p>
        </w:tc>
        <w:tc>
          <w:tcPr>
            <w:tcW w:type="dxa" w:w="103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6,445.9</w:t>
            </w:r>
          </w:p>
        </w:tc>
        <w:tc>
          <w:tcPr>
            <w:tcW w:type="dxa" w:w="1044"/>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68.6%</w:t>
            </w:r>
          </w:p>
        </w:tc>
      </w:tr>
      <w:tr>
        <w:trPr>
          <w:tblHeader w:val="false"/>
        </w:trPr>
        <w:tc>
          <w:tcPr>
            <w:tcW w:type="dxa" w:w="10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72</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216</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2,682.7</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5,699.0</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1,142.8</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9,524.5</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44.1</w:t>
            </w:r>
          </w:p>
        </w:tc>
        <w:tc>
          <w:tcPr>
            <w:tcW w:type="dxa" w:w="103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6,517.0</w:t>
            </w:r>
          </w:p>
        </w:tc>
        <w:tc>
          <w:tcPr>
            <w:tcW w:type="dxa" w:w="1044"/>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68.4%</w:t>
            </w:r>
          </w:p>
        </w:tc>
      </w:tr>
    </w:tbl>
    <w:p>
      <w:pPr>
        <w:spacing w:after="160"/>
      </w:pPr>
      <w:r>
        <w:rPr>
          <w:rFonts w:ascii="Georgia" w:cs="Georgia" w:eastAsia="SimSun" w:hAnsi="Georgia"/>
          <w:color w:val="6B7F94"/>
          <w:sz w:val="18"/>
          <w:szCs w:val="18"/>
        </w:rPr>
        <w:t xml:space="preserve">Canadian capture applies the content model of Part X: package-published content shares on recurring production, engineering-weighted shares on NRE, 100 percent on infrastructure, 5 percent on weapons accounts.</w:t>
      </w:r>
    </w:p>
    <w:p>
      <w:pPr>
        <w:spacing w:after="60" w:before="1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100" w:before="120"/>
        <w:jc w:val="center"/>
      </w:pPr>
      <w:r>
        <w:rPr>
          <w:rFonts w:ascii="Georgia" w:cs="Georgia" w:eastAsia="SimSun" w:hAnsi="Georgia"/>
          <w:i/>
          <w:iCs/>
          <w:color w:val="6B7F94"/>
          <w:sz w:val="18"/>
          <w:szCs w:val="18"/>
        </w:rPr>
        <w:t xml:space="preserve">Figure 1. Combined acquisition cost and all-in cost per aircraft element across the seventeen fleet sizes. Source: package tables, Appendix A arithmetic.</w:t>
      </w:r>
    </w:p>
    <w:p>
      <w:pPr>
        <w:pStyle w:val="Heading2"/>
        <w:spacing w:after="140" w:before="280"/>
      </w:pPr>
      <w:r>
        <w:rPr>
          <w:rFonts w:ascii="Georgia" w:cs="Georgia" w:eastAsia="SimSun" w:hAnsi="Georgia"/>
          <w:b/>
          <w:bCs/>
          <w:color w:val="1F3A5F"/>
          <w:sz w:val="26"/>
          <w:szCs w:val="26"/>
        </w:rPr>
        <w:t xml:space="preserve">7.2 Marginal Cost of Growth</w:t>
      </w:r>
    </w:p>
    <w:p>
      <w:pPr>
        <w:spacing w:after="140" w:line="300"/>
        <w:ind w:firstLine="431"/>
      </w:pPr>
      <w:r>
        <w:rPr>
          <w:rFonts w:ascii="Georgia" w:cs="Georgia" w:eastAsia="SimSun" w:hAnsi="Georgia"/>
          <w:sz w:val="22"/>
          <w:szCs w:val="22"/>
        </w:rPr>
        <w:t xml:space="preserve">The step-by-step marginal view isolates what each quantity increment buys. Moving from 10 to 15 of each type adds C$349M, or C$69.8M per added trio. The marginal trio cost then drifts down to a floor near C$62M and stays there: the learning curves flatten while support, weapons and infrastructure keep growing linearly. Programme design therefore faces a pure value judgement at the top end: above 60, each additional squadron trio costs about the same C$62M and buys capability depth and attrition margin rather than further unit-cost improvement.</w:t>
      </w:r>
    </w:p>
    <w:p>
      <w:pPr>
        <w:spacing w:after="100" w:before="120"/>
        <w:jc w:val="center"/>
      </w:pPr>
      <w:r>
        <w:rPr>
          <w:rFonts w:ascii="Georgia" w:cs="Georgia" w:eastAsia="SimSun" w:hAnsi="Georgia"/>
          <w:i/>
          <w:iCs/>
          <w:color w:val="6B7F94"/>
          <w:sz w:val="18"/>
          <w:szCs w:val="18"/>
        </w:rPr>
        <w:t xml:space="preserve">Table VII-2. Marginal acquisition cost between adjacent fleet sizes (CALCULATED)</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200"/>
        <w:gridCol w:w="2386"/>
        <w:gridCol w:w="2386"/>
        <w:gridCol w:w="2388"/>
      </w:tblGrid>
      <w:tr>
        <w:trPr>
          <w:tblHeader/>
        </w:trPr>
        <w:tc>
          <w:tcPr>
            <w:tcW w:type="dxa" w:w="22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Step</w:t>
            </w:r>
          </w:p>
        </w:tc>
        <w:tc>
          <w:tcPr>
            <w:tcW w:type="dxa" w:w="2386"/>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5"/>
                <w:szCs w:val="15"/>
              </w:rPr>
              <w:t xml:space="preserve">Added acquisition cost</w:t>
            </w:r>
          </w:p>
        </w:tc>
        <w:tc>
          <w:tcPr>
            <w:tcW w:type="dxa" w:w="2386"/>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5"/>
                <w:szCs w:val="15"/>
              </w:rPr>
              <w:t xml:space="preserve">Marginal cost per added trio</w:t>
            </w:r>
          </w:p>
        </w:tc>
        <w:tc>
          <w:tcPr>
            <w:tcW w:type="dxa" w:w="2388"/>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5"/>
                <w:szCs w:val="15"/>
              </w:rPr>
              <w:t xml:space="preserve">All-in per aircraft at upper step</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10 to 15</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+C$349M</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C$69.8M</w:t>
            </w:r>
          </w:p>
        </w:tc>
        <w:tc>
          <w:tcPr>
            <w:tcW w:type="dxa" w:w="238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C$129.2M</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15 to 20</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+C$354M</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C$70.8M</w:t>
            </w:r>
          </w:p>
        </w:tc>
        <w:tc>
          <w:tcPr>
            <w:tcW w:type="dxa" w:w="238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C$102.8M</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20 to 25</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+C$335M</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C$66.9M</w:t>
            </w:r>
          </w:p>
        </w:tc>
        <w:tc>
          <w:tcPr>
            <w:tcW w:type="dxa" w:w="238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C$86.7M</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25 to 28</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+C$199M</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C$66.2M</w:t>
            </w:r>
          </w:p>
        </w:tc>
        <w:tc>
          <w:tcPr>
            <w:tcW w:type="dxa" w:w="238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C$79.8M</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28 to 30</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+C$132M</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C$65.8M</w:t>
            </w:r>
          </w:p>
        </w:tc>
        <w:tc>
          <w:tcPr>
            <w:tcW w:type="dxa" w:w="238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C$75.9M</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30 to 35</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+C$326M</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C$65.2M</w:t>
            </w:r>
          </w:p>
        </w:tc>
        <w:tc>
          <w:tcPr>
            <w:tcW w:type="dxa" w:w="238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C$68.2M</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35 to 38</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+C$208M</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C$69.2M</w:t>
            </w:r>
          </w:p>
        </w:tc>
        <w:tc>
          <w:tcPr>
            <w:tcW w:type="dxa" w:w="238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C$64.6M</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38 to 40</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+C$129M</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C$64.4M</w:t>
            </w:r>
          </w:p>
        </w:tc>
        <w:tc>
          <w:tcPr>
            <w:tcW w:type="dxa" w:w="238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C$62.5M</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40 to 45</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+C$320M</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C$64.0M</w:t>
            </w:r>
          </w:p>
        </w:tc>
        <w:tc>
          <w:tcPr>
            <w:tcW w:type="dxa" w:w="238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C$57.9M</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45 to 50</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+C$318M</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C$63.6M</w:t>
            </w:r>
          </w:p>
        </w:tc>
        <w:tc>
          <w:tcPr>
            <w:tcW w:type="dxa" w:w="238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C$54.2M</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50 to 55</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+C$329M</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C$65.8M</w:t>
            </w:r>
          </w:p>
        </w:tc>
        <w:tc>
          <w:tcPr>
            <w:tcW w:type="dxa" w:w="238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C$51.3M</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55 to 58</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+C$189M</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C$62.8M</w:t>
            </w:r>
          </w:p>
        </w:tc>
        <w:tc>
          <w:tcPr>
            <w:tcW w:type="dxa" w:w="238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C$49.7M</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58 to 60</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+C$125M</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C$62.7M</w:t>
            </w:r>
          </w:p>
        </w:tc>
        <w:tc>
          <w:tcPr>
            <w:tcW w:type="dxa" w:w="238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C$48.8M</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60 to 65</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+C$312M</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C$62.4M</w:t>
            </w:r>
          </w:p>
        </w:tc>
        <w:tc>
          <w:tcPr>
            <w:tcW w:type="dxa" w:w="238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C$46.6M</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65 to 70</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+C$311M</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C$62.1M</w:t>
            </w:r>
          </w:p>
        </w:tc>
        <w:tc>
          <w:tcPr>
            <w:tcW w:type="dxa" w:w="238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C$44.8M</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70 to 72</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+C$124M</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C$61.9M</w:t>
            </w:r>
          </w:p>
        </w:tc>
        <w:tc>
          <w:tcPr>
            <w:tcW w:type="dxa" w:w="238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C$44.1M</w:t>
            </w:r>
          </w:p>
        </w:tc>
      </w:tr>
    </w:tbl>
    <w:p>
      <w:pPr>
        <w:pStyle w:val="Heading2"/>
        <w:spacing w:after="140" w:before="280"/>
      </w:pPr>
      <w:r>
        <w:rPr>
          <w:rFonts w:ascii="Georgia" w:cs="Georgia" w:eastAsia="SimSun" w:hAnsi="Georgia"/>
          <w:b/>
          <w:bCs/>
          <w:color w:val="1F3A5F"/>
          <w:sz w:val="26"/>
          <w:szCs w:val="26"/>
        </w:rPr>
        <w:t xml:space="preserve">7.3 Mixed Configurations: Small, Medium, Large and Maximum</w:t>
      </w:r>
    </w:p>
    <w:p>
      <w:pPr>
        <w:spacing w:after="140" w:line="300"/>
        <w:ind w:firstLine="431"/>
      </w:pPr>
      <w:r>
        <w:rPr>
          <w:rFonts w:ascii="Georgia" w:cs="Georgia" w:eastAsia="SimSun" w:hAnsi="Georgia"/>
          <w:sz w:val="22"/>
          <w:szCs w:val="22"/>
        </w:rPr>
        <w:t xml:space="preserve">The uniform-N analysis answers the comparability question, but force planners also mix quantities across types. Because each package prices its own quantity range independently, mixed configurations price exactly: take the Sprinter row at its quantity, the Striker row at its quantity and the augmentation row at its quantity, and add. Four planning configurations illustrate the space.</w:t>
      </w:r>
    </w:p>
    <w:p>
      <w:pPr>
        <w:spacing w:after="100" w:before="120"/>
        <w:jc w:val="center"/>
      </w:pPr>
      <w:r>
        <w:rPr>
          <w:rFonts w:ascii="Georgia" w:cs="Georgia" w:eastAsia="SimSun" w:hAnsi="Georgia"/>
          <w:i/>
          <w:iCs/>
          <w:color w:val="6B7F94"/>
          <w:sz w:val="18"/>
          <w:szCs w:val="18"/>
        </w:rPr>
        <w:t xml:space="preserve">Table VII-3. Mixed fleet configurations (CALCULATED from PACKAGE formulas; jobs and GDP per Appendix A)</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100"/>
        <w:gridCol w:w="1037"/>
        <w:gridCol w:w="1037"/>
        <w:gridCol w:w="1037"/>
        <w:gridCol w:w="1037"/>
        <w:gridCol w:w="1037"/>
        <w:gridCol w:w="1037"/>
        <w:gridCol w:w="1038"/>
      </w:tblGrid>
      <w:tr>
        <w:trPr>
          <w:tblHeader/>
        </w:trPr>
        <w:tc>
          <w:tcPr>
            <w:tcW w:type="dxa" w:w="21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Configuration</w:t>
            </w:r>
          </w:p>
        </w:tc>
        <w:tc>
          <w:tcPr>
            <w:tcW w:type="dxa" w:w="1037"/>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Sprinter</w:t>
            </w:r>
          </w:p>
        </w:tc>
        <w:tc>
          <w:tcPr>
            <w:tcW w:type="dxa" w:w="1037"/>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Striker</w:t>
            </w:r>
          </w:p>
        </w:tc>
        <w:tc>
          <w:tcPr>
            <w:tcW w:type="dxa" w:w="1037"/>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Gripen aug.</w:t>
            </w:r>
          </w:p>
        </w:tc>
        <w:tc>
          <w:tcPr>
            <w:tcW w:type="dxa" w:w="1037"/>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Acquisition</w:t>
            </w:r>
          </w:p>
        </w:tc>
        <w:tc>
          <w:tcPr>
            <w:tcW w:type="dxa" w:w="1037"/>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Total jobs (peak)</w:t>
            </w:r>
          </w:p>
        </w:tc>
        <w:tc>
          <w:tcPr>
            <w:tcW w:type="dxa" w:w="1037"/>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GDP 10-yr</w:t>
            </w:r>
          </w:p>
        </w:tc>
        <w:tc>
          <w:tcPr>
            <w:tcW w:type="dxa" w:w="1038"/>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Tax 10-yr</w:t>
            </w:r>
          </w:p>
        </w:tc>
      </w:tr>
      <w:tr>
        <w:trPr>
          <w:tblHeader w:val="false"/>
        </w:trPr>
        <w:tc>
          <w:tcPr>
            <w:tcW w:type="dxa" w:w="2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Small (20 Sprinter / 15 Striker / 28 augmentation)</w:t>
            </w:r>
          </w:p>
        </w:tc>
        <w:tc>
          <w:tcPr>
            <w:tcW w:type="dxa" w:w="103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C$1,904M</w:t>
            </w:r>
          </w:p>
        </w:tc>
        <w:tc>
          <w:tcPr>
            <w:tcW w:type="dxa" w:w="103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C$3,529M</w:t>
            </w:r>
          </w:p>
        </w:tc>
        <w:tc>
          <w:tcPr>
            <w:tcW w:type="dxa" w:w="103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C$623M</w:t>
            </w:r>
          </w:p>
        </w:tc>
        <w:tc>
          <w:tcPr>
            <w:tcW w:type="dxa" w:w="103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C$6,057M</w:t>
            </w:r>
          </w:p>
        </w:tc>
        <w:tc>
          <w:tcPr>
            <w:tcW w:type="dxa" w:w="103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7,306</w:t>
            </w:r>
          </w:p>
        </w:tc>
        <w:tc>
          <w:tcPr>
            <w:tcW w:type="dxa" w:w="103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C$13,808M</w:t>
            </w:r>
          </w:p>
        </w:tc>
        <w:tc>
          <w:tcPr>
            <w:tcW w:type="dxa" w:w="103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C$2,347M</w:t>
            </w:r>
          </w:p>
        </w:tc>
      </w:tr>
      <w:tr>
        <w:trPr>
          <w:tblHeader w:val="false"/>
        </w:trPr>
        <w:tc>
          <w:tcPr>
            <w:tcW w:type="dxa" w:w="2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Medium (40 Sprinter / 30 Striker / 50 augmentation)</w:t>
            </w:r>
          </w:p>
        </w:tc>
        <w:tc>
          <w:tcPr>
            <w:tcW w:type="dxa" w:w="103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C$2,215M</w:t>
            </w:r>
          </w:p>
        </w:tc>
        <w:tc>
          <w:tcPr>
            <w:tcW w:type="dxa" w:w="103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C$4,126M</w:t>
            </w:r>
          </w:p>
        </w:tc>
        <w:tc>
          <w:tcPr>
            <w:tcW w:type="dxa" w:w="103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C$883M</w:t>
            </w:r>
          </w:p>
        </w:tc>
        <w:tc>
          <w:tcPr>
            <w:tcW w:type="dxa" w:w="103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C$7,225M</w:t>
            </w:r>
          </w:p>
        </w:tc>
        <w:tc>
          <w:tcPr>
            <w:tcW w:type="dxa" w:w="103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7,940</w:t>
            </w:r>
          </w:p>
        </w:tc>
        <w:tc>
          <w:tcPr>
            <w:tcW w:type="dxa" w:w="103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C$16,388M</w:t>
            </w:r>
          </w:p>
        </w:tc>
        <w:tc>
          <w:tcPr>
            <w:tcW w:type="dxa" w:w="103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C$2,591M</w:t>
            </w:r>
          </w:p>
        </w:tc>
      </w:tr>
      <w:tr>
        <w:trPr>
          <w:tblHeader w:val="false"/>
        </w:trPr>
        <w:tc>
          <w:tcPr>
            <w:tcW w:type="dxa" w:w="2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Large (60 Sprinter / 48 Striker / 72 augmentation)</w:t>
            </w:r>
          </w:p>
        </w:tc>
        <w:tc>
          <w:tcPr>
            <w:tcW w:type="dxa" w:w="103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C$2,510M</w:t>
            </w:r>
          </w:p>
        </w:tc>
        <w:tc>
          <w:tcPr>
            <w:tcW w:type="dxa" w:w="103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C$4,813M</w:t>
            </w:r>
          </w:p>
        </w:tc>
        <w:tc>
          <w:tcPr>
            <w:tcW w:type="dxa" w:w="103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C$1,143M</w:t>
            </w:r>
          </w:p>
        </w:tc>
        <w:tc>
          <w:tcPr>
            <w:tcW w:type="dxa" w:w="103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C$8,466M</w:t>
            </w:r>
          </w:p>
        </w:tc>
        <w:tc>
          <w:tcPr>
            <w:tcW w:type="dxa" w:w="103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8,628</w:t>
            </w:r>
          </w:p>
        </w:tc>
        <w:tc>
          <w:tcPr>
            <w:tcW w:type="dxa" w:w="103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C$19,221M</w:t>
            </w:r>
          </w:p>
        </w:tc>
        <w:tc>
          <w:tcPr>
            <w:tcW w:type="dxa" w:w="103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C$2,859M</w:t>
            </w:r>
          </w:p>
        </w:tc>
      </w:tr>
      <w:tr>
        <w:trPr>
          <w:tblHeader w:val="false"/>
        </w:trPr>
        <w:tc>
          <w:tcPr>
            <w:tcW w:type="dxa" w:w="2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Maximum (72 Sprinter / 72 Striker / 72 augmentation)</w:t>
            </w:r>
          </w:p>
        </w:tc>
        <w:tc>
          <w:tcPr>
            <w:tcW w:type="dxa" w:w="103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C$2,683M</w:t>
            </w:r>
          </w:p>
        </w:tc>
        <w:tc>
          <w:tcPr>
            <w:tcW w:type="dxa" w:w="103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C$5,699M</w:t>
            </w:r>
          </w:p>
        </w:tc>
        <w:tc>
          <w:tcPr>
            <w:tcW w:type="dxa" w:w="103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C$1,143M</w:t>
            </w:r>
          </w:p>
        </w:tc>
        <w:tc>
          <w:tcPr>
            <w:tcW w:type="dxa" w:w="103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C$9,524M</w:t>
            </w:r>
          </w:p>
        </w:tc>
        <w:tc>
          <w:tcPr>
            <w:tcW w:type="dxa" w:w="103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9,691</w:t>
            </w:r>
          </w:p>
        </w:tc>
        <w:tc>
          <w:tcPr>
            <w:tcW w:type="dxa" w:w="103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C$21,675M</w:t>
            </w:r>
          </w:p>
        </w:tc>
        <w:tc>
          <w:tcPr>
            <w:tcW w:type="dxa" w:w="103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C$3,189M</w:t>
            </w:r>
          </w:p>
        </w:tc>
      </w:tr>
    </w:tbl>
    <w:p>
      <w:pPr>
        <w:spacing w:after="140" w:line="300"/>
        <w:ind w:firstLine="431"/>
      </w:pPr>
      <w:r>
        <w:rPr>
          <w:rFonts w:ascii="Georgia" w:cs="Georgia" w:eastAsia="SimSun" w:hAnsi="Georgia"/>
          <w:sz w:val="22"/>
          <w:szCs w:val="22"/>
        </w:rPr>
        <w:t xml:space="preserve">The mixed view confirms the uniform-fleet finding from a second angle. The Small configuration already commits C$6.06B because the fixed engineering accounts dominate; stepping to Medium adds C$1.17B and adds 634 peak jobs; stepping to Maximum adds C$3.47B over Small and adds 2,385 peak jobs. No configuration escapes the fixed-cost floor, which is the defining economic fact of the programme.</w:t>
      </w:r>
    </w:p>
    <w:p>
      <w:pPr>
        <w:pStyle w:val="Heading2"/>
        <w:spacing w:after="140" w:before="280"/>
      </w:pPr>
      <w:r>
        <w:rPr>
          <w:rFonts w:ascii="Georgia" w:cs="Georgia" w:eastAsia="SimSun" w:hAnsi="Georgia"/>
          <w:b/>
          <w:bCs/>
          <w:color w:val="1F3A5F"/>
          <w:sz w:val="26"/>
          <w:szCs w:val="26"/>
        </w:rPr>
        <w:t xml:space="preserve">7.4 The Entire Breadth of the Programme</w:t>
      </w:r>
    </w:p>
    <w:p>
      <w:pPr>
        <w:spacing w:after="140" w:line="300"/>
        <w:ind w:firstLine="431"/>
      </w:pPr>
      <w:r>
        <w:rPr>
          <w:rFonts w:ascii="Georgia" w:cs="Georgia" w:eastAsia="SimSun" w:hAnsi="Georgia"/>
          <w:sz w:val="22"/>
          <w:szCs w:val="22"/>
        </w:rPr>
        <w:t xml:space="preserve">The table below places every element side by side at the five anchor fleet sizes, with the Gripen E aircraft purchase of Part III shown as a memo column. Read together, the columns answer the whole-programme question: at fleet size 72, Canada buys 72 augmented Gripen E aircraft, 72 Sprinters and 72 Strikers for C$9.52B of Northern Horizon acquisition plus a C$8.26B aircraft account, C$17.8B in total against C$27.8B for 88 F-35A aircraft, while fielding 216 aircraft elements instead of 88.</w:t>
      </w:r>
    </w:p>
    <w:p>
      <w:pPr>
        <w:spacing w:after="100" w:before="120"/>
        <w:jc w:val="center"/>
      </w:pPr>
      <w:r>
        <w:rPr>
          <w:rFonts w:ascii="Georgia" w:cs="Georgia" w:eastAsia="SimSun" w:hAnsi="Georgia"/>
          <w:i/>
          <w:iCs/>
          <w:color w:val="6B7F94"/>
          <w:sz w:val="18"/>
          <w:szCs w:val="18"/>
        </w:rPr>
        <w:t xml:space="preserve">Table VII-4. Element-by-element comparison at anchor fleet sizes (2026 C$M; PACKAGE except memo column ESTIMATE)</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500"/>
        <w:gridCol w:w="1572"/>
        <w:gridCol w:w="1572"/>
        <w:gridCol w:w="1572"/>
        <w:gridCol w:w="1572"/>
        <w:gridCol w:w="1572"/>
      </w:tblGrid>
      <w:tr>
        <w:trPr>
          <w:tblHeader/>
        </w:trPr>
        <w:tc>
          <w:tcPr>
            <w:tcW w:type="dxa" w:w="15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Fleet size N (each type)</w:t>
            </w:r>
          </w:p>
        </w:tc>
        <w:tc>
          <w:tcPr>
            <w:tcW w:type="dxa" w:w="157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Sprinter acquisition (C$M)</w:t>
            </w:r>
          </w:p>
        </w:tc>
        <w:tc>
          <w:tcPr>
            <w:tcW w:type="dxa" w:w="157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Striker acquisition (C$M)</w:t>
            </w:r>
          </w:p>
        </w:tc>
        <w:tc>
          <w:tcPr>
            <w:tcW w:type="dxa" w:w="157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Gripen augmentation (C$M)</w:t>
            </w:r>
          </w:p>
        </w:tc>
        <w:tc>
          <w:tcPr>
            <w:tcW w:type="dxa" w:w="157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Northern Horizon combined (C$M)</w:t>
            </w:r>
          </w:p>
        </w:tc>
        <w:tc>
          <w:tcPr>
            <w:tcW w:type="dxa" w:w="157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Memo: Gripen E aircraft purchase (C$M, ESTIMATE)</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10</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1,737.9</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3,320.7</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408.3</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5,466.9</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1,148</w:t>
            </w:r>
          </w:p>
        </w:tc>
      </w:tr>
      <w:tr>
        <w:trPr>
          <w:tblHeader w:val="false"/>
        </w:trPr>
        <w:tc>
          <w:tcPr>
            <w:tcW w:type="dxa" w:w="1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28</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2,031.3</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4,048.4</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623.3</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6,703.1</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3,213</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40</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2,215.3</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4,510.9</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771.1</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7,497.2</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4,590</w:t>
            </w:r>
          </w:p>
        </w:tc>
      </w:tr>
      <w:tr>
        <w:trPr>
          <w:tblHeader w:val="false"/>
        </w:trPr>
        <w:tc>
          <w:tcPr>
            <w:tcW w:type="dxa" w:w="1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60</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2,510.4</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5,259.3</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1,008.4</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8,778.2</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6,885</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72</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2,682.7</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5,699.0</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1,142.8</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9,524.5</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8,262</w:t>
            </w:r>
          </w:p>
        </w:tc>
      </w:tr>
    </w:tbl>
    <w:p>
      <w:pPr>
        <w:spacing w:after="160"/>
      </w:pPr>
      <w:r>
        <w:rPr>
          <w:rFonts w:ascii="Georgia" w:cs="Georgia" w:eastAsia="SimSun" w:hAnsi="Georgia"/>
          <w:color w:val="6B7F94"/>
          <w:sz w:val="18"/>
          <w:szCs w:val="18"/>
        </w:rPr>
        <w:t xml:space="preserve">The memo column prices Gripen E aircraft on the Part III normalized reference (ESTIMATE) and never enters Northern Horizon totals.</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VIII. Employment by Fleet Size</w:t>
      </w:r>
    </w:p>
    <w:p>
      <w:pPr>
        <w:pStyle w:val="Heading2"/>
        <w:spacing w:after="140" w:before="280"/>
      </w:pPr>
      <w:r>
        <w:rPr>
          <w:rFonts w:ascii="Georgia" w:cs="Georgia" w:eastAsia="SimSun" w:hAnsi="Georgia"/>
          <w:b/>
          <w:bCs/>
          <w:color w:val="1F3A5F"/>
          <w:sz w:val="26"/>
          <w:szCs w:val="26"/>
        </w:rPr>
        <w:t xml:space="preserve">8.1 The Employment Model</w:t>
      </w:r>
    </w:p>
    <w:p>
      <w:pPr>
        <w:spacing w:after="140" w:line="300"/>
        <w:ind w:firstLine="431"/>
      </w:pPr>
      <w:r>
        <w:rPr>
          <w:rFonts w:ascii="Georgia" w:cs="Georgia" w:eastAsia="SimSun" w:hAnsi="Georgia"/>
          <w:sz w:val="22"/>
          <w:szCs w:val="22"/>
        </w:rPr>
        <w:t xml:space="preserve">Direct employment builds bottom-up from four categories, each with a stated basis. Development employment holds fixed at approximately 1,490 jobs: the three packages carry C$3,898M of non-recurring engineering, roughly 82 percent of it Canadian, and about 65 percent of that buys labour at aerospace engineering rates over a six-year development window. Production employment scales with Canadian recurring production content at 3.3 direct jobs per C$M of annual activity, the ISED-consistent aerospace labour intensity, spread over a delivery window that stretches from two years at fleet size 10 to six years at 72 under the rate-delivery constraints the packages publish. Facilities employment prices the three infrastructure accounts over a three-year construction window. Sustainment employment prices the annual sustainment spend at 85 percent Canadian content, the enduring footprint that persists for the fleet's life. Indirect and induced layers apply the ISED 2024 aerospace ratios of 0.88x and 0.55x, for a combined multiplier of 2.43x. Appendix A carries the full formulas.</w:t>
      </w:r>
    </w:p>
    <w:p>
      <w:pPr>
        <w:spacing w:after="100" w:before="120"/>
        <w:jc w:val="center"/>
      </w:pPr>
      <w:r>
        <w:rPr>
          <w:rFonts w:ascii="Georgia" w:cs="Georgia" w:eastAsia="SimSun" w:hAnsi="Georgia"/>
          <w:i/>
          <w:iCs/>
          <w:color w:val="6B7F94"/>
          <w:sz w:val="18"/>
          <w:szCs w:val="18"/>
        </w:rPr>
        <w:t xml:space="preserve">Table VIII-1. Employment by fleet size (peak-year jobs; CALCULATED; multipliers CARRIED from ISED 2024)</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900"/>
        <w:gridCol w:w="1057"/>
        <w:gridCol w:w="1057"/>
        <w:gridCol w:w="1057"/>
        <w:gridCol w:w="1057"/>
        <w:gridCol w:w="1057"/>
        <w:gridCol w:w="1057"/>
        <w:gridCol w:w="1057"/>
        <w:gridCol w:w="1061"/>
      </w:tblGrid>
      <w:tr>
        <w:trPr>
          <w:tblHeader/>
        </w:trPr>
        <w:tc>
          <w:tcPr>
            <w:tcW w:type="dxa" w:w="9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N</w:t>
            </w:r>
          </w:p>
        </w:tc>
        <w:tc>
          <w:tcPr>
            <w:tcW w:type="dxa" w:w="1057"/>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Development</w:t>
            </w:r>
          </w:p>
        </w:tc>
        <w:tc>
          <w:tcPr>
            <w:tcW w:type="dxa" w:w="1057"/>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Production</w:t>
            </w:r>
          </w:p>
        </w:tc>
        <w:tc>
          <w:tcPr>
            <w:tcW w:type="dxa" w:w="1057"/>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Facil. + sustain.</w:t>
            </w:r>
          </w:p>
        </w:tc>
        <w:tc>
          <w:tcPr>
            <w:tcW w:type="dxa" w:w="1057"/>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Direct (peak)</w:t>
            </w:r>
          </w:p>
        </w:tc>
        <w:tc>
          <w:tcPr>
            <w:tcW w:type="dxa" w:w="1057"/>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Indirect</w:t>
            </w:r>
          </w:p>
        </w:tc>
        <w:tc>
          <w:tcPr>
            <w:tcW w:type="dxa" w:w="1057"/>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Induced</w:t>
            </w:r>
          </w:p>
        </w:tc>
        <w:tc>
          <w:tcPr>
            <w:tcW w:type="dxa" w:w="1057"/>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Total (peak)</w:t>
            </w:r>
          </w:p>
        </w:tc>
        <w:tc>
          <w:tcPr>
            <w:tcW w:type="dxa" w:w="1061"/>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Direct steady</w:t>
            </w:r>
          </w:p>
        </w:tc>
      </w:tr>
      <w:tr>
        <w:trPr>
          <w:tblHeader w:val="false"/>
        </w:trPr>
        <w:tc>
          <w:tcPr>
            <w:tcW w:type="dxa" w:w="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10</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1,490</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445</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718</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2,653</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2,335</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1,459</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6,447</w:t>
            </w:r>
          </w:p>
        </w:tc>
        <w:tc>
          <w:tcPr>
            <w:tcW w:type="dxa" w:w="106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465</w:t>
            </w:r>
          </w:p>
        </w:tc>
      </w:tr>
      <w:tr>
        <w:trPr>
          <w:tblHeader w:val="false"/>
        </w:trPr>
        <w:tc>
          <w:tcPr>
            <w:tcW w:type="dxa" w:w="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15</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1,490</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649</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779</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2,917</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2,567</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1,605</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7,089</w:t>
            </w:r>
          </w:p>
        </w:tc>
        <w:tc>
          <w:tcPr>
            <w:tcW w:type="dxa" w:w="106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525</w:t>
            </w:r>
          </w:p>
        </w:tc>
      </w:tr>
      <w:tr>
        <w:trPr>
          <w:tblHeader w:val="false"/>
        </w:trPr>
        <w:tc>
          <w:tcPr>
            <w:tcW w:type="dxa" w:w="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20</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1,490</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850</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848</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3,188</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2,805</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1,753</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7,747</w:t>
            </w:r>
          </w:p>
        </w:tc>
        <w:tc>
          <w:tcPr>
            <w:tcW w:type="dxa" w:w="106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585</w:t>
            </w:r>
          </w:p>
        </w:tc>
      </w:tr>
      <w:tr>
        <w:trPr>
          <w:tblHeader w:val="false"/>
        </w:trPr>
        <w:tc>
          <w:tcPr>
            <w:tcW w:type="dxa" w:w="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25</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1,490</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1,009</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909</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3,408</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2,999</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1,874</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8,281</w:t>
            </w:r>
          </w:p>
        </w:tc>
        <w:tc>
          <w:tcPr>
            <w:tcW w:type="dxa" w:w="106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645</w:t>
            </w:r>
          </w:p>
        </w:tc>
      </w:tr>
      <w:tr>
        <w:trPr>
          <w:tblHeader w:val="false"/>
        </w:trPr>
        <w:tc>
          <w:tcPr>
            <w:tcW w:type="dxa" w:w="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28</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1,490</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1,005</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945</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3,440</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3,027</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1,892</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8,358</w:t>
            </w:r>
          </w:p>
        </w:tc>
        <w:tc>
          <w:tcPr>
            <w:tcW w:type="dxa" w:w="106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681</w:t>
            </w:r>
          </w:p>
        </w:tc>
      </w:tr>
      <w:tr>
        <w:trPr>
          <w:tblHeader w:val="false"/>
        </w:trPr>
        <w:tc>
          <w:tcPr>
            <w:tcW w:type="dxa" w:w="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30</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1,490</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1,002</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970</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3,461</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3,046</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1,904</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8,411</w:t>
            </w:r>
          </w:p>
        </w:tc>
        <w:tc>
          <w:tcPr>
            <w:tcW w:type="dxa" w:w="106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705</w:t>
            </w:r>
          </w:p>
        </w:tc>
      </w:tr>
      <w:tr>
        <w:trPr>
          <w:tblHeader w:val="false"/>
        </w:trPr>
        <w:tc>
          <w:tcPr>
            <w:tcW w:type="dxa" w:w="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35</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1,490</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998</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1,030</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3,518</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3,096</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1,935</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8,548</w:t>
            </w:r>
          </w:p>
        </w:tc>
        <w:tc>
          <w:tcPr>
            <w:tcW w:type="dxa" w:w="106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765</w:t>
            </w:r>
          </w:p>
        </w:tc>
      </w:tr>
      <w:tr>
        <w:trPr>
          <w:tblHeader w:val="false"/>
        </w:trPr>
        <w:tc>
          <w:tcPr>
            <w:tcW w:type="dxa" w:w="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38</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1,490</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996</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1,074</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3,561</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3,134</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1,958</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8,653</w:t>
            </w:r>
          </w:p>
        </w:tc>
        <w:tc>
          <w:tcPr>
            <w:tcW w:type="dxa" w:w="106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802</w:t>
            </w:r>
          </w:p>
        </w:tc>
      </w:tr>
      <w:tr>
        <w:trPr>
          <w:tblHeader w:val="false"/>
        </w:trPr>
        <w:tc>
          <w:tcPr>
            <w:tcW w:type="dxa" w:w="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40</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1,490</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995</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1,099</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3,584</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3,154</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1,971</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8,710</w:t>
            </w:r>
          </w:p>
        </w:tc>
        <w:tc>
          <w:tcPr>
            <w:tcW w:type="dxa" w:w="106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826</w:t>
            </w:r>
          </w:p>
        </w:tc>
      </w:tr>
      <w:tr>
        <w:trPr>
          <w:tblHeader w:val="false"/>
        </w:trPr>
        <w:tc>
          <w:tcPr>
            <w:tcW w:type="dxa" w:w="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45</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1,490</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994</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1,160</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3,644</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3,207</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2,004</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8,855</w:t>
            </w:r>
          </w:p>
        </w:tc>
        <w:tc>
          <w:tcPr>
            <w:tcW w:type="dxa" w:w="106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886</w:t>
            </w:r>
          </w:p>
        </w:tc>
      </w:tr>
      <w:tr>
        <w:trPr>
          <w:tblHeader w:val="false"/>
        </w:trPr>
        <w:tc>
          <w:tcPr>
            <w:tcW w:type="dxa" w:w="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50</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1,490</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994</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1,220</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3,705</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3,260</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2,038</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9,002</w:t>
            </w:r>
          </w:p>
        </w:tc>
        <w:tc>
          <w:tcPr>
            <w:tcW w:type="dxa" w:w="106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946</w:t>
            </w:r>
          </w:p>
        </w:tc>
      </w:tr>
      <w:tr>
        <w:trPr>
          <w:tblHeader w:val="false"/>
        </w:trPr>
        <w:tc>
          <w:tcPr>
            <w:tcW w:type="dxa" w:w="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55</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1,490</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995</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1,289</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3,774</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3,321</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2,076</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9,172</w:t>
            </w:r>
          </w:p>
        </w:tc>
        <w:tc>
          <w:tcPr>
            <w:tcW w:type="dxa" w:w="106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1,007</w:t>
            </w:r>
          </w:p>
        </w:tc>
      </w:tr>
      <w:tr>
        <w:trPr>
          <w:tblHeader w:val="false"/>
        </w:trPr>
        <w:tc>
          <w:tcPr>
            <w:tcW w:type="dxa" w:w="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58</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1,490</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996</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1,326</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3,812</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3,354</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2,096</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9,262</w:t>
            </w:r>
          </w:p>
        </w:tc>
        <w:tc>
          <w:tcPr>
            <w:tcW w:type="dxa" w:w="106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1,043</w:t>
            </w:r>
          </w:p>
        </w:tc>
      </w:tr>
      <w:tr>
        <w:trPr>
          <w:tblHeader w:val="false"/>
        </w:trPr>
        <w:tc>
          <w:tcPr>
            <w:tcW w:type="dxa" w:w="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60</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1,490</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997</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1,350</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3,837</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3,376</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2,110</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9,323</w:t>
            </w:r>
          </w:p>
        </w:tc>
        <w:tc>
          <w:tcPr>
            <w:tcW w:type="dxa" w:w="106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1,067</w:t>
            </w:r>
          </w:p>
        </w:tc>
      </w:tr>
      <w:tr>
        <w:trPr>
          <w:tblHeader w:val="false"/>
        </w:trPr>
        <w:tc>
          <w:tcPr>
            <w:tcW w:type="dxa" w:w="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65</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1,490</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999</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1,410</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3,899</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3,431</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2,145</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9,475</w:t>
            </w:r>
          </w:p>
        </w:tc>
        <w:tc>
          <w:tcPr>
            <w:tcW w:type="dxa" w:w="106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1,128</w:t>
            </w:r>
          </w:p>
        </w:tc>
      </w:tr>
      <w:tr>
        <w:trPr>
          <w:tblHeader w:val="false"/>
        </w:trPr>
        <w:tc>
          <w:tcPr>
            <w:tcW w:type="dxa" w:w="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70</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1,490</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1,001</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1,471</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3,963</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3,487</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2,179</w:t>
            </w:r>
          </w:p>
        </w:tc>
        <w:tc>
          <w:tcPr>
            <w:tcW w:type="dxa" w:w="105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9,629</w:t>
            </w:r>
          </w:p>
        </w:tc>
        <w:tc>
          <w:tcPr>
            <w:tcW w:type="dxa" w:w="106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1,189</w:t>
            </w:r>
          </w:p>
        </w:tc>
      </w:tr>
      <w:tr>
        <w:trPr>
          <w:tblHeader w:val="false"/>
        </w:trPr>
        <w:tc>
          <w:tcPr>
            <w:tcW w:type="dxa" w:w="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72</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1,490</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1,002</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1,495</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3,988</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3,509</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2,193</w:t>
            </w:r>
          </w:p>
        </w:tc>
        <w:tc>
          <w:tcPr>
            <w:tcW w:type="dxa" w:w="105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9,691</w:t>
            </w:r>
          </w:p>
        </w:tc>
        <w:tc>
          <w:tcPr>
            <w:tcW w:type="dxa" w:w="106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1,213</w:t>
            </w:r>
          </w:p>
        </w:tc>
      </w:tr>
    </w:tbl>
    <w:p>
      <w:pPr>
        <w:spacing w:after="160"/>
      </w:pPr>
      <w:r>
        <w:rPr>
          <w:rFonts w:ascii="Georgia" w:cs="Georgia" w:eastAsia="SimSun" w:hAnsi="Georgia"/>
          <w:color w:val="6B7F94"/>
          <w:sz w:val="18"/>
          <w:szCs w:val="18"/>
        </w:rPr>
        <w:t xml:space="preserve">Steady state: enduring sustainment, depot, training and attrition-regeneration employment after the development and delivery waves complete. Facilities jobs are temporary construction-category employment and appear only in the peak. Gripen E assembly employment sits outside this table; Part III states it separately.</w:t>
      </w:r>
    </w:p>
    <w:p>
      <w:pPr>
        <w:spacing w:after="60" w:before="1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100" w:before="120"/>
        <w:jc w:val="center"/>
      </w:pPr>
      <w:r>
        <w:rPr>
          <w:rFonts w:ascii="Georgia" w:cs="Georgia" w:eastAsia="SimSun" w:hAnsi="Georgia"/>
          <w:i/>
          <w:iCs/>
          <w:color w:val="6B7F94"/>
          <w:sz w:val="18"/>
          <w:szCs w:val="18"/>
        </w:rPr>
        <w:t xml:space="preserve">Figure 2. Peak employment by fleet size, decomposed into direct, indirect and induced layers. Source: Appendix A model.</w:t>
      </w:r>
    </w:p>
    <w:p>
      <w:pPr>
        <w:pStyle w:val="Heading2"/>
        <w:spacing w:after="140" w:before="280"/>
      </w:pPr>
      <w:r>
        <w:rPr>
          <w:rFonts w:ascii="Georgia" w:cs="Georgia" w:eastAsia="SimSun" w:hAnsi="Georgia"/>
          <w:b/>
          <w:bCs/>
          <w:color w:val="1F3A5F"/>
          <w:sz w:val="26"/>
          <w:szCs w:val="26"/>
        </w:rPr>
        <w:t xml:space="preserve">8.2 Reading the Employment Curve</w:t>
      </w:r>
    </w:p>
    <w:p>
      <w:pPr>
        <w:spacing w:after="140" w:line="300"/>
        <w:ind w:firstLine="431"/>
      </w:pPr>
      <w:r>
        <w:rPr>
          <w:rFonts w:ascii="Georgia" w:cs="Georgia" w:eastAsia="SimSun" w:hAnsi="Georgia"/>
          <w:sz w:val="22"/>
          <w:szCs w:val="22"/>
        </w:rPr>
        <w:t xml:space="preserve">Three features stand out. First, the floor: even a 10-aircraft programme creates 2,653 direct and 6,447 total jobs, because the engineering happens once and Canada does the engineering. Second, the shape: employment grows nearly linearly from 20 upward, adding roughly 40 direct jobs per added aircraft trio, while the fixed development base fades from 56 percent of direct employment at fleet size 10 to 37 percent at 72. Third, the enduring tail: steady-state employment runs from about 450 direct jobs at fleet size 10 to about 1,210 at 72, permanent for the 25-year-plus fleet life, anchored at the Mirabel depot, the MOB support organizations, the composite attrition lines and the training system.</w:t>
      </w:r>
    </w:p>
    <w:p>
      <w:pPr>
        <w:spacing w:after="140" w:line="300"/>
        <w:ind w:firstLine="431"/>
      </w:pPr>
      <w:r>
        <w:rPr>
          <w:rFonts w:ascii="Georgia" w:cs="Georgia" w:eastAsia="SimSun" w:hAnsi="Georgia"/>
          <w:sz w:val="22"/>
          <w:szCs w:val="22"/>
        </w:rPr>
        <w:t xml:space="preserve">For context, the peak total at fleet size 72, 9,691 jobs, equals roughly 4.3 percent of the 225,000-job Canadian aerospace footprint that ISED 2024 measures. Adding the full Gripen E account of Part III lifts the whole-programme peak to 11,353 total jobs at fleet size 10 and 23,470 at fleet size 72, exceeding the reference document's 20,630-job single-fleet figure from fleet size 58 upward; Table VIII-6 carries the full seventeen-quantity reconciliation.</w:t>
      </w:r>
    </w:p>
    <w:p>
      <w:pPr>
        <w:pStyle w:val="Heading2"/>
        <w:spacing w:after="140" w:before="280"/>
      </w:pPr>
      <w:r>
        <w:rPr>
          <w:rFonts w:ascii="Georgia" w:cs="Georgia" w:eastAsia="SimSun" w:hAnsi="Georgia"/>
          <w:b/>
          <w:bCs/>
          <w:color w:val="1F3A5F"/>
          <w:sz w:val="26"/>
          <w:szCs w:val="26"/>
        </w:rPr>
        <w:t xml:space="preserve">8.3 Employment Ramp</w:t>
      </w:r>
    </w:p>
    <w:p>
      <w:pPr>
        <w:spacing w:after="140" w:line="300"/>
        <w:ind w:firstLine="431"/>
      </w:pPr>
      <w:r>
        <w:rPr>
          <w:rFonts w:ascii="Georgia" w:cs="Georgia" w:eastAsia="SimSun" w:hAnsi="Georgia"/>
          <w:sz w:val="22"/>
          <w:szCs w:val="22"/>
        </w:rPr>
        <w:t xml:space="preserve">The ramp follows the packages' own schedules. Development hiring dominates 2027 and 2028 as long-lead contracts place and the Striker and Sprinter design teams peak. Facilities construction runs 2028 through 2030. Production hiring builds with first-article fabrication, peaks through the delivery years, 2030 to 2033 at fleet sizes above 40, then glides into the sustainment steady state. Smaller fleets compress the production wave without touching the development wave: at fleet size 10, the programme peaks during development and never builds a rate-production workforce at all, which is the employment face of the unit-cost problem.</w:t>
      </w:r>
    </w:p>
    <w:p>
      <w:pPr>
        <w:spacing w:after="100" w:before="120"/>
        <w:jc w:val="center"/>
      </w:pPr>
      <w:r>
        <w:rPr>
          <w:rFonts w:ascii="Georgia" w:cs="Georgia" w:eastAsia="SimSun" w:hAnsi="Georgia"/>
          <w:i/>
          <w:iCs/>
          <w:color w:val="6B7F94"/>
          <w:sz w:val="18"/>
          <w:szCs w:val="18"/>
        </w:rPr>
        <w:t xml:space="preserve">Table VIII-2. Employment ramp at the fleet size 50 reference (CALCULATED)</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500"/>
        <w:gridCol w:w="2620"/>
        <w:gridCol w:w="2620"/>
        <w:gridCol w:w="2620"/>
      </w:tblGrid>
      <w:tr>
        <w:trPr>
          <w:tblHeader/>
        </w:trPr>
        <w:tc>
          <w:tcPr>
            <w:tcW w:type="dxa" w:w="15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Period</w:t>
            </w:r>
          </w:p>
        </w:tc>
        <w:tc>
          <w:tcPr>
            <w:tcW w:type="dxa" w:w="262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Programme driver</w:t>
            </w:r>
          </w:p>
        </w:tc>
        <w:tc>
          <w:tcPr>
            <w:tcW w:type="dxa" w:w="262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Direct jobs</w:t>
            </w:r>
          </w:p>
        </w:tc>
        <w:tc>
          <w:tcPr>
            <w:tcW w:type="dxa" w:w="262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Cumulative hires</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2027</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Kit first articles; drone long-lead placement; NRE teams at full strength</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2,400</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2,400</w:t>
            </w:r>
          </w:p>
        </w:tc>
      </w:tr>
      <w:tr>
        <w:trPr>
          <w:tblHeader w:val="false"/>
        </w:trPr>
        <w:tc>
          <w:tcPr>
            <w:tcW w:type="dxa" w:w="1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2028</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Infrastructure construction starts; simulator development; engine pool executed</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3,100</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3,900</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2029</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First-article fabrication wave; cold-weather trials; LRIP lots</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3,500</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5,300</w:t>
            </w:r>
          </w:p>
        </w:tc>
      </w:tr>
      <w:tr>
        <w:trPr>
          <w:tblHeader w:val="false"/>
        </w:trPr>
        <w:tc>
          <w:tcPr>
            <w:tcW w:type="dxa" w:w="1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2030-2031</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Delivery peak; depot stands up; training pipeline at full rate</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3,705</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7,600</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2032-2033</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Production completes; glide to sustainment and attrition lines</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2,300</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8,900</w:t>
            </w:r>
          </w:p>
        </w:tc>
      </w:tr>
      <w:tr>
        <w:trPr>
          <w:tblHeader w:val="false"/>
        </w:trPr>
        <w:tc>
          <w:tcPr>
            <w:tcW w:type="dxa" w:w="1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2034 onward</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Steady state: sustainment, depot, training, attrition regeneration</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1,010</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9,800</w:t>
            </w:r>
          </w:p>
        </w:tc>
      </w:tr>
    </w:tbl>
    <w:p>
      <w:pPr>
        <w:spacing w:after="160"/>
      </w:pPr>
      <w:r>
        <w:rPr>
          <w:rFonts w:ascii="Georgia" w:cs="Georgia" w:eastAsia="SimSun" w:hAnsi="Georgia"/>
          <w:color w:val="6B7F94"/>
          <w:sz w:val="18"/>
          <w:szCs w:val="18"/>
        </w:rPr>
        <w:t xml:space="preserve">Cumulative hires exceed peak employment because development, construction and flight-test roles complete. Uniformed establishment sits outside this table, as in the reference document.</w:t>
      </w:r>
    </w:p>
    <w:p>
      <w:pPr>
        <w:pStyle w:val="Heading2"/>
        <w:spacing w:after="140" w:before="280"/>
      </w:pPr>
      <w:r>
        <w:rPr>
          <w:rFonts w:ascii="Georgia" w:cs="Georgia" w:eastAsia="SimSun" w:hAnsi="Georgia"/>
          <w:b/>
          <w:bCs/>
          <w:color w:val="1F3A5F"/>
          <w:sz w:val="26"/>
          <w:szCs w:val="26"/>
        </w:rPr>
        <w:t xml:space="preserve">8.4 Job Creation by Programme Element</w:t>
      </w:r>
    </w:p>
    <w:p>
      <w:pPr>
        <w:spacing w:after="140" w:line="300"/>
        <w:ind w:firstLine="431"/>
      </w:pPr>
      <w:r>
        <w:rPr>
          <w:rFonts w:ascii="Georgia" w:cs="Georgia" w:eastAsia="SimSun" w:hAnsi="Georgia"/>
          <w:sz w:val="22"/>
          <w:szCs w:val="22"/>
        </w:rPr>
        <w:t xml:space="preserve">Each element generates its own employment line, and the split matters for industrial policy. The Striker, with the largest engineering account and the largest unit cost, carries the biggest job count at every fleet size. The Sprinter follows. The Gripen augmentation element, smallest in dollars, delivers the cheapest Canadian jobs in the programme because its content share runs highest and its embodiment work concentrates at established Canadian depots. The Gripen E assembly option of Part III, where Canada elects it, adds a fourth employment line of 850 to 2,400 direct jobs on the same quantity axis.</w:t>
      </w:r>
    </w:p>
    <w:p>
      <w:pPr>
        <w:spacing w:after="100" w:before="120"/>
        <w:jc w:val="center"/>
      </w:pPr>
      <w:r>
        <w:rPr>
          <w:rFonts w:ascii="Georgia" w:cs="Georgia" w:eastAsia="SimSun" w:hAnsi="Georgia"/>
          <w:i/>
          <w:iCs/>
          <w:color w:val="6B7F94"/>
          <w:sz w:val="18"/>
          <w:szCs w:val="18"/>
        </w:rPr>
        <w:t xml:space="preserve">Table VIII-3. Direct jobs by programme element and fleet size (peak year; CALCULATED)</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400"/>
        <w:gridCol w:w="1990"/>
        <w:gridCol w:w="1990"/>
        <w:gridCol w:w="1990"/>
        <w:gridCol w:w="1990"/>
      </w:tblGrid>
      <w:tr>
        <w:trPr>
          <w:tblHeader/>
        </w:trPr>
        <w:tc>
          <w:tcPr>
            <w:tcW w:type="dxa" w:w="14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N</w:t>
            </w:r>
          </w:p>
        </w:tc>
        <w:tc>
          <w:tcPr>
            <w:tcW w:type="dxa" w:w="199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5"/>
                <w:szCs w:val="15"/>
              </w:rPr>
              <w:t xml:space="preserve">Sprinter element</w:t>
            </w:r>
          </w:p>
        </w:tc>
        <w:tc>
          <w:tcPr>
            <w:tcW w:type="dxa" w:w="199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5"/>
                <w:szCs w:val="15"/>
              </w:rPr>
              <w:t xml:space="preserve">Striker element</w:t>
            </w:r>
          </w:p>
        </w:tc>
        <w:tc>
          <w:tcPr>
            <w:tcW w:type="dxa" w:w="199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5"/>
                <w:szCs w:val="15"/>
              </w:rPr>
              <w:t xml:space="preserve">Gripen augmentation element</w:t>
            </w:r>
          </w:p>
        </w:tc>
        <w:tc>
          <w:tcPr>
            <w:tcW w:type="dxa" w:w="199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5"/>
                <w:szCs w:val="15"/>
              </w:rPr>
              <w:t xml:space="preserve">Direct total</w:t>
            </w:r>
          </w:p>
        </w:tc>
      </w:tr>
      <w:tr>
        <w:trPr>
          <w:tblHeader w:val="false"/>
        </w:trPr>
        <w:tc>
          <w:tcPr>
            <w:tcW w:type="dxa" w:w="1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10</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791</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1648</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214</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2653</w:t>
            </w:r>
          </w:p>
        </w:tc>
      </w:tr>
      <w:tr>
        <w:trPr>
          <w:tblHeader w:val="false"/>
        </w:trPr>
        <w:tc>
          <w:tcPr>
            <w:tcW w:type="dxa" w:w="1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15</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866</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1790</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261</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2917</w:t>
            </w:r>
          </w:p>
        </w:tc>
      </w:tr>
      <w:tr>
        <w:trPr>
          <w:tblHeader w:val="false"/>
        </w:trPr>
        <w:tc>
          <w:tcPr>
            <w:tcW w:type="dxa" w:w="1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20</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940</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1932</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316</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3188</w:t>
            </w:r>
          </w:p>
        </w:tc>
      </w:tr>
      <w:tr>
        <w:trPr>
          <w:tblHeader w:val="false"/>
        </w:trPr>
        <w:tc>
          <w:tcPr>
            <w:tcW w:type="dxa" w:w="1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25</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1003</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2050</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355</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3408</w:t>
            </w:r>
          </w:p>
        </w:tc>
      </w:tr>
      <w:tr>
        <w:trPr>
          <w:tblHeader w:val="false"/>
        </w:trPr>
        <w:tc>
          <w:tcPr>
            <w:tcW w:type="dxa" w:w="1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28</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1014</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2066</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359</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3439</w:t>
            </w:r>
          </w:p>
        </w:tc>
      </w:tr>
      <w:tr>
        <w:trPr>
          <w:tblHeader w:val="false"/>
        </w:trPr>
        <w:tc>
          <w:tcPr>
            <w:tcW w:type="dxa" w:w="1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30</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1022</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2077</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362</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3461</w:t>
            </w:r>
          </w:p>
        </w:tc>
      </w:tr>
      <w:tr>
        <w:trPr>
          <w:tblHeader w:val="false"/>
        </w:trPr>
        <w:tc>
          <w:tcPr>
            <w:tcW w:type="dxa" w:w="1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35</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1041</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2107</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370</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3518</w:t>
            </w:r>
          </w:p>
        </w:tc>
      </w:tr>
      <w:tr>
        <w:trPr>
          <w:tblHeader w:val="false"/>
        </w:trPr>
        <w:tc>
          <w:tcPr>
            <w:tcW w:type="dxa" w:w="1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38</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1054</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2125</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382</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3561</w:t>
            </w:r>
          </w:p>
        </w:tc>
      </w:tr>
      <w:tr>
        <w:trPr>
          <w:tblHeader w:val="false"/>
        </w:trPr>
        <w:tc>
          <w:tcPr>
            <w:tcW w:type="dxa" w:w="1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40</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1062</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2137</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385</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3584</w:t>
            </w:r>
          </w:p>
        </w:tc>
      </w:tr>
      <w:tr>
        <w:trPr>
          <w:tblHeader w:val="false"/>
        </w:trPr>
        <w:tc>
          <w:tcPr>
            <w:tcW w:type="dxa" w:w="1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45</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1083</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2169</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392</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3644</w:t>
            </w:r>
          </w:p>
        </w:tc>
      </w:tr>
      <w:tr>
        <w:trPr>
          <w:tblHeader w:val="false"/>
        </w:trPr>
        <w:tc>
          <w:tcPr>
            <w:tcW w:type="dxa" w:w="1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50</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1104</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2201</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400</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3705</w:t>
            </w:r>
          </w:p>
        </w:tc>
      </w:tr>
      <w:tr>
        <w:trPr>
          <w:tblHeader w:val="false"/>
        </w:trPr>
        <w:tc>
          <w:tcPr>
            <w:tcW w:type="dxa" w:w="1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55</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1126</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2233</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415</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3774</w:t>
            </w:r>
          </w:p>
        </w:tc>
      </w:tr>
      <w:tr>
        <w:trPr>
          <w:tblHeader w:val="false"/>
        </w:trPr>
        <w:tc>
          <w:tcPr>
            <w:tcW w:type="dxa" w:w="1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58</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1139</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2253</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420</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3812</w:t>
            </w:r>
          </w:p>
        </w:tc>
      </w:tr>
      <w:tr>
        <w:trPr>
          <w:tblHeader w:val="false"/>
        </w:trPr>
        <w:tc>
          <w:tcPr>
            <w:tcW w:type="dxa" w:w="1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60</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1148</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2266</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423</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3837</w:t>
            </w:r>
          </w:p>
        </w:tc>
      </w:tr>
      <w:tr>
        <w:trPr>
          <w:tblHeader w:val="false"/>
        </w:trPr>
        <w:tc>
          <w:tcPr>
            <w:tcW w:type="dxa" w:w="1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65</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1170</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2300</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430</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3900</w:t>
            </w:r>
          </w:p>
        </w:tc>
      </w:tr>
      <w:tr>
        <w:trPr>
          <w:tblHeader w:val="false"/>
        </w:trPr>
        <w:tc>
          <w:tcPr>
            <w:tcW w:type="dxa" w:w="1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70</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1192</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2334</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437</w:t>
            </w:r>
          </w:p>
        </w:tc>
        <w:tc>
          <w:tcPr>
            <w:tcW w:type="dxa" w:w="199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3963</w:t>
            </w:r>
          </w:p>
        </w:tc>
      </w:tr>
      <w:tr>
        <w:trPr>
          <w:tblHeader w:val="false"/>
        </w:trPr>
        <w:tc>
          <w:tcPr>
            <w:tcW w:type="dxa" w:w="1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72</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1201</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2347</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440</w:t>
            </w:r>
          </w:p>
        </w:tc>
        <w:tc>
          <w:tcPr>
            <w:tcW w:type="dxa" w:w="199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3988</w:t>
            </w:r>
          </w:p>
        </w:tc>
      </w:tr>
    </w:tbl>
    <w:p>
      <w:pPr>
        <w:spacing w:after="160"/>
      </w:pPr>
      <w:r>
        <w:rPr>
          <w:rFonts w:ascii="Georgia" w:cs="Georgia" w:eastAsia="SimSun" w:hAnsi="Georgia"/>
          <w:color w:val="6B7F94"/>
          <w:sz w:val="18"/>
          <w:szCs w:val="18"/>
        </w:rPr>
        <w:t xml:space="preserve">Element totals sum component categories; rounding at the whole-job level. The direct total column reconciles to Table VIII-1 within rounding. The Gripen E assembly line of Table III-2 adds separately under the scope rule.</w:t>
      </w:r>
    </w:p>
    <w:p>
      <w:pPr>
        <w:pStyle w:val="Heading2"/>
        <w:spacing w:after="140" w:before="280"/>
      </w:pPr>
      <w:r>
        <w:rPr>
          <w:rFonts w:ascii="Georgia" w:cs="Georgia" w:eastAsia="SimSun" w:hAnsi="Georgia"/>
          <w:b/>
          <w:bCs/>
          <w:color w:val="1F3A5F"/>
          <w:sz w:val="26"/>
          <w:szCs w:val="26"/>
        </w:rPr>
        <w:t xml:space="preserve">8.5 Occupational Composition</w:t>
      </w:r>
    </w:p>
    <w:p>
      <w:pPr>
        <w:spacing w:after="140" w:line="300"/>
        <w:ind w:firstLine="431"/>
      </w:pPr>
      <w:r>
        <w:rPr>
          <w:rFonts w:ascii="Georgia" w:cs="Georgia" w:eastAsia="SimSun" w:hAnsi="Georgia"/>
          <w:sz w:val="22"/>
          <w:szCs w:val="22"/>
        </w:rPr>
        <w:t xml:space="preserve">The programme creates five occupation families in distinct phases. Engineering and software occupations dominate the development years: systems engineers, flight-sciences engineers, autonomy and mission-software developers, and certification specialists. Production occupations follow: composite technicians, machinists, assemblers, quality and acceptance inspectors, and supply-chain coordinators. Construction trades peak with the facilities accounts. Technician occupations, aircraft maintenance engineers, low-observable technicians, engine-shop staff on the pooled M88-2 line, trainers and logisticians, then persist for the life of the fleet.</w:t>
      </w:r>
    </w:p>
    <w:p>
      <w:pPr>
        <w:spacing w:after="100" w:before="120"/>
        <w:jc w:val="center"/>
      </w:pPr>
      <w:r>
        <w:rPr>
          <w:rFonts w:ascii="Georgia" w:cs="Georgia" w:eastAsia="SimSun" w:hAnsi="Georgia"/>
          <w:i/>
          <w:iCs/>
          <w:color w:val="6B7F94"/>
          <w:sz w:val="18"/>
          <w:szCs w:val="18"/>
        </w:rPr>
        <w:t xml:space="preserve">Table VIII-4. Occupational composition of direct employment (CALCULATED; shares ESTIMATE from the reference document's occupational mapping)</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600"/>
        <w:gridCol w:w="1690"/>
        <w:gridCol w:w="1690"/>
        <w:gridCol w:w="1690"/>
        <w:gridCol w:w="1690"/>
      </w:tblGrid>
      <w:tr>
        <w:trPr>
          <w:tblHeader/>
        </w:trPr>
        <w:tc>
          <w:tcPr>
            <w:tcW w:type="dxa" w:w="26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Occupation family</w:t>
            </w:r>
          </w:p>
        </w:tc>
        <w:tc>
          <w:tcPr>
            <w:tcW w:type="dxa" w:w="169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Phase</w:t>
            </w:r>
          </w:p>
        </w:tc>
        <w:tc>
          <w:tcPr>
            <w:tcW w:type="dxa" w:w="169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Share of direct</w:t>
            </w:r>
          </w:p>
        </w:tc>
        <w:tc>
          <w:tcPr>
            <w:tcW w:type="dxa" w:w="169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Jobs at N = 40</w:t>
            </w:r>
          </w:p>
        </w:tc>
        <w:tc>
          <w:tcPr>
            <w:tcW w:type="dxa" w:w="169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Jobs at N = 72</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Engineering and software</w:t>
            </w:r>
          </w:p>
        </w:tc>
        <w:tc>
          <w:tcPr>
            <w:tcW w:type="dxa" w:w="16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Development, 2027-2032</w:t>
            </w:r>
          </w:p>
        </w:tc>
        <w:tc>
          <w:tcPr>
            <w:tcW w:type="dxa" w:w="16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35%</w:t>
            </w:r>
          </w:p>
        </w:tc>
        <w:tc>
          <w:tcPr>
            <w:tcW w:type="dxa" w:w="16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1,254</w:t>
            </w:r>
          </w:p>
        </w:tc>
        <w:tc>
          <w:tcPr>
            <w:tcW w:type="dxa" w:w="16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1,396</w:t>
            </w:r>
          </w:p>
        </w:tc>
      </w:tr>
      <w:tr>
        <w:trPr>
          <w:tblHeader w:val="false"/>
        </w:trPr>
        <w:tc>
          <w:tcPr>
            <w:tcW w:type="dxa" w:w="26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Skilled production trades</w:t>
            </w:r>
          </w:p>
        </w:tc>
        <w:tc>
          <w:tcPr>
            <w:tcW w:type="dxa" w:w="169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Delivery years</w:t>
            </w:r>
          </w:p>
        </w:tc>
        <w:tc>
          <w:tcPr>
            <w:tcW w:type="dxa" w:w="169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32%</w:t>
            </w:r>
          </w:p>
        </w:tc>
        <w:tc>
          <w:tcPr>
            <w:tcW w:type="dxa" w:w="169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1,147</w:t>
            </w:r>
          </w:p>
        </w:tc>
        <w:tc>
          <w:tcPr>
            <w:tcW w:type="dxa" w:w="169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1,276</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Construction trades</w:t>
            </w:r>
          </w:p>
        </w:tc>
        <w:tc>
          <w:tcPr>
            <w:tcW w:type="dxa" w:w="16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Facilities build, 2028-2030</w:t>
            </w:r>
          </w:p>
        </w:tc>
        <w:tc>
          <w:tcPr>
            <w:tcW w:type="dxa" w:w="16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9%</w:t>
            </w:r>
          </w:p>
        </w:tc>
        <w:tc>
          <w:tcPr>
            <w:tcW w:type="dxa" w:w="16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323</w:t>
            </w:r>
          </w:p>
        </w:tc>
        <w:tc>
          <w:tcPr>
            <w:tcW w:type="dxa" w:w="16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359</w:t>
            </w:r>
          </w:p>
        </w:tc>
      </w:tr>
      <w:tr>
        <w:trPr>
          <w:tblHeader w:val="false"/>
        </w:trPr>
        <w:tc>
          <w:tcPr>
            <w:tcW w:type="dxa" w:w="26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Maintenance, repair and overhaul technicians</w:t>
            </w:r>
          </w:p>
        </w:tc>
        <w:tc>
          <w:tcPr>
            <w:tcW w:type="dxa" w:w="169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Enduring</w:t>
            </w:r>
          </w:p>
        </w:tc>
        <w:tc>
          <w:tcPr>
            <w:tcW w:type="dxa" w:w="169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17%</w:t>
            </w:r>
          </w:p>
        </w:tc>
        <w:tc>
          <w:tcPr>
            <w:tcW w:type="dxa" w:w="169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609</w:t>
            </w:r>
          </w:p>
        </w:tc>
        <w:tc>
          <w:tcPr>
            <w:tcW w:type="dxa" w:w="169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678</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Training, logistics and programme support</w:t>
            </w:r>
          </w:p>
        </w:tc>
        <w:tc>
          <w:tcPr>
            <w:tcW w:type="dxa" w:w="16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Enduring</w:t>
            </w:r>
          </w:p>
        </w:tc>
        <w:tc>
          <w:tcPr>
            <w:tcW w:type="dxa" w:w="16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7%</w:t>
            </w:r>
          </w:p>
        </w:tc>
        <w:tc>
          <w:tcPr>
            <w:tcW w:type="dxa" w:w="16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251</w:t>
            </w:r>
          </w:p>
        </w:tc>
        <w:tc>
          <w:tcPr>
            <w:tcW w:type="dxa" w:w="16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279</w:t>
            </w:r>
          </w:p>
        </w:tc>
      </w:tr>
    </w:tbl>
    <w:p>
      <w:pPr>
        <w:spacing w:after="160"/>
      </w:pPr>
      <w:r>
        <w:rPr>
          <w:rFonts w:ascii="Georgia" w:cs="Georgia" w:eastAsia="SimSun" w:hAnsi="Georgia"/>
          <w:color w:val="6B7F94"/>
          <w:sz w:val="18"/>
          <w:szCs w:val="18"/>
        </w:rPr>
        <w:t xml:space="preserve">Occupation shares carry the ESTIMATE tag: they map the reference document's activity build onto the v6.1 scope. The auto-to-aero transition pipeline of the reference analysis feeds the production-trades family, with intake of 300 to 900 workers depending on fleet size.</w:t>
      </w:r>
    </w:p>
    <w:p>
      <w:pPr>
        <w:pStyle w:val="Heading2"/>
        <w:spacing w:after="140" w:before="280"/>
      </w:pPr>
      <w:r>
        <w:rPr>
          <w:rFonts w:ascii="Georgia" w:cs="Georgia" w:eastAsia="SimSun" w:hAnsi="Georgia"/>
          <w:b/>
          <w:bCs/>
          <w:color w:val="1F3A5F"/>
          <w:sz w:val="26"/>
          <w:szCs w:val="26"/>
        </w:rPr>
        <w:t xml:space="preserve">8.6 Package-Published Support Manpower</w:t>
      </w:r>
    </w:p>
    <w:p>
      <w:pPr>
        <w:spacing w:after="140" w:line="300"/>
        <w:ind w:firstLine="431"/>
      </w:pPr>
      <w:r>
        <w:rPr>
          <w:rFonts w:ascii="Georgia" w:cs="Georgia" w:eastAsia="SimSun" w:hAnsi="Georgia"/>
          <w:sz w:val="22"/>
          <w:szCs w:val="22"/>
        </w:rPr>
        <w:t xml:space="preserve">Beyond the dollar-derived model above, each package publishes its own bottom-up support-manpower planning figures, and they corroborate the enduring employment layer headcount by headcount. The Striker package's Table 10-4 scales line maintenance at 1.5 per aircraft plus specialist, depot and software cadres to 112 support personnel at 10 aircraft and 290 at 72. The Sprinter package scales its line maintainers at 14 per squadron of 12 with fixed depot, engine-shop, software, COMSEC and supply cadres, reaching 141 at the 60-aircraft reference fleet. The Gripen augmentation package plans 12 fixed programme FTE plus 0.7 per aircraft. These headcounts overlap the sustainment category of Table VIII-1 rather than adding to it: they measure the same enduring workforce from the manpower side instead of the dollar side, and they sit consistently inside the dollar-derived steady state (465 to 1,213 direct), which additionally covers training, attrition regeneration and depot-wide activity beyond the packages' support cadres. Uniformed operators and aircrew sit outside every figure here, exactly as the reference document excludes uniformed establishment.</w:t>
      </w:r>
    </w:p>
    <w:p>
      <w:pPr>
        <w:spacing w:after="100" w:before="120"/>
        <w:jc w:val="center"/>
      </w:pPr>
      <w:r>
        <w:rPr>
          <w:rFonts w:ascii="Georgia" w:cs="Georgia" w:eastAsia="SimSun" w:hAnsi="Georgia"/>
          <w:i/>
          <w:iCs/>
          <w:color w:val="6B7F94"/>
          <w:sz w:val="18"/>
          <w:szCs w:val="18"/>
        </w:rPr>
        <w:t xml:space="preserve">Table VIII-5. Package-published support manpower by fleet size (headcount; PACKAGE scaling rules applied per quantity)</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100"/>
        <w:gridCol w:w="2065"/>
        <w:gridCol w:w="2065"/>
        <w:gridCol w:w="2065"/>
        <w:gridCol w:w="2065"/>
      </w:tblGrid>
      <w:tr>
        <w:trPr>
          <w:tblHeader/>
        </w:trPr>
        <w:tc>
          <w:tcPr>
            <w:tcW w:type="dxa" w:w="11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Fleet size N</w:t>
            </w:r>
          </w:p>
        </w:tc>
        <w:tc>
          <w:tcPr>
            <w:tcW w:type="dxa" w:w="2065"/>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Sprinter support manpower (SPR-AIR-PPP-006 scaling)</w:t>
            </w:r>
          </w:p>
        </w:tc>
        <w:tc>
          <w:tcPr>
            <w:tcW w:type="dxa" w:w="2065"/>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Striker support manpower (STR-AIR-PPP-003 Table 10-4)</w:t>
            </w:r>
          </w:p>
        </w:tc>
        <w:tc>
          <w:tcPr>
            <w:tcW w:type="dxa" w:w="2065"/>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Augmentation support FTE (AGA-PRC-061)</w:t>
            </w:r>
          </w:p>
        </w:tc>
        <w:tc>
          <w:tcPr>
            <w:tcW w:type="dxa" w:w="2065"/>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Combined support manpower</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10</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52</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112</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183</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15</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70</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127</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220</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20</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71</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139</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236</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25</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100</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156</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286</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28</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101</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164</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32</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297</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30</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102</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170</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305</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35</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103</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185</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37</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325</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38</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120</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193</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352</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40</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120</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197</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40</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357</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45</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121</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214</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44</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379</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50</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138</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227</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47</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412</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55</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140</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242</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51</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433</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58</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140</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251</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444</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60</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141</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254</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54</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449</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65</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158</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271</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58</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487</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70</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160</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285</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61</w:t>
            </w:r>
          </w:p>
        </w:tc>
        <w:tc>
          <w:tcPr>
            <w:tcW w:type="dxa" w:w="206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506</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72</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160</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290</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63</w:t>
            </w:r>
          </w:p>
        </w:tc>
        <w:tc>
          <w:tcPr>
            <w:tcW w:type="dxa" w:w="206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513</w:t>
            </w:r>
          </w:p>
        </w:tc>
      </w:tr>
    </w:tbl>
    <w:p>
      <w:pPr>
        <w:spacing w:after="160"/>
      </w:pPr>
      <w:r>
        <w:rPr>
          <w:rFonts w:ascii="Georgia" w:cs="Georgia" w:eastAsia="SimSun" w:hAnsi="Georgia"/>
          <w:color w:val="6B7F94"/>
          <w:sz w:val="18"/>
          <w:szCs w:val="18"/>
        </w:rPr>
        <w:t xml:space="preserve">Sprinter: 14 line maintainers per squadron of 12, depot artisans fixed at 24 above 25 aircraft (12 below), one engine-shop technician per four pooled engines plus one, software and supply cadres fixed, two COMSEC custodians per squadron. Striker: Table 10-4 function formulas, reproducing the package's published 112 / 156 / 221 / 290 at 10 / 25 / 48 / 72 aircraft. Augmentation: 12 + 0.7 per aircraft, rounded up. All three exclude uniformed operational cadre.</w:t>
      </w:r>
    </w:p>
    <w:p>
      <w:pPr>
        <w:pStyle w:val="Heading2"/>
        <w:spacing w:after="140" w:before="280"/>
      </w:pPr>
      <w:r>
        <w:rPr>
          <w:rFonts w:ascii="Georgia" w:cs="Georgia" w:eastAsia="SimSun" w:hAnsi="Georgia"/>
          <w:b/>
          <w:bCs/>
          <w:color w:val="1F3A5F"/>
          <w:sz w:val="26"/>
          <w:szCs w:val="26"/>
        </w:rPr>
        <w:t xml:space="preserve">8.7 The Whole-Programme Employment Picture</w:t>
      </w:r>
    </w:p>
    <w:p>
      <w:pPr>
        <w:spacing w:after="140" w:line="300"/>
        <w:ind w:firstLine="431"/>
      </w:pPr>
      <w:r>
        <w:rPr>
          <w:rFonts w:ascii="Georgia" w:cs="Georgia" w:eastAsia="SimSun" w:hAnsi="Georgia"/>
          <w:sz w:val="22"/>
          <w:szCs w:val="22"/>
        </w:rPr>
        <w:t xml:space="preserve">Stacking the Northern Horizon programme and the Gripen E aircraft account of Part III produces the whole-programme employment picture at every fleet size. Direct employment spans 4,672 jobs at fleet size 10 to 9,658 at fleet size 72; total employment spans 11,353 to 23,470. The whole programme overtakes the reference document's 20,630-job single-fleet figure at fleet size 58 and exceeds it by 2,840 jobs at fleet size 72, while procurement outlay runs well below the reference document's C$15.76B single-fleet total until the largest quantities. Export success adds a further 960 to 3,850 sustained jobs under the Part XIII scenarios, and the auto-to-aero pipeline supplies 300 to 900 of the production-trades intake depending on fleet size.</w:t>
      </w:r>
    </w:p>
    <w:p>
      <w:pPr>
        <w:spacing w:after="100" w:before="120"/>
        <w:jc w:val="center"/>
      </w:pPr>
      <w:r>
        <w:rPr>
          <w:rFonts w:ascii="Georgia" w:cs="Georgia" w:eastAsia="SimSun" w:hAnsi="Georgia"/>
          <w:i/>
          <w:iCs/>
          <w:color w:val="6B7F94"/>
          <w:sz w:val="18"/>
          <w:szCs w:val="18"/>
        </w:rPr>
        <w:t xml:space="preserve">Table VIII-6. Whole-programme employment by fleet size (peak-year jobs; CALCULATED: Northern Horizon per Table VIII-1 plus Gripen E account per Table III-3)</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800"/>
        <w:gridCol w:w="1222"/>
        <w:gridCol w:w="1222"/>
        <w:gridCol w:w="1222"/>
        <w:gridCol w:w="1222"/>
        <w:gridCol w:w="1222"/>
        <w:gridCol w:w="1222"/>
        <w:gridCol w:w="1228"/>
      </w:tblGrid>
      <w:tr>
        <w:trPr>
          <w:tblHeader/>
        </w:trPr>
        <w:tc>
          <w:tcPr>
            <w:tcW w:type="dxa" w:w="8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3"/>
                <w:szCs w:val="13"/>
              </w:rPr>
              <w:t xml:space="preserve">Fleet size N</w:t>
            </w:r>
          </w:p>
        </w:tc>
        <w:tc>
          <w:tcPr>
            <w:tcW w:type="dxa" w:w="122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Northern Horizon direct</w:t>
            </w:r>
          </w:p>
        </w:tc>
        <w:tc>
          <w:tcPr>
            <w:tcW w:type="dxa" w:w="122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Gripen E account direct</w:t>
            </w:r>
          </w:p>
        </w:tc>
        <w:tc>
          <w:tcPr>
            <w:tcW w:type="dxa" w:w="122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Whole-programme direct</w:t>
            </w:r>
          </w:p>
        </w:tc>
        <w:tc>
          <w:tcPr>
            <w:tcW w:type="dxa" w:w="122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Northern Horizon total jobs</w:t>
            </w:r>
          </w:p>
        </w:tc>
        <w:tc>
          <w:tcPr>
            <w:tcW w:type="dxa" w:w="122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Gripen E account total jobs</w:t>
            </w:r>
          </w:p>
        </w:tc>
        <w:tc>
          <w:tcPr>
            <w:tcW w:type="dxa" w:w="122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WHOLE-PROGRAMME TOTAL JOBS</w:t>
            </w:r>
          </w:p>
        </w:tc>
        <w:tc>
          <w:tcPr>
            <w:tcW w:type="dxa" w:w="1228"/>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Memo: reference document single fleet</w:t>
            </w:r>
          </w:p>
        </w:tc>
      </w:tr>
      <w:tr>
        <w:trPr>
          <w:tblHeader w:val="false"/>
        </w:trPr>
        <w:tc>
          <w:tcPr>
            <w:tcW w:type="dxa" w:w="8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10</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2,653</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2,019</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4,672</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6,447</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4,906</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11,353</w:t>
            </w:r>
          </w:p>
        </w:tc>
        <w:tc>
          <w:tcPr>
            <w:tcW w:type="dxa" w:w="122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20,630</w:t>
            </w:r>
          </w:p>
        </w:tc>
      </w:tr>
      <w:tr>
        <w:trPr>
          <w:tblHeader w:val="false"/>
        </w:trPr>
        <w:tc>
          <w:tcPr>
            <w:tcW w:type="dxa" w:w="8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15</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2,917</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2,313</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5,230</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7,089</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5,620</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12,709</w:t>
            </w:r>
          </w:p>
        </w:tc>
        <w:tc>
          <w:tcPr>
            <w:tcW w:type="dxa" w:w="122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20,630</w:t>
            </w:r>
          </w:p>
        </w:tc>
      </w:tr>
      <w:tr>
        <w:trPr>
          <w:tblHeader w:val="false"/>
        </w:trPr>
        <w:tc>
          <w:tcPr>
            <w:tcW w:type="dxa" w:w="8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20</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3,188</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2,608</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5,796</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7,747</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6,337</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14,084</w:t>
            </w:r>
          </w:p>
        </w:tc>
        <w:tc>
          <w:tcPr>
            <w:tcW w:type="dxa" w:w="122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20,630</w:t>
            </w:r>
          </w:p>
        </w:tc>
      </w:tr>
      <w:tr>
        <w:trPr>
          <w:tblHeader w:val="false"/>
        </w:trPr>
        <w:tc>
          <w:tcPr>
            <w:tcW w:type="dxa" w:w="8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25</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3,408</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2,903</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6,311</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8,281</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7,055</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15,336</w:t>
            </w:r>
          </w:p>
        </w:tc>
        <w:tc>
          <w:tcPr>
            <w:tcW w:type="dxa" w:w="122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20,630</w:t>
            </w:r>
          </w:p>
        </w:tc>
      </w:tr>
      <w:tr>
        <w:trPr>
          <w:tblHeader w:val="false"/>
        </w:trPr>
        <w:tc>
          <w:tcPr>
            <w:tcW w:type="dxa" w:w="8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28</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3,440</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3,080</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6,520</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8,358</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7,484</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15,842</w:t>
            </w:r>
          </w:p>
        </w:tc>
        <w:tc>
          <w:tcPr>
            <w:tcW w:type="dxa" w:w="122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20,630</w:t>
            </w:r>
          </w:p>
        </w:tc>
      </w:tr>
      <w:tr>
        <w:trPr>
          <w:tblHeader w:val="false"/>
        </w:trPr>
        <w:tc>
          <w:tcPr>
            <w:tcW w:type="dxa" w:w="8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30</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3,461</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3,197</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6,658</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8,411</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7,768</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16,179</w:t>
            </w:r>
          </w:p>
        </w:tc>
        <w:tc>
          <w:tcPr>
            <w:tcW w:type="dxa" w:w="122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20,630</w:t>
            </w:r>
          </w:p>
        </w:tc>
      </w:tr>
      <w:tr>
        <w:trPr>
          <w:tblHeader w:val="false"/>
        </w:trPr>
        <w:tc>
          <w:tcPr>
            <w:tcW w:type="dxa" w:w="8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35</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3,518</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3,491</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7,009</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8,548</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8,483</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17,031</w:t>
            </w:r>
          </w:p>
        </w:tc>
        <w:tc>
          <w:tcPr>
            <w:tcW w:type="dxa" w:w="122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20,630</w:t>
            </w:r>
          </w:p>
        </w:tc>
      </w:tr>
      <w:tr>
        <w:trPr>
          <w:tblHeader w:val="false"/>
        </w:trPr>
        <w:tc>
          <w:tcPr>
            <w:tcW w:type="dxa" w:w="8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38</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3,561</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3,669</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7,230</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8,653</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8,916</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17,569</w:t>
            </w:r>
          </w:p>
        </w:tc>
        <w:tc>
          <w:tcPr>
            <w:tcW w:type="dxa" w:w="122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20,630</w:t>
            </w:r>
          </w:p>
        </w:tc>
      </w:tr>
      <w:tr>
        <w:trPr>
          <w:tblHeader w:val="false"/>
        </w:trPr>
        <w:tc>
          <w:tcPr>
            <w:tcW w:type="dxa" w:w="8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40</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3,584</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3,786</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7,370</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8,710</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9,200</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17,910</w:t>
            </w:r>
          </w:p>
        </w:tc>
        <w:tc>
          <w:tcPr>
            <w:tcW w:type="dxa" w:w="122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20,630</w:t>
            </w:r>
          </w:p>
        </w:tc>
      </w:tr>
      <w:tr>
        <w:trPr>
          <w:tblHeader w:val="false"/>
        </w:trPr>
        <w:tc>
          <w:tcPr>
            <w:tcW w:type="dxa" w:w="8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45</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3,644</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4,081</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7,725</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8,855</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9,917</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18,772</w:t>
            </w:r>
          </w:p>
        </w:tc>
        <w:tc>
          <w:tcPr>
            <w:tcW w:type="dxa" w:w="122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20,630</w:t>
            </w:r>
          </w:p>
        </w:tc>
      </w:tr>
      <w:tr>
        <w:trPr>
          <w:tblHeader w:val="false"/>
        </w:trPr>
        <w:tc>
          <w:tcPr>
            <w:tcW w:type="dxa" w:w="8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50</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3,705</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4,375</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8,080</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9,002</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10,631</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19,633</w:t>
            </w:r>
          </w:p>
        </w:tc>
        <w:tc>
          <w:tcPr>
            <w:tcW w:type="dxa" w:w="122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20,630</w:t>
            </w:r>
          </w:p>
        </w:tc>
      </w:tr>
      <w:tr>
        <w:trPr>
          <w:tblHeader w:val="false"/>
        </w:trPr>
        <w:tc>
          <w:tcPr>
            <w:tcW w:type="dxa" w:w="8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55</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3,774</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4,669</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8,443</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9,172</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11,346</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20,518</w:t>
            </w:r>
          </w:p>
        </w:tc>
        <w:tc>
          <w:tcPr>
            <w:tcW w:type="dxa" w:w="122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20,630</w:t>
            </w:r>
          </w:p>
        </w:tc>
      </w:tr>
      <w:tr>
        <w:trPr>
          <w:tblHeader w:val="false"/>
        </w:trPr>
        <w:tc>
          <w:tcPr>
            <w:tcW w:type="dxa" w:w="8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58</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3,812</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4,847</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8,659</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9,262</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11,778</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21,040</w:t>
            </w:r>
          </w:p>
        </w:tc>
        <w:tc>
          <w:tcPr>
            <w:tcW w:type="dxa" w:w="122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20,630</w:t>
            </w:r>
          </w:p>
        </w:tc>
      </w:tr>
      <w:tr>
        <w:trPr>
          <w:tblHeader w:val="false"/>
        </w:trPr>
        <w:tc>
          <w:tcPr>
            <w:tcW w:type="dxa" w:w="8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60</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3,837</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4,964</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8,801</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9,323</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12,062</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21,385</w:t>
            </w:r>
          </w:p>
        </w:tc>
        <w:tc>
          <w:tcPr>
            <w:tcW w:type="dxa" w:w="122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20,630</w:t>
            </w:r>
          </w:p>
        </w:tc>
      </w:tr>
      <w:tr>
        <w:trPr>
          <w:tblHeader w:val="false"/>
        </w:trPr>
        <w:tc>
          <w:tcPr>
            <w:tcW w:type="dxa" w:w="8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65</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3,899</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5,259</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9,158</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9,475</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12,779</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22,254</w:t>
            </w:r>
          </w:p>
        </w:tc>
        <w:tc>
          <w:tcPr>
            <w:tcW w:type="dxa" w:w="122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20,630</w:t>
            </w:r>
          </w:p>
        </w:tc>
      </w:tr>
      <w:tr>
        <w:trPr>
          <w:tblHeader w:val="false"/>
        </w:trPr>
        <w:tc>
          <w:tcPr>
            <w:tcW w:type="dxa" w:w="8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70</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3,963</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5,553</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9,516</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9,629</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13,494</w:t>
            </w:r>
          </w:p>
        </w:tc>
        <w:tc>
          <w:tcPr>
            <w:tcW w:type="dxa" w:w="122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23,123</w:t>
            </w:r>
          </w:p>
        </w:tc>
        <w:tc>
          <w:tcPr>
            <w:tcW w:type="dxa" w:w="122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20,630</w:t>
            </w:r>
          </w:p>
        </w:tc>
      </w:tr>
      <w:tr>
        <w:trPr>
          <w:tblHeader w:val="false"/>
        </w:trPr>
        <w:tc>
          <w:tcPr>
            <w:tcW w:type="dxa" w:w="8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72</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3,988</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5,670</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9,658</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9,691</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13,779</w:t>
            </w:r>
          </w:p>
        </w:tc>
        <w:tc>
          <w:tcPr>
            <w:tcW w:type="dxa" w:w="122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23,470</w:t>
            </w:r>
          </w:p>
        </w:tc>
        <w:tc>
          <w:tcPr>
            <w:tcW w:type="dxa" w:w="122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20,630</w:t>
            </w:r>
          </w:p>
        </w:tc>
      </w:tr>
    </w:tbl>
    <w:p>
      <w:pPr>
        <w:spacing w:after="160"/>
      </w:pPr>
      <w:r>
        <w:rPr>
          <w:rFonts w:ascii="Georgia" w:cs="Georgia" w:eastAsia="SimSun" w:hAnsi="Georgia"/>
          <w:color w:val="6B7F94"/>
          <w:sz w:val="18"/>
          <w:szCs w:val="18"/>
        </w:rPr>
        <w:t xml:space="preserve">The memo column holds the reference document's 20,630 total jobs at its single 48 Gripen E + 72 Sprinter + 36 Striker fleet for comparison. Export-scenario jobs of Part XIII sit outside this table as upside.</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IX. Job Gains by Province and Region</w:t>
      </w:r>
    </w:p>
    <w:p>
      <w:pPr>
        <w:pStyle w:val="Heading2"/>
        <w:spacing w:after="140" w:before="280"/>
      </w:pPr>
      <w:r>
        <w:rPr>
          <w:rFonts w:ascii="Georgia" w:cs="Georgia" w:eastAsia="SimSun" w:hAnsi="Georgia"/>
          <w:b/>
          <w:bCs/>
          <w:color w:val="1F3A5F"/>
          <w:sz w:val="26"/>
          <w:szCs w:val="26"/>
        </w:rPr>
        <w:t xml:space="preserve">9.1 The Regional Model</w:t>
      </w:r>
    </w:p>
    <w:p>
      <w:pPr>
        <w:spacing w:after="140" w:line="300"/>
        <w:ind w:firstLine="431"/>
      </w:pPr>
      <w:r>
        <w:rPr>
          <w:rFonts w:ascii="Georgia" w:cs="Georgia" w:eastAsia="SimSun" w:hAnsi="Georgia"/>
          <w:sz w:val="22"/>
          <w:szCs w:val="22"/>
        </w:rPr>
        <w:t xml:space="preserve">Jobs land in provinces through the actual industrial geography the packages name, not through population weights. Development employment concentrates in Quebec and Ontario, where the Mirabel and Ottawa engineering clusters sit. Production employment follows the manufacturing map: Mirabel final assembly and the composite cell, GTA precision machining, Winnipeg structures and heating, Calgary navigation, Halifax embodiment. Sustainment and facilities employment follows the operating map: the Mirabel depot, Cold Lake, Goose Bay, the forward operating locations and the Halifax logistics node, which lifts the Western and Atlantic shares well above their production shares. The category weights, stated in Appendix A, produce the distributions below.</w:t>
      </w:r>
    </w:p>
    <w:p>
      <w:pPr>
        <w:spacing w:after="100" w:before="120"/>
        <w:jc w:val="center"/>
      </w:pPr>
      <w:r>
        <w:rPr>
          <w:rFonts w:ascii="Georgia" w:cs="Georgia" w:eastAsia="SimSun" w:hAnsi="Georgia"/>
          <w:i/>
          <w:iCs/>
          <w:color w:val="6B7F94"/>
          <w:sz w:val="18"/>
          <w:szCs w:val="18"/>
        </w:rPr>
        <w:t xml:space="preserve">Table IX-1. Total employment by region at five anchor fleet sizes (direct + indirect + induced; CALCULATED)</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500"/>
        <w:gridCol w:w="1310"/>
        <w:gridCol w:w="1310"/>
        <w:gridCol w:w="1310"/>
        <w:gridCol w:w="1310"/>
        <w:gridCol w:w="1310"/>
        <w:gridCol w:w="1310"/>
      </w:tblGrid>
      <w:tr>
        <w:trPr>
          <w:tblHeader/>
        </w:trPr>
        <w:tc>
          <w:tcPr>
            <w:tcW w:type="dxa" w:w="15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Region</w:t>
            </w:r>
          </w:p>
        </w:tc>
        <w:tc>
          <w:tcPr>
            <w:tcW w:type="dxa" w:w="131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10</w:t>
            </w:r>
          </w:p>
        </w:tc>
        <w:tc>
          <w:tcPr>
            <w:tcW w:type="dxa" w:w="131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28</w:t>
            </w:r>
          </w:p>
        </w:tc>
        <w:tc>
          <w:tcPr>
            <w:tcW w:type="dxa" w:w="131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40</w:t>
            </w:r>
          </w:p>
        </w:tc>
        <w:tc>
          <w:tcPr>
            <w:tcW w:type="dxa" w:w="131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60</w:t>
            </w:r>
          </w:p>
        </w:tc>
        <w:tc>
          <w:tcPr>
            <w:tcW w:type="dxa" w:w="131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72</w:t>
            </w:r>
          </w:p>
        </w:tc>
        <w:tc>
          <w:tcPr>
            <w:tcW w:type="dxa" w:w="131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Share at 10/28/40/60/72</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Quebec</w:t>
            </w:r>
          </w:p>
        </w:tc>
        <w:tc>
          <w:tcPr>
            <w:tcW w:type="dxa" w:w="13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3,419</w:t>
            </w:r>
          </w:p>
        </w:tc>
        <w:tc>
          <w:tcPr>
            <w:tcW w:type="dxa" w:w="13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4,444</w:t>
            </w:r>
          </w:p>
        </w:tc>
        <w:tc>
          <w:tcPr>
            <w:tcW w:type="dxa" w:w="13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4,553</w:t>
            </w:r>
          </w:p>
        </w:tc>
        <w:tc>
          <w:tcPr>
            <w:tcW w:type="dxa" w:w="13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4,756</w:t>
            </w:r>
          </w:p>
        </w:tc>
        <w:tc>
          <w:tcPr>
            <w:tcW w:type="dxa" w:w="13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4,882</w:t>
            </w:r>
          </w:p>
        </w:tc>
        <w:tc>
          <w:tcPr>
            <w:tcW w:type="dxa" w:w="13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53.0% / 53.2% / 52.3% / 51.0% / 50.4%</w:t>
            </w:r>
          </w:p>
        </w:tc>
      </w:tr>
      <w:tr>
        <w:trPr>
          <w:tblHeader w:val="false"/>
        </w:trPr>
        <w:tc>
          <w:tcPr>
            <w:tcW w:type="dxa" w:w="1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Ontario</w:t>
            </w:r>
          </w:p>
        </w:tc>
        <w:tc>
          <w:tcPr>
            <w:tcW w:type="dxa" w:w="13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1,344</w:t>
            </w:r>
          </w:p>
        </w:tc>
        <w:tc>
          <w:tcPr>
            <w:tcW w:type="dxa" w:w="13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1,666</w:t>
            </w:r>
          </w:p>
        </w:tc>
        <w:tc>
          <w:tcPr>
            <w:tcW w:type="dxa" w:w="13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1,714</w:t>
            </w:r>
          </w:p>
        </w:tc>
        <w:tc>
          <w:tcPr>
            <w:tcW w:type="dxa" w:w="13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1,800</w:t>
            </w:r>
          </w:p>
        </w:tc>
        <w:tc>
          <w:tcPr>
            <w:tcW w:type="dxa" w:w="13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1,852</w:t>
            </w:r>
          </w:p>
        </w:tc>
        <w:tc>
          <w:tcPr>
            <w:tcW w:type="dxa" w:w="13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20.8% / 19.9% / 19.7% / 19.3% / 19.1%</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Western Canada</w:t>
            </w:r>
          </w:p>
        </w:tc>
        <w:tc>
          <w:tcPr>
            <w:tcW w:type="dxa" w:w="13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862</w:t>
            </w:r>
          </w:p>
        </w:tc>
        <w:tc>
          <w:tcPr>
            <w:tcW w:type="dxa" w:w="13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1,155</w:t>
            </w:r>
          </w:p>
        </w:tc>
        <w:tc>
          <w:tcPr>
            <w:tcW w:type="dxa" w:w="13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1,250</w:t>
            </w:r>
          </w:p>
        </w:tc>
        <w:tc>
          <w:tcPr>
            <w:tcW w:type="dxa" w:w="13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1,409</w:t>
            </w:r>
          </w:p>
        </w:tc>
        <w:tc>
          <w:tcPr>
            <w:tcW w:type="dxa" w:w="13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1,503</w:t>
            </w:r>
          </w:p>
        </w:tc>
        <w:tc>
          <w:tcPr>
            <w:tcW w:type="dxa" w:w="13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13.4% / 13.8% / 14.4% / 15.1% / 15.5%</w:t>
            </w:r>
          </w:p>
        </w:tc>
      </w:tr>
      <w:tr>
        <w:trPr>
          <w:tblHeader w:val="false"/>
        </w:trPr>
        <w:tc>
          <w:tcPr>
            <w:tcW w:type="dxa" w:w="1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Atlantic &amp; Northern</w:t>
            </w:r>
          </w:p>
        </w:tc>
        <w:tc>
          <w:tcPr>
            <w:tcW w:type="dxa" w:w="13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594</w:t>
            </w:r>
          </w:p>
        </w:tc>
        <w:tc>
          <w:tcPr>
            <w:tcW w:type="dxa" w:w="13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796</w:t>
            </w:r>
          </w:p>
        </w:tc>
        <w:tc>
          <w:tcPr>
            <w:tcW w:type="dxa" w:w="13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877</w:t>
            </w:r>
          </w:p>
        </w:tc>
        <w:tc>
          <w:tcPr>
            <w:tcW w:type="dxa" w:w="13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1,012</w:t>
            </w:r>
          </w:p>
        </w:tc>
        <w:tc>
          <w:tcPr>
            <w:tcW w:type="dxa" w:w="13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1,091</w:t>
            </w:r>
          </w:p>
        </w:tc>
        <w:tc>
          <w:tcPr>
            <w:tcW w:type="dxa" w:w="13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9.2% / 9.5% / 10.1% / 10.9% / 11.3%</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Pan-Canadian</w:t>
            </w:r>
          </w:p>
        </w:tc>
        <w:tc>
          <w:tcPr>
            <w:tcW w:type="dxa" w:w="13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228</w:t>
            </w:r>
          </w:p>
        </w:tc>
        <w:tc>
          <w:tcPr>
            <w:tcW w:type="dxa" w:w="13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297</w:t>
            </w:r>
          </w:p>
        </w:tc>
        <w:tc>
          <w:tcPr>
            <w:tcW w:type="dxa" w:w="13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315</w:t>
            </w:r>
          </w:p>
        </w:tc>
        <w:tc>
          <w:tcPr>
            <w:tcW w:type="dxa" w:w="13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345</w:t>
            </w:r>
          </w:p>
        </w:tc>
        <w:tc>
          <w:tcPr>
            <w:tcW w:type="dxa" w:w="13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363</w:t>
            </w:r>
          </w:p>
        </w:tc>
        <w:tc>
          <w:tcPr>
            <w:tcW w:type="dxa" w:w="13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 / 3.5% / 3.6% / 3.7% / 3.8%</w:t>
            </w:r>
          </w:p>
        </w:tc>
      </w:tr>
    </w:tbl>
    <w:p>
      <w:pPr>
        <w:spacing w:after="140" w:line="300"/>
        <w:ind w:firstLine="431"/>
      </w:pPr>
      <w:r>
        <w:rPr>
          <w:rFonts w:ascii="Georgia" w:cs="Georgia" w:eastAsia="SimSun" w:hAnsi="Georgia"/>
          <w:sz w:val="22"/>
          <w:szCs w:val="22"/>
        </w:rPr>
        <w:t xml:space="preserve">The share column reveals the structural pattern: Quebec and Ontario carry proportionally more of a small fleet because fixed development work concentrates there; Western Canada and the Atlantic and Northern region gain share as fleets grow because sustainment and base operations scale with aircraft numbers.</w:t>
      </w:r>
    </w:p>
    <w:p>
      <w:pPr>
        <w:spacing w:after="100" w:before="120"/>
        <w:jc w:val="center"/>
      </w:pPr>
      <w:r>
        <w:rPr>
          <w:rFonts w:ascii="Georgia" w:cs="Georgia" w:eastAsia="SimSun" w:hAnsi="Georgia"/>
          <w:i/>
          <w:iCs/>
          <w:color w:val="6B7F94"/>
          <w:sz w:val="18"/>
          <w:szCs w:val="18"/>
        </w:rPr>
        <w:t xml:space="preserve">Table IX-1b. Total employment by region, all seventeen fleet sizes (CALCULATED)</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100"/>
        <w:gridCol w:w="1652"/>
        <w:gridCol w:w="1652"/>
        <w:gridCol w:w="1652"/>
        <w:gridCol w:w="1652"/>
        <w:gridCol w:w="1652"/>
      </w:tblGrid>
      <w:tr>
        <w:trPr>
          <w:tblHeader/>
        </w:trPr>
        <w:tc>
          <w:tcPr>
            <w:tcW w:type="dxa" w:w="11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N</w:t>
            </w:r>
          </w:p>
        </w:tc>
        <w:tc>
          <w:tcPr>
            <w:tcW w:type="dxa" w:w="165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5"/>
                <w:szCs w:val="15"/>
              </w:rPr>
              <w:t xml:space="preserve">Quebec</w:t>
            </w:r>
          </w:p>
        </w:tc>
        <w:tc>
          <w:tcPr>
            <w:tcW w:type="dxa" w:w="165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5"/>
                <w:szCs w:val="15"/>
              </w:rPr>
              <w:t xml:space="preserve">Ontario</w:t>
            </w:r>
          </w:p>
        </w:tc>
        <w:tc>
          <w:tcPr>
            <w:tcW w:type="dxa" w:w="165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5"/>
                <w:szCs w:val="15"/>
              </w:rPr>
              <w:t xml:space="preserve">Western Canada</w:t>
            </w:r>
          </w:p>
        </w:tc>
        <w:tc>
          <w:tcPr>
            <w:tcW w:type="dxa" w:w="165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5"/>
                <w:szCs w:val="15"/>
              </w:rPr>
              <w:t xml:space="preserve">Atlantic &amp; Northern</w:t>
            </w:r>
          </w:p>
        </w:tc>
        <w:tc>
          <w:tcPr>
            <w:tcW w:type="dxa" w:w="165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5"/>
                <w:szCs w:val="15"/>
              </w:rPr>
              <w:t xml:space="preserve">Pan-Canadian</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10</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3,419</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1,344</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862</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594</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228</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15</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3,774</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1,454</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955</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656</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251</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20</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4,133</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1,565</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1,053</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722</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274</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25</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4,422</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1,656</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1,133</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778</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293</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28</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4,444</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1,666</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1,155</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796</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297</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30</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4,460</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1,673</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1,170</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809</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299</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35</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4,502</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1,692</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1,207</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841</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307</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38</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4,535</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1,706</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1,235</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865</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312</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40</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4,553</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1,714</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1,250</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877</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315</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45</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4,600</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1,735</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1,288</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910</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322</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50</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4,649</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1,755</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1,326</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942</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329</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55</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4,706</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1,779</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1,370</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979</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338</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58</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4,736</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1,792</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1,393</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999</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342</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60</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4,756</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1,800</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1,409</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1,012</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345</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65</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4,808</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1,822</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1,448</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1,045</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353</w:t>
            </w:r>
          </w:p>
        </w:tc>
      </w:tr>
      <w:tr>
        <w:trPr>
          <w:tblHeader w:val="false"/>
        </w:trPr>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70</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4,861</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1,844</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1,487</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1,077</w:t>
            </w:r>
          </w:p>
        </w:tc>
        <w:tc>
          <w:tcPr>
            <w:tcW w:type="dxa" w:w="165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360</w:t>
            </w:r>
          </w:p>
        </w:tc>
      </w:tr>
      <w:tr>
        <w:trPr>
          <w:tblHeader w:val="false"/>
        </w:trPr>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72</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4,882</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1,852</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1,503</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1,091</w:t>
            </w:r>
          </w:p>
        </w:tc>
        <w:tc>
          <w:tcPr>
            <w:tcW w:type="dxa" w:w="165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363</w:t>
            </w:r>
          </w:p>
        </w:tc>
      </w:tr>
    </w:tbl>
    <w:p>
      <w:pPr>
        <w:spacing w:after="160"/>
      </w:pPr>
      <w:r>
        <w:rPr>
          <w:rFonts w:ascii="Georgia" w:cs="Georgia" w:eastAsia="SimSun" w:hAnsi="Georgia"/>
          <w:color w:val="6B7F94"/>
          <w:sz w:val="18"/>
          <w:szCs w:val="18"/>
        </w:rPr>
        <w:t xml:space="preserve">Totals include direct, indirect and induced employment at the 2.43x combined multiplier. Regional shares derive from the category weights of Appendix A.3. The Gripen E account of Part III adds no line to this table under the scope rule; Table IX-2 distributes it separately.</w:t>
      </w:r>
    </w:p>
    <w:p>
      <w:pPr>
        <w:spacing w:after="100" w:before="120"/>
        <w:jc w:val="center"/>
      </w:pPr>
      <w:r>
        <w:rPr>
          <w:rFonts w:ascii="Georgia" w:cs="Georgia" w:eastAsia="SimSun" w:hAnsi="Georgia"/>
          <w:i/>
          <w:iCs/>
          <w:color w:val="6B7F94"/>
          <w:sz w:val="18"/>
          <w:szCs w:val="18"/>
        </w:rPr>
        <w:t xml:space="preserve">Table IX-2. Gripen E account employment by region at anchor fleet sizes (direct + indirect + induced; CALCULATED from the Table III-2 build)</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900"/>
        <w:gridCol w:w="1243"/>
        <w:gridCol w:w="1243"/>
        <w:gridCol w:w="1243"/>
        <w:gridCol w:w="1243"/>
        <w:gridCol w:w="1243"/>
        <w:gridCol w:w="1245"/>
      </w:tblGrid>
      <w:tr>
        <w:trPr>
          <w:tblHeader/>
        </w:trPr>
        <w:tc>
          <w:tcPr>
            <w:tcW w:type="dxa" w:w="19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Region</w:t>
            </w:r>
          </w:p>
        </w:tc>
        <w:tc>
          <w:tcPr>
            <w:tcW w:type="dxa" w:w="1243"/>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10</w:t>
            </w:r>
          </w:p>
        </w:tc>
        <w:tc>
          <w:tcPr>
            <w:tcW w:type="dxa" w:w="1243"/>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28</w:t>
            </w:r>
          </w:p>
        </w:tc>
        <w:tc>
          <w:tcPr>
            <w:tcW w:type="dxa" w:w="1243"/>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40</w:t>
            </w:r>
          </w:p>
        </w:tc>
        <w:tc>
          <w:tcPr>
            <w:tcW w:type="dxa" w:w="1243"/>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48</w:t>
            </w:r>
          </w:p>
        </w:tc>
        <w:tc>
          <w:tcPr>
            <w:tcW w:type="dxa" w:w="1243"/>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60</w:t>
            </w:r>
          </w:p>
        </w:tc>
        <w:tc>
          <w:tcPr>
            <w:tcW w:type="dxa" w:w="1245"/>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72</w:t>
            </w:r>
          </w:p>
        </w:tc>
      </w:tr>
      <w:tr>
        <w:trPr>
          <w:tblHeader w:val="false"/>
        </w:trPr>
        <w:tc>
          <w:tcPr>
            <w:tcW w:type="dxa" w:w="1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Quebec</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3,428</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5,194</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6,368</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7,151</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8,327</w:t>
            </w:r>
          </w:p>
        </w:tc>
        <w:tc>
          <w:tcPr>
            <w:tcW w:type="dxa" w:w="124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9,501</w:t>
            </w:r>
          </w:p>
        </w:tc>
      </w:tr>
      <w:tr>
        <w:trPr>
          <w:tblHeader w:val="false"/>
        </w:trPr>
        <w:tc>
          <w:tcPr>
            <w:tcW w:type="dxa" w:w="1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Ontario</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268</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406</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498</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560</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652</w:t>
            </w:r>
          </w:p>
        </w:tc>
        <w:tc>
          <w:tcPr>
            <w:tcW w:type="dxa" w:w="124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744</w:t>
            </w:r>
          </w:p>
        </w:tc>
      </w:tr>
      <w:tr>
        <w:trPr>
          <w:tblHeader w:val="false"/>
        </w:trPr>
        <w:tc>
          <w:tcPr>
            <w:tcW w:type="dxa" w:w="1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Western Canada</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418</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651</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807</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910</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1,066</w:t>
            </w:r>
          </w:p>
        </w:tc>
        <w:tc>
          <w:tcPr>
            <w:tcW w:type="dxa" w:w="124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1,222</w:t>
            </w:r>
          </w:p>
        </w:tc>
      </w:tr>
      <w:tr>
        <w:trPr>
          <w:tblHeader w:val="false"/>
        </w:trPr>
        <w:tc>
          <w:tcPr>
            <w:tcW w:type="dxa" w:w="1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Atlantic &amp; Northern</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767</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1,195</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1,480</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1,670</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1,955</w:t>
            </w:r>
          </w:p>
        </w:tc>
        <w:tc>
          <w:tcPr>
            <w:tcW w:type="dxa" w:w="124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2,240</w:t>
            </w:r>
          </w:p>
        </w:tc>
      </w:tr>
      <w:tr>
        <w:trPr>
          <w:tblHeader w:val="false"/>
        </w:trPr>
        <w:tc>
          <w:tcPr>
            <w:tcW w:type="dxa" w:w="1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Pan-Canadian</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47</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w:t>
            </w:r>
          </w:p>
        </w:tc>
        <w:tc>
          <w:tcPr>
            <w:tcW w:type="dxa" w:w="124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62</w:t>
            </w:r>
          </w:p>
        </w:tc>
        <w:tc>
          <w:tcPr>
            <w:tcW w:type="dxa" w:w="124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72</w:t>
            </w:r>
          </w:p>
        </w:tc>
      </w:tr>
      <w:tr>
        <w:trPr>
          <w:tblHeader w:val="false"/>
        </w:trPr>
        <w:tc>
          <w:tcPr>
            <w:tcW w:type="dxa" w:w="1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ACCOUNT TOTAL</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4,906</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7,484</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9,200</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10,344</w:t>
            </w:r>
          </w:p>
        </w:tc>
        <w:tc>
          <w:tcPr>
            <w:tcW w:type="dxa" w:w="124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12,062</w:t>
            </w:r>
          </w:p>
        </w:tc>
        <w:tc>
          <w:tcPr>
            <w:tcW w:type="dxa" w:w="124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13,779</w:t>
            </w:r>
          </w:p>
        </w:tc>
      </w:tr>
    </w:tbl>
    <w:p>
      <w:pPr>
        <w:spacing w:after="160"/>
      </w:pPr>
      <w:r>
        <w:rPr>
          <w:rFonts w:ascii="Georgia" w:cs="Georgia" w:eastAsia="SimSun" w:hAnsi="Georgia"/>
          <w:color w:val="6B7F94"/>
          <w:sz w:val="18"/>
          <w:szCs w:val="18"/>
        </w:rPr>
        <w:t xml:space="preserve">Assembly, propulsion, training and most supplier activity land in Quebec; mission-systems and sensor work splits between Quebec and Ontario; the enduring sustainment and MRO line lands principally in Atlantic Canada (IMP Halifax) and Western Canada (StandardAero Winnipeg, Cold Lake operations). The account's regional balance therefore tilts less toward Quebec than the drone accounts do as fleets grow.</w:t>
      </w:r>
    </w:p>
    <w:p>
      <w:pPr>
        <w:spacing w:after="60" w:before="160"/>
        <w:jc w:val="center"/>
      </w:pPr>
      <w:r>
        <w:drawing>
          <wp:inline distT="0" distB="0" distL="0" distR="0">
            <wp:extent cx="5143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628900"/>
                    </a:xfrm>
                    <a:prstGeom prst="rect">
                      <a:avLst/>
                    </a:prstGeom>
                  </pic:spPr>
                </pic:pic>
              </a:graphicData>
            </a:graphic>
          </wp:inline>
        </w:drawing>
      </w:r>
    </w:p>
    <w:p>
      <w:pPr>
        <w:spacing w:after="100" w:before="120"/>
        <w:jc w:val="center"/>
      </w:pPr>
      <w:r>
        <w:rPr>
          <w:rFonts w:ascii="Georgia" w:cs="Georgia" w:eastAsia="SimSun" w:hAnsi="Georgia"/>
          <w:i/>
          <w:iCs/>
          <w:color w:val="6B7F94"/>
          <w:sz w:val="18"/>
          <w:szCs w:val="18"/>
        </w:rPr>
        <w:t xml:space="preserve">Figure 3. Regional employment at fleet sizes 10, 40 and 72. Source: Appendix A regional model.</w:t>
      </w:r>
    </w:p>
    <w:p>
      <w:pPr>
        <w:pStyle w:val="Heading2"/>
        <w:spacing w:after="140" w:before="280"/>
      </w:pPr>
      <w:r>
        <w:rPr>
          <w:rFonts w:ascii="Georgia" w:cs="Georgia" w:eastAsia="SimSun" w:hAnsi="Georgia"/>
          <w:b/>
          <w:bCs/>
          <w:color w:val="1F3A5F"/>
          <w:sz w:val="26"/>
          <w:szCs w:val="26"/>
        </w:rPr>
        <w:t xml:space="preserve">9.2 Quebec</w:t>
      </w:r>
    </w:p>
    <w:p>
      <w:pPr>
        <w:spacing w:after="140" w:line="300"/>
        <w:ind w:firstLine="431"/>
      </w:pPr>
      <w:r>
        <w:rPr>
          <w:rFonts w:ascii="Georgia" w:cs="Georgia" w:eastAsia="SimSun" w:hAnsi="Georgia"/>
          <w:sz w:val="22"/>
          <w:szCs w:val="22"/>
        </w:rPr>
        <w:t xml:space="preserve">Quebec anchors the programme at every fleet size, carrying 3,419 to 4,882 total jobs across the seventeen options, roughly half of national employment at every quantity. The province holds the complete Mirabel ecosystem: final assembly for both drones, the composite manufacturing cell on Bombardier heritage, the L3Harris MAS depot and kit embodiment line, the CAE simulation campus and the autonomy software cluster. The Gripen E assembly option, where Canada elects it, places its 850 to 2,400 direct jobs at the same Mirabel site. The province also holds 61 percent of Canada's aerospace manufacturing employment per ISED 2024, so the programme's Quebec weight reflects industrial reality rather than policy preference. The Raymor and NanoIntegris carbon-nanotube heater material line at Boisbriand feeds the Gripen augmentation ice-protection kit, and Heroux-Devtek at Longueuil carries landing-gear content across all three packages.</w:t>
      </w:r>
    </w:p>
    <w:p>
      <w:pPr>
        <w:pStyle w:val="Heading2"/>
        <w:spacing w:after="140" w:before="280"/>
      </w:pPr>
      <w:r>
        <w:rPr>
          <w:rFonts w:ascii="Georgia" w:cs="Georgia" w:eastAsia="SimSun" w:hAnsi="Georgia"/>
          <w:b/>
          <w:bCs/>
          <w:color w:val="1F3A5F"/>
          <w:sz w:val="26"/>
          <w:szCs w:val="26"/>
        </w:rPr>
        <w:t xml:space="preserve">9.3 Ontario</w:t>
      </w:r>
    </w:p>
    <w:p>
      <w:pPr>
        <w:spacing w:after="140" w:line="300"/>
        <w:ind w:firstLine="431"/>
      </w:pPr>
      <w:r>
        <w:rPr>
          <w:rFonts w:ascii="Georgia" w:cs="Georgia" w:eastAsia="SimSun" w:hAnsi="Georgia"/>
          <w:sz w:val="22"/>
          <w:szCs w:val="22"/>
        </w:rPr>
        <w:t xml:space="preserve">Ontario carries 1,344 to 1,852 total jobs. The Ottawa cluster delivers secure communications, cryptographic integration and ruggedised mission computing, including the Curtiss-Wright ruggedisation of the autonomy computing modules. The GTA corridor machines precision structures through Magellan Mississauga, Cyclone and LISI Aerospace Canada. The auto-to-aero workforce transition, carried over from the reference analysis, routes displaced advanced-manufacturing workers from the Windsor-Oshawa corridor into drone production; the programme absorbs 300 to 900 transitioned workers depending on fleet size, against a displacement pool in the tens of thousands.</w:t>
      </w:r>
    </w:p>
    <w:p>
      <w:pPr>
        <w:pStyle w:val="Heading2"/>
        <w:spacing w:after="140" w:before="280"/>
      </w:pPr>
      <w:r>
        <w:rPr>
          <w:rFonts w:ascii="Georgia" w:cs="Georgia" w:eastAsia="SimSun" w:hAnsi="Georgia"/>
          <w:b/>
          <w:bCs/>
          <w:color w:val="1F3A5F"/>
          <w:sz w:val="26"/>
          <w:szCs w:val="26"/>
        </w:rPr>
        <w:t xml:space="preserve">9.4 Western Canada</w:t>
      </w:r>
    </w:p>
    <w:p>
      <w:pPr>
        <w:spacing w:after="140" w:line="300"/>
        <w:ind w:firstLine="431"/>
      </w:pPr>
      <w:r>
        <w:rPr>
          <w:rFonts w:ascii="Georgia" w:cs="Georgia" w:eastAsia="SimSun" w:hAnsi="Georgia"/>
          <w:sz w:val="22"/>
          <w:szCs w:val="22"/>
        </w:rPr>
        <w:t xml:space="preserve">Western Canada carries 862 to 1,503 total jobs, the region with the steepest fleet-size gradient because its portfolio skews toward sustainment and operations. Cold Lake hosts the main operating base construction and continuing support. NovAtel Calgary builds the anti-jam navigation core of the Gripen kit. Winnipeg holds Magellan structures and StandardAero engine MRO on the pooled M88-2 fleet. British Columbia contributes Avcorp composites, Mustang Survival equipment and Cascade field support. Saskatchewan adds Calian Saskatoon test and training support.</w:t>
      </w:r>
    </w:p>
    <w:p>
      <w:pPr>
        <w:pStyle w:val="Heading2"/>
        <w:spacing w:after="140" w:before="280"/>
      </w:pPr>
      <w:r>
        <w:rPr>
          <w:rFonts w:ascii="Georgia" w:cs="Georgia" w:eastAsia="SimSun" w:hAnsi="Georgia"/>
          <w:b/>
          <w:bCs/>
          <w:color w:val="1F3A5F"/>
          <w:sz w:val="26"/>
          <w:szCs w:val="26"/>
        </w:rPr>
        <w:t xml:space="preserve">9.5 Atlantic and Northern Canada</w:t>
      </w:r>
    </w:p>
    <w:p>
      <w:pPr>
        <w:spacing w:after="140" w:line="300"/>
        <w:ind w:firstLine="431"/>
      </w:pPr>
      <w:r>
        <w:rPr>
          <w:rFonts w:ascii="Georgia" w:cs="Georgia" w:eastAsia="SimSun" w:hAnsi="Georgia"/>
          <w:sz w:val="22"/>
          <w:szCs w:val="22"/>
        </w:rPr>
        <w:t xml:space="preserve">The Atlantic and Northern region carries 594 to 1,091 total jobs. IMP Aerospace Halifax performs depot work and Gripen kit embodiment, a contractual content line inside AGA-PRC-061 itself. Goose Bay hosts the second main operating base. Halifax runs the Tier-2 logistics node. Northern forward operating location support adds rotational Canadian employment at the four northern sites. At fleet sizes above 60 the region's share approaches 11 percent of total programme employment, nearly double its share of a development-only programme.</w:t>
      </w:r>
    </w:p>
    <w:p>
      <w:pPr>
        <w:pStyle w:val="Heading2"/>
        <w:spacing w:after="140" w:before="280"/>
      </w:pPr>
      <w:r>
        <w:rPr>
          <w:rFonts w:ascii="Georgia" w:cs="Georgia" w:eastAsia="SimSun" w:hAnsi="Georgia"/>
          <w:b/>
          <w:bCs/>
          <w:color w:val="1F3A5F"/>
          <w:sz w:val="26"/>
          <w:szCs w:val="26"/>
        </w:rPr>
        <w:t xml:space="preserve">9.6 Pan-Canadian Activity</w:t>
      </w:r>
    </w:p>
    <w:p>
      <w:pPr>
        <w:spacing w:after="140" w:line="300"/>
        <w:ind w:firstLine="431"/>
      </w:pPr>
      <w:r>
        <w:rPr>
          <w:rFonts w:ascii="Georgia" w:cs="Georgia" w:eastAsia="SimSun" w:hAnsi="Georgia"/>
          <w:sz w:val="22"/>
          <w:szCs w:val="22"/>
        </w:rPr>
        <w:t xml:space="preserve">Pan-Canadian employment, 228 to 363 jobs, covers programme management at NDHQ, national supply-chain integration, cross-country certification services and the pan-Canadian training elements. The category stays small because the packages assign work to named plants.</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X. Canadian Industrial Capture and Supply Chain</w:t>
      </w:r>
    </w:p>
    <w:p>
      <w:pPr>
        <w:pStyle w:val="Heading2"/>
        <w:spacing w:after="140" w:before="280"/>
      </w:pPr>
      <w:r>
        <w:rPr>
          <w:rFonts w:ascii="Georgia" w:cs="Georgia" w:eastAsia="SimSun" w:hAnsi="Georgia"/>
          <w:b/>
          <w:bCs/>
          <w:color w:val="1F3A5F"/>
          <w:sz w:val="26"/>
          <w:szCs w:val="26"/>
        </w:rPr>
        <w:t xml:space="preserve">10.1 Content Shares by Programme</w:t>
      </w:r>
    </w:p>
    <w:p>
      <w:pPr>
        <w:spacing w:after="140" w:line="300"/>
        <w:ind w:firstLine="431"/>
      </w:pPr>
      <w:r>
        <w:rPr>
          <w:rFonts w:ascii="Georgia" w:cs="Georgia" w:eastAsia="SimSun" w:hAnsi="Georgia"/>
          <w:sz w:val="22"/>
          <w:szCs w:val="22"/>
        </w:rPr>
        <w:t xml:space="preserve">Canadian capture measures the dollars that stay in Canada, category by category. The packages publish the recurring-production anchors: the Sprinter measures roughly 48 percent Canadian at first article rising toward 56 percent at rate production; the Striker targets 51 percent rising to 60 percent; the Gripen augmentation kit measures 60.6 percent Canadian by primary-source value. This Outlook interpolates the drone shares linearly across the quantity range as the packages' localization mechanism, recycled-material streams localizing at rate, scales with production run length. Non-recurring engineering carries an 85 percent Canadian share on the drone programmes and 80 percent on the augmentation package, reflecting Canadian-led design with allied specialist content. Infrastructure counts at 100 percent, weapons accounts at 5 percent for Canadian handling and storage, and initial support at 65 to 75 percent. Appendix A states every share and its tag.</w:t>
      </w:r>
    </w:p>
    <w:p>
      <w:pPr>
        <w:spacing w:after="100" w:before="120"/>
        <w:jc w:val="center"/>
      </w:pPr>
      <w:r>
        <w:rPr>
          <w:rFonts w:ascii="Georgia" w:cs="Georgia" w:eastAsia="SimSun" w:hAnsi="Georgia"/>
          <w:i/>
          <w:iCs/>
          <w:color w:val="6B7F94"/>
          <w:sz w:val="18"/>
          <w:szCs w:val="18"/>
        </w:rPr>
        <w:t xml:space="preserve">Table X-1. Canadian capture by fleet size (2026 C$M; CALCULATED from PACKAGE content shares)</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950"/>
        <w:gridCol w:w="1401"/>
        <w:gridCol w:w="1401"/>
        <w:gridCol w:w="1401"/>
        <w:gridCol w:w="1401"/>
        <w:gridCol w:w="1401"/>
        <w:gridCol w:w="1405"/>
      </w:tblGrid>
      <w:tr>
        <w:trPr>
          <w:tblHeader/>
        </w:trPr>
        <w:tc>
          <w:tcPr>
            <w:tcW w:type="dxa" w:w="95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N</w:t>
            </w:r>
          </w:p>
        </w:tc>
        <w:tc>
          <w:tcPr>
            <w:tcW w:type="dxa" w:w="1401"/>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Sprinter content</w:t>
            </w:r>
          </w:p>
        </w:tc>
        <w:tc>
          <w:tcPr>
            <w:tcW w:type="dxa" w:w="1401"/>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Striker content</w:t>
            </w:r>
          </w:p>
        </w:tc>
        <w:tc>
          <w:tcPr>
            <w:tcW w:type="dxa" w:w="1401"/>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Gripen kit content</w:t>
            </w:r>
          </w:p>
        </w:tc>
        <w:tc>
          <w:tcPr>
            <w:tcW w:type="dxa" w:w="1401"/>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Canadian capture</w:t>
            </w:r>
          </w:p>
        </w:tc>
        <w:tc>
          <w:tcPr>
            <w:tcW w:type="dxa" w:w="1401"/>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Capture share</w:t>
            </w:r>
          </w:p>
        </w:tc>
        <w:tc>
          <w:tcPr>
            <w:tcW w:type="dxa" w:w="1405"/>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Import leakage</w:t>
            </w:r>
          </w:p>
        </w:tc>
      </w:tr>
      <w:tr>
        <w:trPr>
          <w:tblHeader w:val="false"/>
        </w:trPr>
        <w:tc>
          <w:tcPr>
            <w:tcW w:type="dxa" w:w="9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10</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48.0%</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51.0%</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60.6%</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4,359.3</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79.7%</w:t>
            </w:r>
          </w:p>
        </w:tc>
        <w:tc>
          <w:tcPr>
            <w:tcW w:type="dxa" w:w="140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1,107.6</w:t>
            </w:r>
          </w:p>
        </w:tc>
      </w:tr>
      <w:tr>
        <w:trPr>
          <w:tblHeader w:val="false"/>
        </w:trPr>
        <w:tc>
          <w:tcPr>
            <w:tcW w:type="dxa" w:w="9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15</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48.6%</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51.7%</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60.6%</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4,528.4</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77.9%</w:t>
            </w:r>
          </w:p>
        </w:tc>
        <w:tc>
          <w:tcPr>
            <w:tcW w:type="dxa" w:w="140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1,287.5</w:t>
            </w:r>
          </w:p>
        </w:tc>
      </w:tr>
      <w:tr>
        <w:trPr>
          <w:tblHeader w:val="false"/>
        </w:trPr>
        <w:tc>
          <w:tcPr>
            <w:tcW w:type="dxa" w:w="9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20</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49.3%</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52.5%</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60.6%</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4,708.4</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76.3%</w:t>
            </w:r>
          </w:p>
        </w:tc>
        <w:tc>
          <w:tcPr>
            <w:tcW w:type="dxa" w:w="140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1,461.6</w:t>
            </w:r>
          </w:p>
        </w:tc>
      </w:tr>
      <w:tr>
        <w:trPr>
          <w:tblHeader w:val="false"/>
        </w:trPr>
        <w:tc>
          <w:tcPr>
            <w:tcW w:type="dxa" w:w="9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25</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49.9%</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53.2%</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60.6%</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4,875.7</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75%</w:t>
            </w:r>
          </w:p>
        </w:tc>
        <w:tc>
          <w:tcPr>
            <w:tcW w:type="dxa" w:w="140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1,628.9</w:t>
            </w:r>
          </w:p>
        </w:tc>
      </w:tr>
      <w:tr>
        <w:trPr>
          <w:tblHeader w:val="false"/>
        </w:trPr>
        <w:tc>
          <w:tcPr>
            <w:tcW w:type="dxa" w:w="9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28</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50.3%</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53.6%</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60.6%</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4,976.2</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74.2%</w:t>
            </w:r>
          </w:p>
        </w:tc>
        <w:tc>
          <w:tcPr>
            <w:tcW w:type="dxa" w:w="140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1,726.9</w:t>
            </w:r>
          </w:p>
        </w:tc>
      </w:tr>
      <w:tr>
        <w:trPr>
          <w:tblHeader w:val="false"/>
        </w:trPr>
        <w:tc>
          <w:tcPr>
            <w:tcW w:type="dxa" w:w="9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30</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50.6%</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53.9%</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60.6%</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5,043.4</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73.8%</w:t>
            </w:r>
          </w:p>
        </w:tc>
        <w:tc>
          <w:tcPr>
            <w:tcW w:type="dxa" w:w="140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1,791.2</w:t>
            </w:r>
          </w:p>
        </w:tc>
      </w:tr>
      <w:tr>
        <w:trPr>
          <w:tblHeader w:val="false"/>
        </w:trPr>
        <w:tc>
          <w:tcPr>
            <w:tcW w:type="dxa" w:w="9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35</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51.2%</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54.6%</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60.6%</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5,211.6</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72.8%</w:t>
            </w:r>
          </w:p>
        </w:tc>
        <w:tc>
          <w:tcPr>
            <w:tcW w:type="dxa" w:w="140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1,949.1</w:t>
            </w:r>
          </w:p>
        </w:tc>
      </w:tr>
      <w:tr>
        <w:trPr>
          <w:tblHeader w:val="false"/>
        </w:trPr>
        <w:tc>
          <w:tcPr>
            <w:tcW w:type="dxa" w:w="9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38</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51.6%</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55.1%</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60.6%</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5,325.2</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72.3%</w:t>
            </w:r>
          </w:p>
        </w:tc>
        <w:tc>
          <w:tcPr>
            <w:tcW w:type="dxa" w:w="140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2,043.1</w:t>
            </w:r>
          </w:p>
        </w:tc>
      </w:tr>
      <w:tr>
        <w:trPr>
          <w:tblHeader w:val="false"/>
        </w:trPr>
        <w:tc>
          <w:tcPr>
            <w:tcW w:type="dxa" w:w="9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40</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51.9%</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55.4%</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60.6%</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5,393.0</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71.9%</w:t>
            </w:r>
          </w:p>
        </w:tc>
        <w:tc>
          <w:tcPr>
            <w:tcW w:type="dxa" w:w="140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2,104.2</w:t>
            </w:r>
          </w:p>
        </w:tc>
      </w:tr>
      <w:tr>
        <w:trPr>
          <w:tblHeader w:val="false"/>
        </w:trPr>
        <w:tc>
          <w:tcPr>
            <w:tcW w:type="dxa" w:w="9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45</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52.5%</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56.1%</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60.6%</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5,563.2</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71.2%</w:t>
            </w:r>
          </w:p>
        </w:tc>
        <w:tc>
          <w:tcPr>
            <w:tcW w:type="dxa" w:w="140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2,254.2</w:t>
            </w:r>
          </w:p>
        </w:tc>
      </w:tr>
      <w:tr>
        <w:trPr>
          <w:tblHeader w:val="false"/>
        </w:trPr>
        <w:tc>
          <w:tcPr>
            <w:tcW w:type="dxa" w:w="9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50</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53.2%</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56.8%</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60.6%</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5,734.5</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70.5%</w:t>
            </w:r>
          </w:p>
        </w:tc>
        <w:tc>
          <w:tcPr>
            <w:tcW w:type="dxa" w:w="140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2,400.7</w:t>
            </w:r>
          </w:p>
        </w:tc>
      </w:tr>
      <w:tr>
        <w:trPr>
          <w:tblHeader w:val="false"/>
        </w:trPr>
        <w:tc>
          <w:tcPr>
            <w:tcW w:type="dxa" w:w="9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55</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53.8%</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57.5%</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60.6%</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5,919.4</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69.9%</w:t>
            </w:r>
          </w:p>
        </w:tc>
        <w:tc>
          <w:tcPr>
            <w:tcW w:type="dxa" w:w="140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2,545.0</w:t>
            </w:r>
          </w:p>
        </w:tc>
      </w:tr>
      <w:tr>
        <w:trPr>
          <w:tblHeader w:val="false"/>
        </w:trPr>
        <w:tc>
          <w:tcPr>
            <w:tcW w:type="dxa" w:w="9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58</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54.2%</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58.0%</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60.6%</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6,023.7</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69.6%</w:t>
            </w:r>
          </w:p>
        </w:tc>
        <w:tc>
          <w:tcPr>
            <w:tcW w:type="dxa" w:w="140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2,629.2</w:t>
            </w:r>
          </w:p>
        </w:tc>
      </w:tr>
      <w:tr>
        <w:trPr>
          <w:tblHeader w:val="false"/>
        </w:trPr>
        <w:tc>
          <w:tcPr>
            <w:tcW w:type="dxa" w:w="9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60</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54.5%</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58.3%</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60.6%</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6,093.5</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69.4%</w:t>
            </w:r>
          </w:p>
        </w:tc>
        <w:tc>
          <w:tcPr>
            <w:tcW w:type="dxa" w:w="140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2,684.7</w:t>
            </w:r>
          </w:p>
        </w:tc>
      </w:tr>
      <w:tr>
        <w:trPr>
          <w:tblHeader w:val="false"/>
        </w:trPr>
        <w:tc>
          <w:tcPr>
            <w:tcW w:type="dxa" w:w="9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65</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55.1%</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59.0%</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60.6%</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6,268.9</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69%</w:t>
            </w:r>
          </w:p>
        </w:tc>
        <w:tc>
          <w:tcPr>
            <w:tcW w:type="dxa" w:w="140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2,821.3</w:t>
            </w:r>
          </w:p>
        </w:tc>
      </w:tr>
      <w:tr>
        <w:trPr>
          <w:tblHeader w:val="false"/>
        </w:trPr>
        <w:tc>
          <w:tcPr>
            <w:tcW w:type="dxa" w:w="9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70</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55.7%</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59.7%</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60.6%</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6,445.9</w:t>
            </w:r>
          </w:p>
        </w:tc>
        <w:tc>
          <w:tcPr>
            <w:tcW w:type="dxa" w:w="140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68.6%</w:t>
            </w:r>
          </w:p>
        </w:tc>
        <w:tc>
          <w:tcPr>
            <w:tcW w:type="dxa" w:w="140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2,954.8</w:t>
            </w:r>
          </w:p>
        </w:tc>
      </w:tr>
      <w:tr>
        <w:trPr>
          <w:tblHeader w:val="false"/>
        </w:trPr>
        <w:tc>
          <w:tcPr>
            <w:tcW w:type="dxa" w:w="9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72</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56.0%</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60.0%</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60.6%</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6,517.0</w:t>
            </w:r>
          </w:p>
        </w:tc>
        <w:tc>
          <w:tcPr>
            <w:tcW w:type="dxa" w:w="140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68.4%</w:t>
            </w:r>
          </w:p>
        </w:tc>
        <w:tc>
          <w:tcPr>
            <w:tcW w:type="dxa" w:w="140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3,007.5</w:t>
            </w:r>
          </w:p>
        </w:tc>
      </w:tr>
    </w:tbl>
    <w:p>
      <w:pPr>
        <w:spacing w:after="160"/>
      </w:pPr>
      <w:r>
        <w:rPr>
          <w:rFonts w:ascii="Georgia" w:cs="Georgia" w:eastAsia="SimSun" w:hAnsi="Georgia"/>
          <w:color w:val="6B7F94"/>
          <w:sz w:val="18"/>
          <w:szCs w:val="18"/>
        </w:rPr>
        <w:t xml:space="preserve">Import leakage: the acquisition dollars that leave Canada, concentrated in M88-2 engines, AESA and ESM apertures, weapons, RTOS licences and precision timing. Every import line carries a named mitigation in the packages: the pooled engine inventory, dual-source avionics, Ottawa ruggedisation and government-to-government weapons channels.</w:t>
      </w:r>
    </w:p>
    <w:p>
      <w:pPr>
        <w:pStyle w:val="Heading2"/>
        <w:spacing w:after="140" w:before="280"/>
      </w:pPr>
      <w:r>
        <w:rPr>
          <w:rFonts w:ascii="Georgia" w:cs="Georgia" w:eastAsia="SimSun" w:hAnsi="Georgia"/>
          <w:b/>
          <w:bCs/>
          <w:color w:val="1F3A5F"/>
          <w:sz w:val="26"/>
          <w:szCs w:val="26"/>
        </w:rPr>
        <w:t xml:space="preserve">10.2 Why the Capture Share Declines as the Fleet Grows</w:t>
      </w:r>
    </w:p>
    <w:p>
      <w:pPr>
        <w:spacing w:after="140" w:line="300"/>
        <w:ind w:firstLine="431"/>
      </w:pPr>
      <w:r>
        <w:rPr>
          <w:rFonts w:ascii="Georgia" w:cs="Georgia" w:eastAsia="SimSun" w:hAnsi="Georgia"/>
          <w:sz w:val="22"/>
          <w:szCs w:val="22"/>
        </w:rPr>
        <w:t xml:space="preserve">The capture share falls from 79.7 percent at fleet size 10 to 68.4 percent at 72, and the decline is a feature of honest arithmetic, not a defect. Small fleets consist mostly of engineering, and Canada performs the engineering. Large fleets add recurring production, and recurring production carries the imported hardware: engines, apertures, weapons. The absolute Canadian capture still rises with every step, from C$4.36B to C$6.52B, so growth in the import content accompanies growth in domestic capture rather than replacing it. ITB negotiations on the allied-sourced lines raise every figure in the capture column further; the table presents the floor.</w:t>
      </w:r>
    </w:p>
    <w:p>
      <w:pPr>
        <w:pStyle w:val="Heading2"/>
        <w:spacing w:after="140" w:before="280"/>
      </w:pPr>
      <w:r>
        <w:rPr>
          <w:rFonts w:ascii="Georgia" w:cs="Georgia" w:eastAsia="SimSun" w:hAnsi="Georgia"/>
          <w:b/>
          <w:bCs/>
          <w:color w:val="1F3A5F"/>
          <w:sz w:val="26"/>
          <w:szCs w:val="26"/>
        </w:rPr>
        <w:t xml:space="preserve">10.3 Supply Chain and SME Participation</w:t>
      </w:r>
    </w:p>
    <w:p>
      <w:pPr>
        <w:spacing w:after="140" w:line="300"/>
        <w:ind w:firstLine="431"/>
      </w:pPr>
      <w:r>
        <w:rPr>
          <w:rFonts w:ascii="Georgia" w:cs="Georgia" w:eastAsia="SimSun" w:hAnsi="Georgia"/>
          <w:sz w:val="22"/>
          <w:szCs w:val="22"/>
        </w:rPr>
        <w:t xml:space="preserve">The packages name Canadian suppliers first on every line where a qualified domestic source exists, and the economic effect compounds with fleet size because supplier qualification costs amortize exactly like NRE. At fleet size 10, an SME qualifies a part for a ten-unit run; at 72, the same qualification feeds a production line with attrition regeneration behind it. The packages' recycled-material chain illustrates the mechanism: EcoTitanium closed-loop titanium, the Kingston recycled-aluminium stream and recycled carbon fibre for non-primary parts reach 15.9 to 16.1 percent of empty weight at first article and target 20 percent at rate, a target that only fleets above 40 reach.</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XI. GDP Contribution and Economic Growth</w:t>
      </w:r>
    </w:p>
    <w:p>
      <w:pPr>
        <w:pStyle w:val="Heading2"/>
        <w:spacing w:after="140" w:before="280"/>
      </w:pPr>
      <w:r>
        <w:rPr>
          <w:rFonts w:ascii="Georgia" w:cs="Georgia" w:eastAsia="SimSun" w:hAnsi="Georgia"/>
          <w:b/>
          <w:bCs/>
          <w:color w:val="1F3A5F"/>
          <w:sz w:val="26"/>
          <w:szCs w:val="26"/>
        </w:rPr>
        <w:t xml:space="preserve">11.1 Method</w:t>
      </w:r>
    </w:p>
    <w:p>
      <w:pPr>
        <w:spacing w:after="140" w:line="300"/>
        <w:ind w:firstLine="431"/>
      </w:pPr>
      <w:r>
        <w:rPr>
          <w:rFonts w:ascii="Georgia" w:cs="Georgia" w:eastAsia="SimSun" w:hAnsi="Georgia"/>
          <w:sz w:val="22"/>
          <w:szCs w:val="22"/>
        </w:rPr>
        <w:t xml:space="preserve">GDP impact applies the ISED 2024 aerospace multiplier set to Canadian-content expenditure only: 1.00x direct, 0.72x indirect through the supply chain, 0.47x induced through household spending, 2.19x combined. The ten-year window counts acquisition content once and sustainment content ten times. Imported expenditure earns no multiplier anywhere in this Outlook.</w:t>
      </w:r>
    </w:p>
    <w:p>
      <w:pPr>
        <w:spacing w:after="100" w:before="120"/>
        <w:jc w:val="center"/>
      </w:pPr>
      <w:r>
        <w:rPr>
          <w:rFonts w:ascii="Georgia" w:cs="Georgia" w:eastAsia="SimSun" w:hAnsi="Georgia"/>
          <w:i/>
          <w:iCs/>
          <w:color w:val="6B7F94"/>
          <w:sz w:val="18"/>
          <w:szCs w:val="18"/>
        </w:rPr>
        <w:t xml:space="preserve">Table XI-1. Ten-year GDP contribution by fleet size (2026 C$M; CALCULATED on ISED 2024 multipliers, CARRIED)</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000"/>
        <w:gridCol w:w="1393"/>
        <w:gridCol w:w="1393"/>
        <w:gridCol w:w="1393"/>
        <w:gridCol w:w="1393"/>
        <w:gridCol w:w="1393"/>
        <w:gridCol w:w="1395"/>
      </w:tblGrid>
      <w:tr>
        <w:trPr>
          <w:tblHeader/>
        </w:trPr>
        <w:tc>
          <w:tcPr>
            <w:tcW w:type="dxa" w:w="10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N</w:t>
            </w:r>
          </w:p>
        </w:tc>
        <w:tc>
          <w:tcPr>
            <w:tcW w:type="dxa" w:w="1393"/>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Canadian injection (10-yr)</w:t>
            </w:r>
          </w:p>
        </w:tc>
        <w:tc>
          <w:tcPr>
            <w:tcW w:type="dxa" w:w="1393"/>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Direct GDP</w:t>
            </w:r>
          </w:p>
        </w:tc>
        <w:tc>
          <w:tcPr>
            <w:tcW w:type="dxa" w:w="1393"/>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Indirect GDP</w:t>
            </w:r>
          </w:p>
        </w:tc>
        <w:tc>
          <w:tcPr>
            <w:tcW w:type="dxa" w:w="1393"/>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Induced GDP</w:t>
            </w:r>
          </w:p>
        </w:tc>
        <w:tc>
          <w:tcPr>
            <w:tcW w:type="dxa" w:w="1393"/>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Total GDP</w:t>
            </w:r>
          </w:p>
        </w:tc>
        <w:tc>
          <w:tcPr>
            <w:tcW w:type="dxa" w:w="1395"/>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Annual average</w:t>
            </w:r>
          </w:p>
        </w:tc>
      </w:tr>
      <w:tr>
        <w:trPr>
          <w:tblHeader w:val="false"/>
        </w:trPr>
        <w:tc>
          <w:tcPr>
            <w:tcW w:type="dxa" w:w="1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5,722.7</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5,723.0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4,120.0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2,690.0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12,533.0</w:t>
            </w:r>
          </w:p>
        </w:tc>
        <w:tc>
          <w:tcPr>
            <w:tcW w:type="dxa" w:w="139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1,253.3</w:t>
            </w:r>
          </w:p>
        </w:tc>
      </w:tr>
      <w:tr>
        <w:trPr>
          <w:tblHeader w:val="false"/>
        </w:trPr>
        <w:tc>
          <w:tcPr>
            <w:tcW w:type="dxa" w:w="1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15</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6,054.5</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6,054.0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4,359.0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2,846.0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13,259.0</w:t>
            </w:r>
          </w:p>
        </w:tc>
        <w:tc>
          <w:tcPr>
            <w:tcW w:type="dxa" w:w="139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1,325.9</w:t>
            </w:r>
          </w:p>
        </w:tc>
      </w:tr>
      <w:tr>
        <w:trPr>
          <w:tblHeader w:val="false"/>
        </w:trPr>
        <w:tc>
          <w:tcPr>
            <w:tcW w:type="dxa" w:w="1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6,397.0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6,397.0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4,606.0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3,007.0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14,009.0</w:t>
            </w:r>
          </w:p>
        </w:tc>
        <w:tc>
          <w:tcPr>
            <w:tcW w:type="dxa" w:w="139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1,400.9</w:t>
            </w:r>
          </w:p>
        </w:tc>
      </w:tr>
      <w:tr>
        <w:trPr>
          <w:tblHeader w:val="false"/>
        </w:trPr>
        <w:tc>
          <w:tcPr>
            <w:tcW w:type="dxa" w:w="1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25</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6,727.0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6,727.0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4,843.0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3,162.0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14,732.0</w:t>
            </w:r>
          </w:p>
        </w:tc>
        <w:tc>
          <w:tcPr>
            <w:tcW w:type="dxa" w:w="139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1,473.2</w:t>
            </w:r>
          </w:p>
        </w:tc>
      </w:tr>
      <w:tr>
        <w:trPr>
          <w:tblHeader w:val="false"/>
        </w:trPr>
        <w:tc>
          <w:tcPr>
            <w:tcW w:type="dxa" w:w="1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28</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6,925.1</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6,925.0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4,986.0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3,255.0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15,166.0</w:t>
            </w:r>
          </w:p>
        </w:tc>
        <w:tc>
          <w:tcPr>
            <w:tcW w:type="dxa" w:w="139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1,516.6</w:t>
            </w:r>
          </w:p>
        </w:tc>
      </w:tr>
      <w:tr>
        <w:trPr>
          <w:tblHeader w:val="false"/>
        </w:trPr>
        <w:tc>
          <w:tcPr>
            <w:tcW w:type="dxa" w:w="1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7,057.3</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7,057.0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5,081.0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3,317.0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15,455.0</w:t>
            </w:r>
          </w:p>
        </w:tc>
        <w:tc>
          <w:tcPr>
            <w:tcW w:type="dxa" w:w="139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1,545.5</w:t>
            </w:r>
          </w:p>
        </w:tc>
      </w:tr>
      <w:tr>
        <w:trPr>
          <w:tblHeader w:val="false"/>
        </w:trPr>
        <w:tc>
          <w:tcPr>
            <w:tcW w:type="dxa" w:w="1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35</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7,388.2</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7,388.0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5,319.0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3,472.0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16,180.0</w:t>
            </w:r>
          </w:p>
        </w:tc>
        <w:tc>
          <w:tcPr>
            <w:tcW w:type="dxa" w:w="139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1,618.0</w:t>
            </w:r>
          </w:p>
        </w:tc>
      </w:tr>
      <w:tr>
        <w:trPr>
          <w:tblHeader w:val="false"/>
        </w:trPr>
        <w:tc>
          <w:tcPr>
            <w:tcW w:type="dxa" w:w="1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38</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7,599.4</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7,599.0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5,472.0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3,572.0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16,643.0</w:t>
            </w:r>
          </w:p>
        </w:tc>
        <w:tc>
          <w:tcPr>
            <w:tcW w:type="dxa" w:w="139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1,664.3</w:t>
            </w:r>
          </w:p>
        </w:tc>
      </w:tr>
      <w:tr>
        <w:trPr>
          <w:tblHeader w:val="false"/>
        </w:trPr>
        <w:tc>
          <w:tcPr>
            <w:tcW w:type="dxa" w:w="1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7,732.2</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7,732.0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5,567.0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3,634.0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16,933.0</w:t>
            </w:r>
          </w:p>
        </w:tc>
        <w:tc>
          <w:tcPr>
            <w:tcW w:type="dxa" w:w="139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1,693.3</w:t>
            </w:r>
          </w:p>
        </w:tc>
      </w:tr>
      <w:tr>
        <w:trPr>
          <w:tblHeader w:val="false"/>
        </w:trPr>
        <w:tc>
          <w:tcPr>
            <w:tcW w:type="dxa" w:w="1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45</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8,065.0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8,065.0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5,807.0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3,791.0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17,662.0</w:t>
            </w:r>
          </w:p>
        </w:tc>
        <w:tc>
          <w:tcPr>
            <w:tcW w:type="dxa" w:w="139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1,766.2</w:t>
            </w:r>
          </w:p>
        </w:tc>
      </w:tr>
      <w:tr>
        <w:trPr>
          <w:tblHeader w:val="false"/>
        </w:trPr>
        <w:tc>
          <w:tcPr>
            <w:tcW w:type="dxa" w:w="1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8,399.0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8,399.0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6,047.0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3,948.0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18,394.0</w:t>
            </w:r>
          </w:p>
        </w:tc>
        <w:tc>
          <w:tcPr>
            <w:tcW w:type="dxa" w:w="139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1,839.4</w:t>
            </w:r>
          </w:p>
        </w:tc>
      </w:tr>
      <w:tr>
        <w:trPr>
          <w:tblHeader w:val="false"/>
        </w:trPr>
        <w:tc>
          <w:tcPr>
            <w:tcW w:type="dxa" w:w="1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55</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8,746.5</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8,747.0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6,298.0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4,111.0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19,155.0</w:t>
            </w:r>
          </w:p>
        </w:tc>
        <w:tc>
          <w:tcPr>
            <w:tcW w:type="dxa" w:w="139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1,915.5</w:t>
            </w:r>
          </w:p>
        </w:tc>
      </w:tr>
      <w:tr>
        <w:trPr>
          <w:tblHeader w:val="false"/>
        </w:trPr>
        <w:tc>
          <w:tcPr>
            <w:tcW w:type="dxa" w:w="1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58</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8,948.4</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8,948.0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6,443.0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4,206.0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19,597.0</w:t>
            </w:r>
          </w:p>
        </w:tc>
        <w:tc>
          <w:tcPr>
            <w:tcW w:type="dxa" w:w="139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1,959.7</w:t>
            </w:r>
          </w:p>
        </w:tc>
      </w:tr>
      <w:tr>
        <w:trPr>
          <w:tblHeader w:val="false"/>
        </w:trPr>
        <w:tc>
          <w:tcPr>
            <w:tcW w:type="dxa" w:w="1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9,083.2</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9,083.0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6,540.0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4,269.0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19,892.0</w:t>
            </w:r>
          </w:p>
        </w:tc>
        <w:tc>
          <w:tcPr>
            <w:tcW w:type="dxa" w:w="139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1,989.2</w:t>
            </w:r>
          </w:p>
        </w:tc>
      </w:tr>
      <w:tr>
        <w:trPr>
          <w:tblHeader w:val="false"/>
        </w:trPr>
        <w:tc>
          <w:tcPr>
            <w:tcW w:type="dxa" w:w="1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65</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9,421.3</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9,421.0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6,783.0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4,428.0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20,633.0</w:t>
            </w:r>
          </w:p>
        </w:tc>
        <w:tc>
          <w:tcPr>
            <w:tcW w:type="dxa" w:w="139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2,063.3</w:t>
            </w:r>
          </w:p>
        </w:tc>
      </w:tr>
      <w:tr>
        <w:trPr>
          <w:tblHeader w:val="false"/>
        </w:trPr>
        <w:tc>
          <w:tcPr>
            <w:tcW w:type="dxa" w:w="1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9,760.9</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9,761.0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7,028.0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4,588.0</w:t>
            </w:r>
          </w:p>
        </w:tc>
        <w:tc>
          <w:tcPr>
            <w:tcW w:type="dxa" w:w="139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21,376.0</w:t>
            </w:r>
          </w:p>
        </w:tc>
        <w:tc>
          <w:tcPr>
            <w:tcW w:type="dxa" w:w="1395"/>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2,137.6</w:t>
            </w:r>
          </w:p>
        </w:tc>
      </w:tr>
      <w:tr>
        <w:trPr>
          <w:tblHeader w:val="false"/>
        </w:trPr>
        <w:tc>
          <w:tcPr>
            <w:tcW w:type="dxa" w:w="1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72</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9,897.1</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9,897.0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7,126.0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4,652.0</w:t>
            </w:r>
          </w:p>
        </w:tc>
        <w:tc>
          <w:tcPr>
            <w:tcW w:type="dxa" w:w="139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21,675.0</w:t>
            </w:r>
          </w:p>
        </w:tc>
        <w:tc>
          <w:tcPr>
            <w:tcW w:type="dxa" w:w="1395"/>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2,167.5</w:t>
            </w:r>
          </w:p>
        </w:tc>
      </w:tr>
    </w:tbl>
    <w:p>
      <w:pPr>
        <w:spacing w:after="160"/>
      </w:pPr>
      <w:r>
        <w:rPr>
          <w:rFonts w:ascii="Georgia" w:cs="Georgia" w:eastAsia="SimSun" w:hAnsi="Georgia"/>
          <w:color w:val="6B7F94"/>
          <w:sz w:val="18"/>
          <w:szCs w:val="18"/>
        </w:rPr>
        <w:t xml:space="preserve">Canadian injection: Canadian-content acquisition plus ten years of Canadian sustainment at 85 percent content. The direct GDP column equals the injection by construction; the multiplier layers add the supply-chain and household-spending rounds.</w:t>
      </w:r>
    </w:p>
    <w:p>
      <w:pPr>
        <w:spacing w:after="60" w:before="1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67000"/>
                    </a:xfrm>
                    <a:prstGeom prst="rect">
                      <a:avLst/>
                    </a:prstGeom>
                  </pic:spPr>
                </pic:pic>
              </a:graphicData>
            </a:graphic>
          </wp:inline>
        </w:drawing>
      </w:r>
    </w:p>
    <w:p>
      <w:pPr>
        <w:spacing w:after="100" w:before="120"/>
        <w:jc w:val="center"/>
      </w:pPr>
      <w:r>
        <w:rPr>
          <w:rFonts w:ascii="Georgia" w:cs="Georgia" w:eastAsia="SimSun" w:hAnsi="Georgia"/>
          <w:i/>
          <w:iCs/>
          <w:color w:val="6B7F94"/>
          <w:sz w:val="18"/>
          <w:szCs w:val="18"/>
        </w:rPr>
        <w:t xml:space="preserve">Figure 4. Ten-year GDP contribution and tax revenue across the seventeen fleet sizes. Source: Appendix A model.</w:t>
      </w:r>
    </w:p>
    <w:p>
      <w:pPr>
        <w:pStyle w:val="Heading2"/>
        <w:spacing w:after="140" w:before="280"/>
      </w:pPr>
      <w:r>
        <w:rPr>
          <w:rFonts w:ascii="Georgia" w:cs="Georgia" w:eastAsia="SimSun" w:hAnsi="Georgia"/>
          <w:b/>
          <w:bCs/>
          <w:color w:val="1F3A5F"/>
          <w:sz w:val="26"/>
          <w:szCs w:val="26"/>
        </w:rPr>
        <w:t xml:space="preserve">11.2 Reading the GDP Curve</w:t>
      </w:r>
    </w:p>
    <w:p>
      <w:pPr>
        <w:spacing w:after="140" w:line="300"/>
        <w:ind w:firstLine="431"/>
      </w:pPr>
      <w:r>
        <w:rPr>
          <w:rFonts w:ascii="Georgia" w:cs="Georgia" w:eastAsia="SimSun" w:hAnsi="Georgia"/>
          <w:sz w:val="22"/>
          <w:szCs w:val="22"/>
        </w:rPr>
        <w:t xml:space="preserve">Ten-year GDP runs from C$12.5B at fleet size 10 to C$21.7B at 72. Two ratios matter for decision-makers. GDP per acquisition dollar falls from 2.29x at fleet size 10 to 2.28x at 72, nearly flat, because the Canadian-content share declines as the multiplier-eligible production share rises: the two effects almost exactly offset. The marginal GDP per added trio runs near C$63M in acquisition for roughly C$130M in decade GDP, a better than two-to-one decade return on every growth step.</w:t>
      </w:r>
    </w:p>
    <w:p>
      <w:pPr>
        <w:spacing w:after="140" w:line="300"/>
        <w:ind w:firstLine="431"/>
      </w:pPr>
      <w:r>
        <w:rPr>
          <w:rFonts w:ascii="Georgia" w:cs="Georgia" w:eastAsia="SimSun" w:hAnsi="Georgia"/>
          <w:sz w:val="22"/>
          <w:szCs w:val="22"/>
        </w:rPr>
        <w:t xml:space="preserve">Benchmark: Bombardier alone contributed C$7.4B to Canadian GDP in 2024 per the PwC 2025 aerospace economic impact assessment. This programme at fleet size 72 adds a C$2.2B annual average, roughly 30 percent of a Bombardier, from a programme whose drone production Canada owns outright.</w:t>
      </w:r>
    </w:p>
    <w:p>
      <w:pPr>
        <w:pStyle w:val="Heading2"/>
        <w:spacing w:after="140" w:before="280"/>
      </w:pPr>
      <w:r>
        <w:rPr>
          <w:rFonts w:ascii="Georgia" w:cs="Georgia" w:eastAsia="SimSun" w:hAnsi="Georgia"/>
          <w:b/>
          <w:bCs/>
          <w:color w:val="1F3A5F"/>
          <w:sz w:val="26"/>
          <w:szCs w:val="26"/>
        </w:rPr>
        <w:t xml:space="preserve">11.3 Regional GDP Distribution</w:t>
      </w:r>
    </w:p>
    <w:p>
      <w:pPr>
        <w:spacing w:after="100" w:before="120"/>
        <w:jc w:val="center"/>
      </w:pPr>
      <w:r>
        <w:rPr>
          <w:rFonts w:ascii="Georgia" w:cs="Georgia" w:eastAsia="SimSun" w:hAnsi="Georgia"/>
          <w:i/>
          <w:iCs/>
          <w:color w:val="6B7F94"/>
          <w:sz w:val="18"/>
          <w:szCs w:val="18"/>
        </w:rPr>
        <w:t xml:space="preserve">Table XI-2. Ten-year GDP by region at three anchor fleet sizes (2026 C$M; employment-weighted, CALCULATED)</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200"/>
        <w:gridCol w:w="2386"/>
        <w:gridCol w:w="2386"/>
        <w:gridCol w:w="2388"/>
      </w:tblGrid>
      <w:tr>
        <w:trPr>
          <w:tblHeader/>
        </w:trPr>
        <w:tc>
          <w:tcPr>
            <w:tcW w:type="dxa" w:w="22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Region</w:t>
            </w:r>
          </w:p>
        </w:tc>
        <w:tc>
          <w:tcPr>
            <w:tcW w:type="dxa" w:w="2386"/>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6"/>
                <w:szCs w:val="16"/>
              </w:rPr>
              <w:t xml:space="preserve">N = 10</w:t>
            </w:r>
          </w:p>
        </w:tc>
        <w:tc>
          <w:tcPr>
            <w:tcW w:type="dxa" w:w="2386"/>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6"/>
                <w:szCs w:val="16"/>
              </w:rPr>
              <w:t xml:space="preserve">N = 40</w:t>
            </w:r>
          </w:p>
        </w:tc>
        <w:tc>
          <w:tcPr>
            <w:tcW w:type="dxa" w:w="2388"/>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6"/>
                <w:szCs w:val="16"/>
              </w:rPr>
              <w:t xml:space="preserve">N = 72</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Quebec</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6,646.0</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8,852.0</w:t>
            </w:r>
          </w:p>
        </w:tc>
        <w:tc>
          <w:tcPr>
            <w:tcW w:type="dxa" w:w="238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10,919.0</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Ontario</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2,613.0</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3,333.0</w:t>
            </w:r>
          </w:p>
        </w:tc>
        <w:tc>
          <w:tcPr>
            <w:tcW w:type="dxa" w:w="238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4,143.0</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Western Canada</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1,676.0</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2,430.0</w:t>
            </w:r>
          </w:p>
        </w:tc>
        <w:tc>
          <w:tcPr>
            <w:tcW w:type="dxa" w:w="238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3,361.0</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Atlantic &amp; Northern</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1,154.0</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1,706.0</w:t>
            </w:r>
          </w:p>
        </w:tc>
        <w:tc>
          <w:tcPr>
            <w:tcW w:type="dxa" w:w="238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2,439.0</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Pan-Canadian</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444.0</w:t>
            </w:r>
          </w:p>
        </w:tc>
        <w:tc>
          <w:tcPr>
            <w:tcW w:type="dxa" w:w="238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612.0</w:t>
            </w:r>
          </w:p>
        </w:tc>
        <w:tc>
          <w:tcPr>
            <w:tcW w:type="dxa" w:w="238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813.0</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CANADA TOTAL</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12,533.0</w:t>
            </w:r>
          </w:p>
        </w:tc>
        <w:tc>
          <w:tcPr>
            <w:tcW w:type="dxa" w:w="238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16,933.0</w:t>
            </w:r>
          </w:p>
        </w:tc>
        <w:tc>
          <w:tcPr>
            <w:tcW w:type="dxa" w:w="238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21,675.0</w:t>
            </w:r>
          </w:p>
        </w:tc>
      </w:tr>
    </w:tbl>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XII. Lifecycle Economics: Ten, Twenty and Thirty Years</w:t>
      </w:r>
    </w:p>
    <w:p>
      <w:pPr>
        <w:pStyle w:val="Heading2"/>
        <w:spacing w:after="140" w:before="280"/>
      </w:pPr>
      <w:r>
        <w:rPr>
          <w:rFonts w:ascii="Georgia" w:cs="Georgia" w:eastAsia="SimSun" w:hAnsi="Georgia"/>
          <w:b/>
          <w:bCs/>
          <w:color w:val="1F3A5F"/>
          <w:sz w:val="26"/>
          <w:szCs w:val="26"/>
        </w:rPr>
        <w:t xml:space="preserve">12.1 The Sustainment Engine</w:t>
      </w:r>
    </w:p>
    <w:p>
      <w:pPr>
        <w:spacing w:after="140" w:line="300"/>
        <w:ind w:firstLine="431"/>
      </w:pPr>
      <w:r>
        <w:rPr>
          <w:rFonts w:ascii="Georgia" w:cs="Georgia" w:eastAsia="SimSun" w:hAnsi="Georgia"/>
          <w:sz w:val="22"/>
          <w:szCs w:val="22"/>
        </w:rPr>
        <w:t xml:space="preserve">Acquisition buys the fleet; sustainment employs the country. The packages price annual sustainment directly: the Sprinter at C$1.35M per aircraft per year plus C$22.0M fixed programme support, the Striker at a 15-year support estimate of C$1,400M plus C$31M per aircraft, and the Gripen augmentation at C$0.410M per aircraft-year plus C$6.8M fixed. Combined annual sustainment runs from C$160M at fleet size 10 to C$398M at 72. At 85 percent Canadian content, that spend anchors the enduring employment of Part VIII and keeps the depot, the MOBs, the training system and the composite attrition lines working for decades after the delivery wave ends.</w:t>
      </w:r>
    </w:p>
    <w:p>
      <w:pPr>
        <w:spacing w:after="100" w:before="120"/>
        <w:jc w:val="center"/>
      </w:pPr>
      <w:r>
        <w:rPr>
          <w:rFonts w:ascii="Georgia" w:cs="Georgia" w:eastAsia="SimSun" w:hAnsi="Georgia"/>
          <w:i/>
          <w:iCs/>
          <w:color w:val="6B7F94"/>
          <w:sz w:val="18"/>
          <w:szCs w:val="18"/>
        </w:rPr>
        <w:t xml:space="preserve">Table XII-1. Lifecycle cost by fleet size (2026 C$M; acquisition PACKAGE; horizons CALCULATED)</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900"/>
        <w:gridCol w:w="1410"/>
        <w:gridCol w:w="1410"/>
        <w:gridCol w:w="1410"/>
        <w:gridCol w:w="1410"/>
        <w:gridCol w:w="1410"/>
        <w:gridCol w:w="1410"/>
      </w:tblGrid>
      <w:tr>
        <w:trPr>
          <w:tblHeader/>
        </w:trPr>
        <w:tc>
          <w:tcPr>
            <w:tcW w:type="dxa" w:w="9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N</w:t>
            </w:r>
          </w:p>
        </w:tc>
        <w:tc>
          <w:tcPr>
            <w:tcW w:type="dxa" w:w="141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Acquisition</w:t>
            </w:r>
          </w:p>
        </w:tc>
        <w:tc>
          <w:tcPr>
            <w:tcW w:type="dxa" w:w="141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Annual sustainment</w:t>
            </w:r>
          </w:p>
        </w:tc>
        <w:tc>
          <w:tcPr>
            <w:tcW w:type="dxa" w:w="141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10-year lifecycle</w:t>
            </w:r>
          </w:p>
        </w:tc>
        <w:tc>
          <w:tcPr>
            <w:tcW w:type="dxa" w:w="141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20-year lifecycle</w:t>
            </w:r>
          </w:p>
        </w:tc>
        <w:tc>
          <w:tcPr>
            <w:tcW w:type="dxa" w:w="141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30-year lifecycle</w:t>
            </w:r>
          </w:p>
        </w:tc>
        <w:tc>
          <w:tcPr>
            <w:tcW w:type="dxa" w:w="141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Acquisition share of 30-yr</w:t>
            </w:r>
          </w:p>
        </w:tc>
      </w:tr>
      <w:tr>
        <w:trPr>
          <w:tblHeader w:val="false"/>
        </w:trPr>
        <w:tc>
          <w:tcPr>
            <w:tcW w:type="dxa" w:w="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5,466.9</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160.4</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7,071.0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8,675.0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10,279.0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w:t>
            </w:r>
          </w:p>
        </w:tc>
      </w:tr>
      <w:tr>
        <w:trPr>
          <w:tblHeader w:val="false"/>
        </w:trPr>
        <w:tc>
          <w:tcPr>
            <w:tcW w:type="dxa" w:w="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15</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5,815.9</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179.5</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7,611.0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9,407.0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11,202.0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52%</w:t>
            </w:r>
          </w:p>
        </w:tc>
      </w:tr>
      <w:tr>
        <w:trPr>
          <w:tblHeader w:val="false"/>
        </w:trPr>
        <w:tc>
          <w:tcPr>
            <w:tcW w:type="dxa" w:w="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6,170.0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198.7</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8,157.0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10,143.0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12,130.0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51%</w:t>
            </w:r>
          </w:p>
        </w:tc>
      </w:tr>
      <w:tr>
        <w:trPr>
          <w:tblHeader w:val="false"/>
        </w:trPr>
        <w:tc>
          <w:tcPr>
            <w:tcW w:type="dxa" w:w="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25</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6,504.6</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217.8</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8,683.0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10,861.0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13,039.0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50%</w:t>
            </w:r>
          </w:p>
        </w:tc>
      </w:tr>
      <w:tr>
        <w:trPr>
          <w:tblHeader w:val="false"/>
        </w:trPr>
        <w:tc>
          <w:tcPr>
            <w:tcW w:type="dxa" w:w="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28</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6,703.1</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229.3</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8,996.0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11,289.0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13,581.0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49%</w:t>
            </w:r>
          </w:p>
        </w:tc>
      </w:tr>
      <w:tr>
        <w:trPr>
          <w:tblHeader w:val="false"/>
        </w:trPr>
        <w:tc>
          <w:tcPr>
            <w:tcW w:type="dxa" w:w="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6,834.6</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236.9</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9,204.0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11,573.0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13,943.0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49%</w:t>
            </w:r>
          </w:p>
        </w:tc>
      </w:tr>
      <w:tr>
        <w:trPr>
          <w:tblHeader w:val="false"/>
        </w:trPr>
        <w:tc>
          <w:tcPr>
            <w:tcW w:type="dxa" w:w="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35</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7,160.7</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256.1</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9,721.0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12,282.0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14,843.0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w:t>
            </w:r>
          </w:p>
        </w:tc>
      </w:tr>
      <w:tr>
        <w:trPr>
          <w:tblHeader w:val="false"/>
        </w:trPr>
        <w:tc>
          <w:tcPr>
            <w:tcW w:type="dxa" w:w="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38</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7,368.3</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267.5</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10,044.0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12,719.0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15,395.0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w:t>
            </w:r>
          </w:p>
        </w:tc>
      </w:tr>
      <w:tr>
        <w:trPr>
          <w:tblHeader w:val="false"/>
        </w:trPr>
        <w:tc>
          <w:tcPr>
            <w:tcW w:type="dxa" w:w="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7,497.2</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275.2</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10,249.0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13,001.0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15,753.0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w:t>
            </w:r>
          </w:p>
        </w:tc>
      </w:tr>
      <w:tr>
        <w:trPr>
          <w:tblHeader w:val="false"/>
        </w:trPr>
        <w:tc>
          <w:tcPr>
            <w:tcW w:type="dxa" w:w="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45</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7,817.4</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294.3</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10,761.0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13,704.0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16,647.0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47%</w:t>
            </w:r>
          </w:p>
        </w:tc>
      </w:tr>
      <w:tr>
        <w:trPr>
          <w:tblHeader w:val="false"/>
        </w:trPr>
        <w:tc>
          <w:tcPr>
            <w:tcW w:type="dxa" w:w="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8,135.2</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313.5</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11,270.0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14,405.0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17,539.0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46%</w:t>
            </w:r>
          </w:p>
        </w:tc>
      </w:tr>
      <w:tr>
        <w:trPr>
          <w:tblHeader w:val="false"/>
        </w:trPr>
        <w:tc>
          <w:tcPr>
            <w:tcW w:type="dxa" w:w="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55</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8,464.4</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332.6</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11,790.0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15,116.0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18,442.0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46%</w:t>
            </w:r>
          </w:p>
        </w:tc>
      </w:tr>
      <w:tr>
        <w:trPr>
          <w:tblHeader w:val="false"/>
        </w:trPr>
        <w:tc>
          <w:tcPr>
            <w:tcW w:type="dxa" w:w="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58</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8,652.9</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344.1</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12,094.0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15,534.0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18,975.0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46%</w:t>
            </w:r>
          </w:p>
        </w:tc>
      </w:tr>
      <w:tr>
        <w:trPr>
          <w:tblHeader w:val="false"/>
        </w:trPr>
        <w:tc>
          <w:tcPr>
            <w:tcW w:type="dxa" w:w="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8,778.2</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351.7</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12,296.0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15,813.0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19,330.0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w:t>
            </w:r>
          </w:p>
        </w:tc>
      </w:tr>
      <w:tr>
        <w:trPr>
          <w:tblHeader w:val="false"/>
        </w:trPr>
        <w:tc>
          <w:tcPr>
            <w:tcW w:type="dxa" w:w="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65</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9,090.2</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370.9</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12,799.0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16,508.0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20,216.0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w:t>
            </w:r>
          </w:p>
        </w:tc>
      </w:tr>
      <w:tr>
        <w:trPr>
          <w:tblHeader w:val="false"/>
        </w:trPr>
        <w:tc>
          <w:tcPr>
            <w:tcW w:type="dxa" w:w="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9,400.7</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390.0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13,301.0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17,201.0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21,101.0</w:t>
            </w:r>
          </w:p>
        </w:tc>
        <w:tc>
          <w:tcPr>
            <w:tcW w:type="dxa" w:w="14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w:t>
            </w:r>
          </w:p>
        </w:tc>
      </w:tr>
      <w:tr>
        <w:trPr>
          <w:tblHeader w:val="false"/>
        </w:trPr>
        <w:tc>
          <w:tcPr>
            <w:tcW w:type="dxa" w:w="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72</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9,524.5</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397.7</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13,501.0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17,478.0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21,454.0</w:t>
            </w:r>
          </w:p>
        </w:tc>
        <w:tc>
          <w:tcPr>
            <w:tcW w:type="dxa" w:w="14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44%</w:t>
            </w:r>
          </w:p>
        </w:tc>
      </w:tr>
    </w:tbl>
    <w:p>
      <w:pPr>
        <w:spacing w:after="160"/>
      </w:pPr>
      <w:r>
        <w:rPr>
          <w:rFonts w:ascii="Georgia" w:cs="Georgia" w:eastAsia="SimSun" w:hAnsi="Georgia"/>
          <w:color w:val="6B7F94"/>
          <w:sz w:val="18"/>
          <w:szCs w:val="18"/>
        </w:rPr>
        <w:t xml:space="preserve">Horizons add straight-line sustainment to acquisition. Two regeneration events sit outside the straight line as memo items: the Sprinter airframe reaches its 1,000-hour life around year 15 at planned utilization, and the Striker reaches its 1,200-hour life around year 18, so 20- and 30-year operation adds attrition and regeneration production at the learning-curve unit prices of Parts IV and V. The packages' engine pooling keeps those events affordable: the M88-2 outlives the airframe it powers. Gripen E aircraft sustainment prices through the fleet acquisition RFP and sits outside this table.</w:t>
      </w:r>
    </w:p>
    <w:p>
      <w:pPr>
        <w:pStyle w:val="Heading2"/>
        <w:spacing w:after="140" w:before="280"/>
      </w:pPr>
      <w:r>
        <w:rPr>
          <w:rFonts w:ascii="Georgia" w:cs="Georgia" w:eastAsia="SimSun" w:hAnsi="Georgia"/>
          <w:b/>
          <w:bCs/>
          <w:color w:val="1F3A5F"/>
          <w:sz w:val="26"/>
          <w:szCs w:val="26"/>
        </w:rPr>
        <w:t xml:space="preserve">12.2 The Lifecycle Ratio as a Decision Variable</w:t>
      </w:r>
    </w:p>
    <w:p>
      <w:pPr>
        <w:spacing w:after="140" w:line="300"/>
        <w:ind w:firstLine="431"/>
      </w:pPr>
      <w:r>
        <w:rPr>
          <w:rFonts w:ascii="Georgia" w:cs="Georgia" w:eastAsia="SimSun" w:hAnsi="Georgia"/>
          <w:sz w:val="22"/>
          <w:szCs w:val="22"/>
        </w:rPr>
        <w:t xml:space="preserve">The acquisition share of the 30-year lifecycle falls from 53 percent at fleet size 10 to 44 percent at 72: the larger the fleet, the more the programme becomes a sustainment enterprise and the more of every lifecycle dollar pays Canadian maintainers rather than foreign factories. Sustainment is the most Canadian activity in the programme at 85 percent content, so the lifecycle view strengthens the case for larger fleets on pure industrial-policy grounds, independent of the unit-cost argument.</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XIII. Export and Industrial Spillover Scenarios</w:t>
      </w:r>
    </w:p>
    <w:p>
      <w:pPr>
        <w:pStyle w:val="Heading2"/>
        <w:spacing w:after="140" w:before="280"/>
      </w:pPr>
      <w:r>
        <w:rPr>
          <w:rFonts w:ascii="Georgia" w:cs="Georgia" w:eastAsia="SimSun" w:hAnsi="Georgia"/>
          <w:b/>
          <w:bCs/>
          <w:color w:val="1F3A5F"/>
          <w:sz w:val="26"/>
          <w:szCs w:val="26"/>
        </w:rPr>
        <w:t xml:space="preserve">13.1 Scenario Architecture</w:t>
      </w:r>
    </w:p>
    <w:p>
      <w:pPr>
        <w:spacing w:after="140" w:line="300"/>
        <w:ind w:firstLine="431"/>
      </w:pPr>
      <w:r>
        <w:rPr>
          <w:rFonts w:ascii="Georgia" w:cs="Georgia" w:eastAsia="SimSun" w:hAnsi="Georgia"/>
          <w:sz w:val="22"/>
          <w:szCs w:val="22"/>
        </w:rPr>
        <w:t xml:space="preserve">Exports remain upside, never foundation: the domestic economic case of Parts VII through XII stands without a single export sale. Three scenarios bound the opportunity through 2040, measured as cumulative export revenue to Canadian industry. The conservative scenario, C$1.2B, prices Gripen augmentation kit exports alone to existing Gripen operators in cold climates, with no uncrewed exports at all. The moderate scenario, C$2.6B, adds Sprinter attrition-line exports to two allied operators and augmentation kits across the full Gripen C/D and E operator base. The high scenario, C$4.8B, adds Striker-class exports to one GCAP-adjacent partner and rate production for three Sprinter export customers.</w:t>
      </w:r>
    </w:p>
    <w:p>
      <w:pPr>
        <w:spacing w:after="100" w:before="120"/>
        <w:jc w:val="center"/>
      </w:pPr>
      <w:r>
        <w:rPr>
          <w:rFonts w:ascii="Georgia" w:cs="Georgia" w:eastAsia="SimSun" w:hAnsi="Georgia"/>
          <w:i/>
          <w:iCs/>
          <w:color w:val="6B7F94"/>
          <w:sz w:val="18"/>
          <w:szCs w:val="18"/>
        </w:rPr>
        <w:t xml:space="preserve">Table XIII-1. Export scenarios through 2040 (ESTIMATE; scenario architecture CARRIED from the reference document)</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500"/>
        <w:gridCol w:w="1965"/>
        <w:gridCol w:w="1965"/>
        <w:gridCol w:w="1965"/>
        <w:gridCol w:w="1965"/>
      </w:tblGrid>
      <w:tr>
        <w:trPr>
          <w:tblHeader/>
        </w:trPr>
        <w:tc>
          <w:tcPr>
            <w:tcW w:type="dxa" w:w="15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Scenario</w:t>
            </w:r>
          </w:p>
        </w:tc>
        <w:tc>
          <w:tcPr>
            <w:tcW w:type="dxa" w:w="1965"/>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Cumulative revenue</w:t>
            </w:r>
          </w:p>
        </w:tc>
        <w:tc>
          <w:tcPr>
            <w:tcW w:type="dxa" w:w="1965"/>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Sustained jobs</w:t>
            </w:r>
          </w:p>
        </w:tc>
        <w:tc>
          <w:tcPr>
            <w:tcW w:type="dxa" w:w="1965"/>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Assumption set</w:t>
            </w:r>
          </w:p>
        </w:tc>
        <w:tc>
          <w:tcPr>
            <w:tcW w:type="dxa" w:w="1965"/>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Fleet-size dependence</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Conservative</w:t>
            </w:r>
          </w:p>
        </w:tc>
        <w:tc>
          <w:tcPr>
            <w:tcW w:type="dxa" w:w="196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C$1.2B</w:t>
            </w:r>
          </w:p>
        </w:tc>
        <w:tc>
          <w:tcPr>
            <w:tcW w:type="dxa" w:w="196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960</w:t>
            </w:r>
          </w:p>
        </w:tc>
        <w:tc>
          <w:tcPr>
            <w:tcW w:type="dxa" w:w="196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Augmentation kits only; no uncrewed exports; no ITAR friction because no US content</w:t>
            </w:r>
          </w:p>
        </w:tc>
        <w:tc>
          <w:tcPr>
            <w:tcW w:type="dxa" w:w="196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None: viable at any fleet size</w:t>
            </w:r>
          </w:p>
        </w:tc>
      </w:tr>
      <w:tr>
        <w:trPr>
          <w:tblHeader w:val="false"/>
        </w:trPr>
        <w:tc>
          <w:tcPr>
            <w:tcW w:type="dxa" w:w="1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Moderate</w:t>
            </w:r>
          </w:p>
        </w:tc>
        <w:tc>
          <w:tcPr>
            <w:tcW w:type="dxa" w:w="196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C$2.6B</w:t>
            </w:r>
          </w:p>
        </w:tc>
        <w:tc>
          <w:tcPr>
            <w:tcW w:type="dxa" w:w="196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2,090</w:t>
            </w:r>
          </w:p>
        </w:tc>
        <w:tc>
          <w:tcPr>
            <w:tcW w:type="dxa" w:w="196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Kits across the Gripen operator base plus two Sprinter export customers</w:t>
            </w:r>
          </w:p>
        </w:tc>
        <w:tc>
          <w:tcPr>
            <w:tcW w:type="dxa" w:w="196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Soft: easier above 40, where rate production exists</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High</w:t>
            </w:r>
          </w:p>
        </w:tc>
        <w:tc>
          <w:tcPr>
            <w:tcW w:type="dxa" w:w="196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C$4.8B</w:t>
            </w:r>
          </w:p>
        </w:tc>
        <w:tc>
          <w:tcPr>
            <w:tcW w:type="dxa" w:w="196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3,850</w:t>
            </w:r>
          </w:p>
        </w:tc>
        <w:tc>
          <w:tcPr>
            <w:tcW w:type="dxa" w:w="196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Adds one Striker-class export and three Sprinter customers at rate</w:t>
            </w:r>
          </w:p>
        </w:tc>
        <w:tc>
          <w:tcPr>
            <w:tcW w:type="dxa" w:w="196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Firm: credible only at 60-plus domestic aircraft</w:t>
            </w:r>
          </w:p>
        </w:tc>
      </w:tr>
    </w:tbl>
    <w:p>
      <w:pPr>
        <w:spacing w:after="140" w:line="300"/>
        <w:ind w:firstLine="431"/>
      </w:pPr>
      <w:r>
        <w:rPr>
          <w:rFonts w:ascii="Georgia" w:cs="Georgia" w:eastAsia="SimSun" w:hAnsi="Georgia"/>
          <w:sz w:val="22"/>
          <w:szCs w:val="22"/>
        </w:rPr>
        <w:t xml:space="preserve">The fleet-size dependence column matters for the decision matrix: a small domestic fleet closes the high export scenario because export customers buy into a going rate-production line, not a boutique run. Export revenue counts separately from every domestic figure in this Outlook, and no domestic conclusion changes if exports total zero.</w:t>
      </w:r>
    </w:p>
    <w:p>
      <w:pPr>
        <w:pStyle w:val="Heading2"/>
        <w:spacing w:after="140" w:before="280"/>
      </w:pPr>
      <w:r>
        <w:rPr>
          <w:rFonts w:ascii="Georgia" w:cs="Georgia" w:eastAsia="SimSun" w:hAnsi="Georgia"/>
          <w:b/>
          <w:bCs/>
          <w:color w:val="1F3A5F"/>
          <w:sz w:val="26"/>
          <w:szCs w:val="26"/>
        </w:rPr>
        <w:t xml:space="preserve">13.2 Technology Spillovers</w:t>
      </w:r>
    </w:p>
    <w:p>
      <w:pPr>
        <w:spacing w:after="140" w:line="300"/>
        <w:ind w:firstLine="431"/>
      </w:pPr>
      <w:r>
        <w:rPr>
          <w:rFonts w:ascii="Georgia" w:cs="Georgia" w:eastAsia="SimSun" w:hAnsi="Georgia"/>
          <w:sz w:val="22"/>
          <w:szCs w:val="22"/>
        </w:rPr>
        <w:t xml:space="preserve">Three spillover channels operate regardless of export outcomes. The recycled-material qualification chain positions EcoTitanium-route titanium and Kingston-route recycled aluminium for commercial aerospace programmes. The carbon-nanotube ice-protection work at Boisbriand transfers directly to commercial wing and rotor de-icing. The autonomy assurance stack, the 50,000-scenario verification campaign the Striker package prices, builds a Canadian certification capability that civil uncrewed aviation draws on. These channels resist precise valuation; this Outlook records them qualitatively rather than inflating the totals.</w:t>
      </w:r>
    </w:p>
    <w:p>
      <w:pPr>
        <w:pStyle w:val="Heading1"/>
        <w:pBdr>
          <w:bottom w:val="single" w:color="C9A227" w:sz="8" w:space="4"/>
        </w:pBdr>
        <w:spacing w:after="180" w:before="360"/>
      </w:pPr>
      <w:r>
        <w:rPr>
          <w:rFonts w:ascii="Georgia" w:cs="Georgia" w:eastAsia="SimSun" w:hAnsi="Georgia"/>
          <w:b/>
          <w:bCs/>
          <w:color w:val="1F3A5F"/>
          <w:sz w:val="32"/>
          <w:szCs w:val="32"/>
        </w:rPr>
        <w:t xml:space="preserve">Part XIV. Tax Revenue and Fiscal Impact</w:t>
      </w:r>
    </w:p>
    <w:p>
      <w:pPr>
        <w:pStyle w:val="Heading2"/>
        <w:spacing w:after="140" w:before="280"/>
      </w:pPr>
      <w:r>
        <w:rPr>
          <w:rFonts w:ascii="Georgia" w:cs="Georgia" w:eastAsia="SimSun" w:hAnsi="Georgia"/>
          <w:b/>
          <w:bCs/>
          <w:color w:val="1F3A5F"/>
          <w:sz w:val="26"/>
          <w:szCs w:val="26"/>
        </w:rPr>
        <w:t xml:space="preserve">14.1 Method</w:t>
      </w:r>
    </w:p>
    <w:p>
      <w:pPr>
        <w:spacing w:after="140" w:line="300"/>
        <w:ind w:firstLine="431"/>
      </w:pPr>
      <w:r>
        <w:rPr>
          <w:rFonts w:ascii="Georgia" w:cs="Georgia" w:eastAsia="SimSun" w:hAnsi="Georgia"/>
          <w:sz w:val="22"/>
          <w:szCs w:val="22"/>
        </w:rPr>
        <w:t xml:space="preserve">The fiscal model follows the reference document's discipline exactly. The ten-year wage base equals total peak employment ramped at 65 percent average utilization at C$85,000 average salary. Personal income tax applies at 20.5 percent federal and 11.5 percent provincial average effective rates, payroll taxes at 7.5 percent. Corporate tax applies a 9 percent profit margin to the Canadian injection at 7.5 percent federal and 18 percent blended provincial rates. GST/HST applies at a 13 percent blended rate to the Canadian-content portion of acquisition. Every rate carries a CARRIED tag from the reference document.</w:t>
      </w:r>
    </w:p>
    <w:p>
      <w:pPr>
        <w:spacing w:after="100" w:before="120"/>
        <w:jc w:val="center"/>
      </w:pPr>
      <w:r>
        <w:rPr>
          <w:rFonts w:ascii="Georgia" w:cs="Georgia" w:eastAsia="SimSun" w:hAnsi="Georgia"/>
          <w:i/>
          <w:iCs/>
          <w:color w:val="6B7F94"/>
          <w:sz w:val="18"/>
          <w:szCs w:val="18"/>
        </w:rPr>
        <w:t xml:space="preserve">Table XIV-1. Ten-year tax revenue by fleet size (2026 C$M; CALCULATED)</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950"/>
        <w:gridCol w:w="1051"/>
        <w:gridCol w:w="1051"/>
        <w:gridCol w:w="1051"/>
        <w:gridCol w:w="1051"/>
        <w:gridCol w:w="1051"/>
        <w:gridCol w:w="1051"/>
        <w:gridCol w:w="1051"/>
        <w:gridCol w:w="1053"/>
      </w:tblGrid>
      <w:tr>
        <w:trPr>
          <w:tblHeader/>
        </w:trPr>
        <w:tc>
          <w:tcPr>
            <w:tcW w:type="dxa" w:w="95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N</w:t>
            </w:r>
          </w:p>
        </w:tc>
        <w:tc>
          <w:tcPr>
            <w:tcW w:type="dxa" w:w="1051"/>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Wage base</w:t>
            </w:r>
          </w:p>
        </w:tc>
        <w:tc>
          <w:tcPr>
            <w:tcW w:type="dxa" w:w="1051"/>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Fed. income</w:t>
            </w:r>
          </w:p>
        </w:tc>
        <w:tc>
          <w:tcPr>
            <w:tcW w:type="dxa" w:w="1051"/>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Prov. income</w:t>
            </w:r>
          </w:p>
        </w:tc>
        <w:tc>
          <w:tcPr>
            <w:tcW w:type="dxa" w:w="1051"/>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Payroll (CPP/EI)</w:t>
            </w:r>
          </w:p>
        </w:tc>
        <w:tc>
          <w:tcPr>
            <w:tcW w:type="dxa" w:w="1051"/>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Corporate</w:t>
            </w:r>
          </w:p>
        </w:tc>
        <w:tc>
          <w:tcPr>
            <w:tcW w:type="dxa" w:w="1051"/>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GST/HST</w:t>
            </w:r>
          </w:p>
        </w:tc>
        <w:tc>
          <w:tcPr>
            <w:tcW w:type="dxa" w:w="1051"/>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Total tax</w:t>
            </w:r>
          </w:p>
        </w:tc>
        <w:tc>
          <w:tcPr>
            <w:tcW w:type="dxa" w:w="1053"/>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Recovery vs acq.</w:t>
            </w:r>
          </w:p>
        </w:tc>
      </w:tr>
      <w:tr>
        <w:trPr>
          <w:tblHeader w:val="false"/>
        </w:trPr>
        <w:tc>
          <w:tcPr>
            <w:tcW w:type="dxa" w:w="9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10</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3,562</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730</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410</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267</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131</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567</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2,105</w:t>
            </w:r>
          </w:p>
        </w:tc>
        <w:tc>
          <w:tcPr>
            <w:tcW w:type="dxa" w:w="105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38.5%</w:t>
            </w:r>
          </w:p>
        </w:tc>
      </w:tr>
      <w:tr>
        <w:trPr>
          <w:tblHeader w:val="false"/>
        </w:trPr>
        <w:tc>
          <w:tcPr>
            <w:tcW w:type="dxa" w:w="9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15</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3,917</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803</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450</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294</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139</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589</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2,275</w:t>
            </w:r>
          </w:p>
        </w:tc>
        <w:tc>
          <w:tcPr>
            <w:tcW w:type="dxa" w:w="105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39.1%</w:t>
            </w:r>
          </w:p>
        </w:tc>
      </w:tr>
      <w:tr>
        <w:trPr>
          <w:tblHeader w:val="false"/>
        </w:trPr>
        <w:tc>
          <w:tcPr>
            <w:tcW w:type="dxa" w:w="9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20</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4,280</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877</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492</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321</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147</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612</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2,450</w:t>
            </w:r>
          </w:p>
        </w:tc>
        <w:tc>
          <w:tcPr>
            <w:tcW w:type="dxa" w:w="105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39.7%</w:t>
            </w:r>
          </w:p>
        </w:tc>
      </w:tr>
      <w:tr>
        <w:trPr>
          <w:tblHeader w:val="false"/>
        </w:trPr>
        <w:tc>
          <w:tcPr>
            <w:tcW w:type="dxa" w:w="9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25</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4,575</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938</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526</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343</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154</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634</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2,595</w:t>
            </w:r>
          </w:p>
        </w:tc>
        <w:tc>
          <w:tcPr>
            <w:tcW w:type="dxa" w:w="105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39.9%</w:t>
            </w:r>
          </w:p>
        </w:tc>
      </w:tr>
      <w:tr>
        <w:trPr>
          <w:tblHeader w:val="false"/>
        </w:trPr>
        <w:tc>
          <w:tcPr>
            <w:tcW w:type="dxa" w:w="9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28</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4,618</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947</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531</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346</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159</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647</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2,630</w:t>
            </w:r>
          </w:p>
        </w:tc>
        <w:tc>
          <w:tcPr>
            <w:tcW w:type="dxa" w:w="105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39.2%</w:t>
            </w:r>
          </w:p>
        </w:tc>
      </w:tr>
      <w:tr>
        <w:trPr>
          <w:tblHeader w:val="false"/>
        </w:trPr>
        <w:tc>
          <w:tcPr>
            <w:tcW w:type="dxa" w:w="9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30</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4,647</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953</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534</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349</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162</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656</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2,653</w:t>
            </w:r>
          </w:p>
        </w:tc>
        <w:tc>
          <w:tcPr>
            <w:tcW w:type="dxa" w:w="105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38.8%</w:t>
            </w:r>
          </w:p>
        </w:tc>
      </w:tr>
      <w:tr>
        <w:trPr>
          <w:tblHeader w:val="false"/>
        </w:trPr>
        <w:tc>
          <w:tcPr>
            <w:tcW w:type="dxa" w:w="9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35</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4,723</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968</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543</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354</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170</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678</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2,713</w:t>
            </w:r>
          </w:p>
        </w:tc>
        <w:tc>
          <w:tcPr>
            <w:tcW w:type="dxa" w:w="105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37.9%</w:t>
            </w:r>
          </w:p>
        </w:tc>
      </w:tr>
      <w:tr>
        <w:trPr>
          <w:tblHeader w:val="false"/>
        </w:trPr>
        <w:tc>
          <w:tcPr>
            <w:tcW w:type="dxa" w:w="9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38</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4,781</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980</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550</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359</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174</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692</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2,755</w:t>
            </w:r>
          </w:p>
        </w:tc>
        <w:tc>
          <w:tcPr>
            <w:tcW w:type="dxa" w:w="105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37.4%</w:t>
            </w:r>
          </w:p>
        </w:tc>
      </w:tr>
      <w:tr>
        <w:trPr>
          <w:tblHeader w:val="false"/>
        </w:trPr>
        <w:tc>
          <w:tcPr>
            <w:tcW w:type="dxa" w:w="9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40</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4,812</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986</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553</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361</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177</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701</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2,779</w:t>
            </w:r>
          </w:p>
        </w:tc>
        <w:tc>
          <w:tcPr>
            <w:tcW w:type="dxa" w:w="105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37.1%</w:t>
            </w:r>
          </w:p>
        </w:tc>
      </w:tr>
      <w:tr>
        <w:trPr>
          <w:tblHeader w:val="false"/>
        </w:trPr>
        <w:tc>
          <w:tcPr>
            <w:tcW w:type="dxa" w:w="9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45</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4,892</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1,003</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563</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367</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185</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723</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2,841</w:t>
            </w:r>
          </w:p>
        </w:tc>
        <w:tc>
          <w:tcPr>
            <w:tcW w:type="dxa" w:w="105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36.3%</w:t>
            </w:r>
          </w:p>
        </w:tc>
      </w:tr>
      <w:tr>
        <w:trPr>
          <w:tblHeader w:val="false"/>
        </w:trPr>
        <w:tc>
          <w:tcPr>
            <w:tcW w:type="dxa" w:w="9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50</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4,974</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1,020</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572</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373</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193</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745</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2,903</w:t>
            </w:r>
          </w:p>
        </w:tc>
        <w:tc>
          <w:tcPr>
            <w:tcW w:type="dxa" w:w="105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35.7%</w:t>
            </w:r>
          </w:p>
        </w:tc>
      </w:tr>
      <w:tr>
        <w:trPr>
          <w:tblHeader w:val="false"/>
        </w:trPr>
        <w:tc>
          <w:tcPr>
            <w:tcW w:type="dxa" w:w="9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55</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5,067</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1,039</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583</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380</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201</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770</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2,972</w:t>
            </w:r>
          </w:p>
        </w:tc>
        <w:tc>
          <w:tcPr>
            <w:tcW w:type="dxa" w:w="105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35.1%</w:t>
            </w:r>
          </w:p>
        </w:tc>
      </w:tr>
      <w:tr>
        <w:trPr>
          <w:tblHeader w:val="false"/>
        </w:trPr>
        <w:tc>
          <w:tcPr>
            <w:tcW w:type="dxa" w:w="9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58</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5,117</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1,049</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588</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384</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205</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783</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3,010</w:t>
            </w:r>
          </w:p>
        </w:tc>
        <w:tc>
          <w:tcPr>
            <w:tcW w:type="dxa" w:w="105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34.8%</w:t>
            </w:r>
          </w:p>
        </w:tc>
      </w:tr>
      <w:tr>
        <w:trPr>
          <w:tblHeader w:val="false"/>
        </w:trPr>
        <w:tc>
          <w:tcPr>
            <w:tcW w:type="dxa" w:w="9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60</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5,151</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1,056</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592</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386</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208</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792</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3,035</w:t>
            </w:r>
          </w:p>
        </w:tc>
        <w:tc>
          <w:tcPr>
            <w:tcW w:type="dxa" w:w="105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34.6%</w:t>
            </w:r>
          </w:p>
        </w:tc>
      </w:tr>
      <w:tr>
        <w:trPr>
          <w:tblHeader w:val="false"/>
        </w:trPr>
        <w:tc>
          <w:tcPr>
            <w:tcW w:type="dxa" w:w="9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65</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5,235</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1,073</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602</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393</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216</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815</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3,099</w:t>
            </w:r>
          </w:p>
        </w:tc>
        <w:tc>
          <w:tcPr>
            <w:tcW w:type="dxa" w:w="105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34.1%</w:t>
            </w:r>
          </w:p>
        </w:tc>
      </w:tr>
      <w:tr>
        <w:trPr>
          <w:tblHeader w:val="false"/>
        </w:trPr>
        <w:tc>
          <w:tcPr>
            <w:tcW w:type="dxa" w:w="9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70</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5,320</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1,091</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612</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399</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224</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838</w:t>
            </w:r>
          </w:p>
        </w:tc>
        <w:tc>
          <w:tcPr>
            <w:tcW w:type="dxa" w:w="1051"/>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3,163</w:t>
            </w:r>
          </w:p>
        </w:tc>
        <w:tc>
          <w:tcPr>
            <w:tcW w:type="dxa" w:w="1053"/>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33.7%</w:t>
            </w:r>
          </w:p>
        </w:tc>
      </w:tr>
      <w:tr>
        <w:trPr>
          <w:tblHeader w:val="false"/>
        </w:trPr>
        <w:tc>
          <w:tcPr>
            <w:tcW w:type="dxa" w:w="9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72</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5,354</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1,098</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616</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402</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227</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847</w:t>
            </w:r>
          </w:p>
        </w:tc>
        <w:tc>
          <w:tcPr>
            <w:tcW w:type="dxa" w:w="1051"/>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3,189</w:t>
            </w:r>
          </w:p>
        </w:tc>
        <w:tc>
          <w:tcPr>
            <w:tcW w:type="dxa" w:w="1053"/>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33.5%</w:t>
            </w:r>
          </w:p>
        </w:tc>
      </w:tr>
    </w:tbl>
    <w:p>
      <w:pPr>
        <w:spacing w:after="160"/>
      </w:pPr>
      <w:r>
        <w:rPr>
          <w:rFonts w:ascii="Georgia" w:cs="Georgia" w:eastAsia="SimSun" w:hAnsi="Georgia"/>
          <w:color w:val="6B7F94"/>
          <w:sz w:val="18"/>
          <w:szCs w:val="18"/>
        </w:rPr>
        <w:t xml:space="preserve">Recovery ratio: ten-year tax revenue divided by acquisition outlay; the ratio runs 38.5 percent at fleet size 10 down to 33.5 percent at 72 as small fleets concentrate labour-heavy engineering.</w:t>
      </w:r>
    </w:p>
    <w:p>
      <w:pPr>
        <w:pStyle w:val="Heading2"/>
        <w:spacing w:after="140" w:before="280"/>
      </w:pPr>
      <w:r>
        <w:rPr>
          <w:rFonts w:ascii="Georgia" w:cs="Georgia" w:eastAsia="SimSun" w:hAnsi="Georgia"/>
          <w:b/>
          <w:bCs/>
          <w:color w:val="1F3A5F"/>
          <w:sz w:val="26"/>
          <w:szCs w:val="26"/>
        </w:rPr>
        <w:t xml:space="preserve">14.2 Net Fiscal Position</w:t>
      </w:r>
    </w:p>
    <w:p>
      <w:pPr>
        <w:spacing w:after="140" w:line="300"/>
        <w:ind w:firstLine="431"/>
      </w:pPr>
      <w:r>
        <w:rPr>
          <w:rFonts w:ascii="Georgia" w:cs="Georgia" w:eastAsia="SimSun" w:hAnsi="Georgia"/>
          <w:sz w:val="22"/>
          <w:szCs w:val="22"/>
        </w:rPr>
        <w:t xml:space="preserve">The fiscal case inverts the usual defence-procurement arithmetic: a pure import purchase returns essentially nothing, since the wages, profits and sales taxes accrue to the supplier's treasury. Stacking the sustainment decades extends the recovery: at fleet size 72, thirty-year tax revenue approaches C$7.6B against a C$21.5B lifecycle outlay, a 35 percent lifecycle fiscal recovery. No import-only alternative produces such a line.</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XV. Sensitivity and Uncertainty Analysis</w:t>
      </w:r>
    </w:p>
    <w:p>
      <w:pPr>
        <w:pStyle w:val="Heading2"/>
        <w:spacing w:after="140" w:before="280"/>
      </w:pPr>
      <w:r>
        <w:rPr>
          <w:rFonts w:ascii="Georgia" w:cs="Georgia" w:eastAsia="SimSun" w:hAnsi="Georgia"/>
          <w:b/>
          <w:bCs/>
          <w:color w:val="1F3A5F"/>
          <w:sz w:val="26"/>
          <w:szCs w:val="26"/>
        </w:rPr>
        <w:t xml:space="preserve">15.1 Material Variables</w:t>
      </w:r>
    </w:p>
    <w:p>
      <w:pPr>
        <w:spacing w:after="140" w:line="300"/>
        <w:ind w:firstLine="431"/>
      </w:pPr>
      <w:r>
        <w:rPr>
          <w:rFonts w:ascii="Georgia" w:cs="Georgia" w:eastAsia="SimSun" w:hAnsi="Georgia"/>
          <w:sz w:val="22"/>
          <w:szCs w:val="22"/>
        </w:rPr>
        <w:t xml:space="preserve">Every estimate in this Outlook carries uncertainty, and this part prices it at the fleet size 50 reference case, the midpoint of the range adjacent to the Striker pricing point. The tests cover the variables that actually move the answer: learning-curve behaviour, NRE growth, Canadian content, the multiplier set, exchange rates on the residual import content, contingency policy and schedule slip.</w:t>
      </w:r>
    </w:p>
    <w:p>
      <w:pPr>
        <w:spacing w:after="100" w:before="120"/>
        <w:jc w:val="center"/>
      </w:pPr>
      <w:r>
        <w:rPr>
          <w:rFonts w:ascii="Georgia" w:cs="Georgia" w:eastAsia="SimSun" w:hAnsi="Georgia"/>
          <w:i/>
          <w:iCs/>
          <w:color w:val="6B7F94"/>
          <w:sz w:val="18"/>
          <w:szCs w:val="18"/>
        </w:rPr>
        <w:t xml:space="preserve">Table XV-1. Sensitivity of headline results at fleet size 50 (base: C$8,135M acquisition, 9,002 total jobs, C$18,394M GDP; CALCULATED)</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750"/>
        <w:gridCol w:w="1268"/>
        <w:gridCol w:w="1268"/>
        <w:gridCol w:w="1268"/>
        <w:gridCol w:w="1268"/>
        <w:gridCol w:w="1268"/>
        <w:gridCol w:w="1270"/>
      </w:tblGrid>
      <w:tr>
        <w:trPr>
          <w:tblHeader/>
        </w:trPr>
        <w:tc>
          <w:tcPr>
            <w:tcW w:type="dxa" w:w="175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Variable</w:t>
            </w:r>
          </w:p>
        </w:tc>
        <w:tc>
          <w:tcPr>
            <w:tcW w:type="dxa" w:w="1268"/>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Base</w:t>
            </w:r>
          </w:p>
        </w:tc>
        <w:tc>
          <w:tcPr>
            <w:tcW w:type="dxa" w:w="1268"/>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Adverse case</w:t>
            </w:r>
          </w:p>
        </w:tc>
        <w:tc>
          <w:tcPr>
            <w:tcW w:type="dxa" w:w="1268"/>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Favourable case</w:t>
            </w:r>
          </w:p>
        </w:tc>
        <w:tc>
          <w:tcPr>
            <w:tcW w:type="dxa" w:w="1268"/>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Acquisition effect</w:t>
            </w:r>
          </w:p>
        </w:tc>
        <w:tc>
          <w:tcPr>
            <w:tcW w:type="dxa" w:w="1268"/>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Jobs effect</w:t>
            </w:r>
          </w:p>
        </w:tc>
        <w:tc>
          <w:tcPr>
            <w:tcW w:type="dxa" w:w="127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GDP effect</w:t>
            </w:r>
          </w:p>
        </w:tc>
      </w:tr>
      <w:tr>
        <w:trPr>
          <w:tblHeader w:val="false"/>
        </w:trPr>
        <w:tc>
          <w:tcPr>
            <w:tcW w:type="dxa" w:w="17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Learning curve (92% base)</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92%</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95% (package sensitivity)</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90%</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+C$90M (Striker package figure at 48)</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small negative</w:t>
            </w:r>
          </w:p>
        </w:tc>
        <w:tc>
          <w:tcPr>
            <w:tcW w:type="dxa" w:w="127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-C$0.1B</w:t>
            </w:r>
          </w:p>
        </w:tc>
      </w:tr>
      <w:tr>
        <w:trPr>
          <w:tblHeader w:val="false"/>
        </w:trPr>
        <w:tc>
          <w:tcPr>
            <w:tcW w:type="dxa" w:w="17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Non-recurring engineering</w:t>
            </w:r>
          </w:p>
        </w:tc>
        <w:tc>
          <w:tcPr>
            <w:tcW w:type="dxa" w:w="126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C$3,898M</w:t>
            </w:r>
          </w:p>
        </w:tc>
        <w:tc>
          <w:tcPr>
            <w:tcW w:type="dxa" w:w="126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+10%</w:t>
            </w:r>
          </w:p>
        </w:tc>
        <w:tc>
          <w:tcPr>
            <w:tcW w:type="dxa" w:w="126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-10%</w:t>
            </w:r>
          </w:p>
        </w:tc>
        <w:tc>
          <w:tcPr>
            <w:tcW w:type="dxa" w:w="126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+/-C$430M through contingency</w:t>
            </w:r>
          </w:p>
        </w:tc>
        <w:tc>
          <w:tcPr>
            <w:tcW w:type="dxa" w:w="126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+/-150</w:t>
            </w:r>
          </w:p>
        </w:tc>
        <w:tc>
          <w:tcPr>
            <w:tcW w:type="dxa" w:w="127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+/-C$0.8B</w:t>
            </w:r>
          </w:p>
        </w:tc>
      </w:tr>
      <w:tr>
        <w:trPr>
          <w:tblHeader w:val="false"/>
        </w:trPr>
        <w:tc>
          <w:tcPr>
            <w:tcW w:type="dxa" w:w="17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Canadian content (recurring)</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package shares</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-5 points</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+5 points</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none (cost fixed)</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-/+340 total</w:t>
            </w:r>
          </w:p>
        </w:tc>
        <w:tc>
          <w:tcPr>
            <w:tcW w:type="dxa" w:w="127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-/+C$0.24B</w:t>
            </w:r>
          </w:p>
        </w:tc>
      </w:tr>
      <w:tr>
        <w:trPr>
          <w:tblHeader w:val="false"/>
        </w:trPr>
        <w:tc>
          <w:tcPr>
            <w:tcW w:type="dxa" w:w="17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GDP multiplier set</w:t>
            </w:r>
          </w:p>
        </w:tc>
        <w:tc>
          <w:tcPr>
            <w:tcW w:type="dxa" w:w="126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2.19x</w:t>
            </w:r>
          </w:p>
        </w:tc>
        <w:tc>
          <w:tcPr>
            <w:tcW w:type="dxa" w:w="126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1.97x</w:t>
            </w:r>
          </w:p>
        </w:tc>
        <w:tc>
          <w:tcPr>
            <w:tcW w:type="dxa" w:w="126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2.41x</w:t>
            </w:r>
          </w:p>
        </w:tc>
        <w:tc>
          <w:tcPr>
            <w:tcW w:type="dxa" w:w="126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none</w:t>
            </w:r>
          </w:p>
        </w:tc>
        <w:tc>
          <w:tcPr>
            <w:tcW w:type="dxa" w:w="126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none</w:t>
            </w:r>
          </w:p>
        </w:tc>
        <w:tc>
          <w:tcPr>
            <w:tcW w:type="dxa" w:w="127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-/+C$1.8B</w:t>
            </w:r>
          </w:p>
        </w:tc>
      </w:tr>
      <w:tr>
        <w:trPr>
          <w:tblHeader w:val="false"/>
        </w:trPr>
        <w:tc>
          <w:tcPr>
            <w:tcW w:type="dxa" w:w="17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Exchange rates on import content</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2026 planning rates</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+10% on EUR lines</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-10%</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+/-C$108M</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minor</w:t>
            </w:r>
          </w:p>
        </w:tc>
        <w:tc>
          <w:tcPr>
            <w:tcW w:type="dxa" w:w="127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minor</w:t>
            </w:r>
          </w:p>
        </w:tc>
      </w:tr>
      <w:tr>
        <w:trPr>
          <w:tblHeader w:val="false"/>
        </w:trPr>
        <w:tc>
          <w:tcPr>
            <w:tcW w:type="dxa" w:w="17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Contingency policy (drones)</w:t>
            </w:r>
          </w:p>
        </w:tc>
        <w:tc>
          <w:tcPr>
            <w:tcW w:type="dxa" w:w="126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10%</w:t>
            </w:r>
          </w:p>
        </w:tc>
        <w:tc>
          <w:tcPr>
            <w:tcW w:type="dxa" w:w="126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15%</w:t>
            </w:r>
          </w:p>
        </w:tc>
        <w:tc>
          <w:tcPr>
            <w:tcW w:type="dxa" w:w="126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5%</w:t>
            </w:r>
          </w:p>
        </w:tc>
        <w:tc>
          <w:tcPr>
            <w:tcW w:type="dxa" w:w="126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+/-C$330M</w:t>
            </w:r>
          </w:p>
        </w:tc>
        <w:tc>
          <w:tcPr>
            <w:tcW w:type="dxa" w:w="126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none direct</w:t>
            </w:r>
          </w:p>
        </w:tc>
        <w:tc>
          <w:tcPr>
            <w:tcW w:type="dxa" w:w="127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+/-C$0.5B</w:t>
            </w:r>
          </w:p>
        </w:tc>
      </w:tr>
      <w:tr>
        <w:trPr>
          <w:tblHeader w:val="false"/>
        </w:trPr>
        <w:tc>
          <w:tcPr>
            <w:tcW w:type="dxa" w:w="17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Schedule slip +12 months</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M-baseline</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one added year fixed support</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none</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+C$122M lifecycle</w:t>
            </w:r>
          </w:p>
        </w:tc>
        <w:tc>
          <w:tcPr>
            <w:tcW w:type="dxa" w:w="126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peak shifts right one year</w:t>
            </w:r>
          </w:p>
        </w:tc>
        <w:tc>
          <w:tcPr>
            <w:tcW w:type="dxa" w:w="127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deferred, not lost</w:t>
            </w:r>
          </w:p>
        </w:tc>
      </w:tr>
    </w:tbl>
    <w:p>
      <w:pPr>
        <w:spacing w:after="140" w:line="300"/>
        <w:ind w:firstLine="431"/>
      </w:pPr>
      <w:r>
        <w:rPr>
          <w:rFonts w:ascii="Georgia" w:cs="Georgia" w:eastAsia="SimSun" w:hAnsi="Georgia"/>
          <w:sz w:val="22"/>
          <w:szCs w:val="22"/>
        </w:rPr>
        <w:t xml:space="preserve">The exchange-rate exposure stays small because all three packages author in Canadian dollars and the v6.1 supply chains deliberately exclude US-controlled articles; the residual exposure sits on euro-denominated engine, sensor and weapons lines. The Gripen E account of Part III carries the largest single exchange-rate exposure in the wider programme, because its normalized reference authors in US dollars: a ten-cent movement in the CAD/USD rate moves the fleet size 72 aircraft account by roughly C$0.6B, and the RFP's currency terms, not this Outlook, settle that exposure.</w:t>
      </w:r>
    </w:p>
    <w:p>
      <w:pPr>
        <w:pStyle w:val="Heading2"/>
        <w:spacing w:after="140" w:before="280"/>
      </w:pPr>
      <w:r>
        <w:rPr>
          <w:rFonts w:ascii="Georgia" w:cs="Georgia" w:eastAsia="SimSun" w:hAnsi="Georgia"/>
          <w:b/>
          <w:bCs/>
          <w:color w:val="1F3A5F"/>
          <w:sz w:val="26"/>
          <w:szCs w:val="26"/>
        </w:rPr>
        <w:t xml:space="preserve">15.2 Combined Bounds</w:t>
      </w:r>
    </w:p>
    <w:p>
      <w:pPr>
        <w:spacing w:after="140" w:line="300"/>
        <w:ind w:firstLine="431"/>
      </w:pPr>
      <w:r>
        <w:rPr>
          <w:rFonts w:ascii="Georgia" w:cs="Georgia" w:eastAsia="SimSun" w:hAnsi="Georgia"/>
          <w:sz w:val="22"/>
          <w:szCs w:val="22"/>
        </w:rPr>
        <w:t xml:space="preserve">Stacking every adverse case at once, 95 percent learning curves, NRE up 10 percent, content down 5 points, multipliers down 10 percent, contingency at 15 percent, produces the pessimistic bound at fleet size 50: acquisition of C$9.1B, total employment near 8,300 and ten-year GDP near C$15.6B. The optimistic bound relaxes the same variables: C$7.3B acquisition, 9,700 jobs, C$21.2B GDP. The economic conclusions survive both bounds: unit economics improve monotonically with quantity, the fixed-cost floor dominates small fleets, and Canadian capture stays above 64 percent at every fleet size under every tested assumption.</w:t>
      </w:r>
    </w:p>
    <w:p>
      <w:pPr>
        <w:pStyle w:val="Heading2"/>
        <w:spacing w:after="140" w:before="280"/>
      </w:pPr>
      <w:r>
        <w:rPr>
          <w:rFonts w:ascii="Georgia" w:cs="Georgia" w:eastAsia="SimSun" w:hAnsi="Georgia"/>
          <w:b/>
          <w:bCs/>
          <w:color w:val="1F3A5F"/>
          <w:sz w:val="26"/>
          <w:szCs w:val="26"/>
        </w:rPr>
        <w:t xml:space="preserve">15.3 Certainty Grading</w:t>
      </w:r>
    </w:p>
    <w:p>
      <w:pPr>
        <w:spacing w:after="140" w:line="300"/>
        <w:ind w:firstLine="431"/>
      </w:pPr>
      <w:r>
        <w:rPr>
          <w:rFonts w:ascii="Georgia" w:cs="Georgia" w:eastAsia="SimSun" w:hAnsi="Georgia"/>
          <w:sz w:val="22"/>
          <w:szCs w:val="22"/>
        </w:rPr>
        <w:t xml:space="preserve">The packages distinguish sourced figures, transparent calculations and estimates, and this Outlook preserves the distinction rather than lending every number identical apparent certainty. PACKAGE figures, the fleet-size price tables themselves, carry concept-stage confidence of roughly plus or minus 25 percent per the Striker package's own declaration. CALCULATED figures inherit that confidence plus model risk. ESTIMATE figures, chiefly the Gripen E aircraft reference, the labour-intensity ratio, the development labour share and the export scenarios, carry wider bands and appear in the sensitivity table above. The decision matrix in Part XVI therefore compares fleet sizes on quantities that rank robustly under the full uncertainty range, not on point estimates alone.</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XVI. The Fleet-Size Economic Decision Matrix and Comparisons</w:t>
      </w:r>
    </w:p>
    <w:p>
      <w:pPr>
        <w:pStyle w:val="Heading2"/>
        <w:spacing w:after="140" w:before="280"/>
      </w:pPr>
      <w:r>
        <w:rPr>
          <w:rFonts w:ascii="Georgia" w:cs="Georgia" w:eastAsia="SimSun" w:hAnsi="Georgia"/>
          <w:b/>
          <w:bCs/>
          <w:color w:val="1F3A5F"/>
          <w:sz w:val="26"/>
          <w:szCs w:val="26"/>
        </w:rPr>
        <w:t xml:space="preserve">16.1 The Matrix</w:t>
      </w:r>
    </w:p>
    <w:p>
      <w:pPr>
        <w:spacing w:after="140" w:line="300"/>
        <w:ind w:firstLine="431"/>
      </w:pPr>
      <w:r>
        <w:rPr>
          <w:rFonts w:ascii="Georgia" w:cs="Georgia" w:eastAsia="SimSun" w:hAnsi="Georgia"/>
          <w:sz w:val="22"/>
          <w:szCs w:val="22"/>
        </w:rPr>
        <w:t xml:space="preserve">This part assembles the seventeen options side by side and stops short of choosing. The matrix compares programme expenditure, effective unit economics, Canadian investment, employment, GDP, tax revenue, lifecycle exposure and industrial utilization. Uncertainty grades reflect each option's exposure to the Part XV variables: small fleets carry the highest unit-cost uncertainty because fixed accounts dominate; large fleets carry the largest absolute exposure because more dollars sit in learning-curve production.</w:t>
      </w:r>
    </w:p>
    <w:p>
      <w:pPr>
        <w:spacing w:after="100" w:before="120"/>
        <w:jc w:val="center"/>
      </w:pPr>
      <w:r>
        <w:rPr>
          <w:rFonts w:ascii="Georgia" w:cs="Georgia" w:eastAsia="SimSun" w:hAnsi="Georgia"/>
          <w:i/>
          <w:iCs/>
          <w:color w:val="6B7F94"/>
          <w:sz w:val="18"/>
          <w:szCs w:val="18"/>
        </w:rPr>
        <w:t xml:space="preserve">Table XVI-1. Fleet-size economic decision matrix (2026 C$M unless noted; PACKAGE and CALCULATED per Appendix C)</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640"/>
        <w:gridCol w:w="968"/>
        <w:gridCol w:w="968"/>
        <w:gridCol w:w="968"/>
        <w:gridCol w:w="968"/>
        <w:gridCol w:w="968"/>
        <w:gridCol w:w="968"/>
        <w:gridCol w:w="968"/>
        <w:gridCol w:w="968"/>
        <w:gridCol w:w="976"/>
      </w:tblGrid>
      <w:tr>
        <w:trPr>
          <w:tblHeader/>
        </w:trPr>
        <w:tc>
          <w:tcPr>
            <w:tcW w:type="dxa" w:w="64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3"/>
                <w:szCs w:val="13"/>
              </w:rPr>
              <w:t xml:space="preserve">N</w:t>
            </w:r>
          </w:p>
        </w:tc>
        <w:tc>
          <w:tcPr>
            <w:tcW w:type="dxa" w:w="968"/>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Acquisition</w:t>
            </w:r>
          </w:p>
        </w:tc>
        <w:tc>
          <w:tcPr>
            <w:tcW w:type="dxa" w:w="968"/>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All-in per ac.</w:t>
            </w:r>
          </w:p>
        </w:tc>
        <w:tc>
          <w:tcPr>
            <w:tcW w:type="dxa" w:w="968"/>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Cdn capture</w:t>
            </w:r>
          </w:p>
        </w:tc>
        <w:tc>
          <w:tcPr>
            <w:tcW w:type="dxa" w:w="968"/>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Total jobs</w:t>
            </w:r>
          </w:p>
        </w:tc>
        <w:tc>
          <w:tcPr>
            <w:tcW w:type="dxa" w:w="968"/>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GDP 10-yr</w:t>
            </w:r>
          </w:p>
        </w:tc>
        <w:tc>
          <w:tcPr>
            <w:tcW w:type="dxa" w:w="968"/>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Tax 10-yr</w:t>
            </w:r>
          </w:p>
        </w:tc>
        <w:tc>
          <w:tcPr>
            <w:tcW w:type="dxa" w:w="968"/>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Life 30-yr</w:t>
            </w:r>
          </w:p>
        </w:tc>
        <w:tc>
          <w:tcPr>
            <w:tcW w:type="dxa" w:w="968"/>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Jobs per C$B</w:t>
            </w:r>
          </w:p>
        </w:tc>
        <w:tc>
          <w:tcPr>
            <w:tcW w:type="dxa" w:w="976"/>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3"/>
                <w:szCs w:val="13"/>
              </w:rPr>
              <w:t xml:space="preserve">Utilization</w:t>
            </w:r>
          </w:p>
        </w:tc>
      </w:tr>
      <w:tr>
        <w:trPr>
          <w:tblHeader w:val="false"/>
        </w:trPr>
        <w:tc>
          <w:tcPr>
            <w:tcW w:type="dxa" w:w="6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10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5,466.9</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C$182.2M</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4,359.3</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6,447</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12,533.0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2,105</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10,279.0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1,179</w:t>
            </w:r>
          </w:p>
        </w:tc>
        <w:tc>
          <w:tcPr>
            <w:tcW w:type="dxa" w:w="9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Below rate</w:t>
            </w:r>
          </w:p>
        </w:tc>
      </w:tr>
      <w:tr>
        <w:trPr>
          <w:tblHeader w:val="false"/>
        </w:trPr>
        <w:tc>
          <w:tcPr>
            <w:tcW w:type="dxa" w:w="64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15</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5,815.9</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C$129.2M</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4,528.4</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7,089</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13,259.0</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2,275</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11,202.0</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1,219</w:t>
            </w:r>
          </w:p>
        </w:tc>
        <w:tc>
          <w:tcPr>
            <w:tcW w:type="dxa" w:w="9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Below rate</w:t>
            </w:r>
          </w:p>
        </w:tc>
      </w:tr>
      <w:tr>
        <w:trPr>
          <w:tblHeader w:val="false"/>
        </w:trPr>
        <w:tc>
          <w:tcPr>
            <w:tcW w:type="dxa" w:w="6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20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6,170.0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C$102.8M</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4,708.4</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7,747</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14,009.0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2,450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12,130.0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1,256</w:t>
            </w:r>
          </w:p>
        </w:tc>
        <w:tc>
          <w:tcPr>
            <w:tcW w:type="dxa" w:w="9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Below rate</w:t>
            </w:r>
          </w:p>
        </w:tc>
      </w:tr>
      <w:tr>
        <w:trPr>
          <w:tblHeader w:val="false"/>
        </w:trPr>
        <w:tc>
          <w:tcPr>
            <w:tcW w:type="dxa" w:w="64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25</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6,504.6</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C$86.7M</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4,875.7</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8,281</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14,732.0</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2,595</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13,039.0</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1,273</w:t>
            </w:r>
          </w:p>
        </w:tc>
        <w:tc>
          <w:tcPr>
            <w:tcW w:type="dxa" w:w="9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Below rate</w:t>
            </w:r>
          </w:p>
        </w:tc>
      </w:tr>
      <w:tr>
        <w:trPr>
          <w:tblHeader w:val="false"/>
        </w:trPr>
        <w:tc>
          <w:tcPr>
            <w:tcW w:type="dxa" w:w="6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28</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6,703.1</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C$79.8M</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4,976.2</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8,358</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15,166.0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2,630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13,581.0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1,247</w:t>
            </w:r>
          </w:p>
        </w:tc>
        <w:tc>
          <w:tcPr>
            <w:tcW w:type="dxa" w:w="9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Below rate</w:t>
            </w:r>
          </w:p>
        </w:tc>
      </w:tr>
      <w:tr>
        <w:trPr>
          <w:tblHeader w:val="false"/>
        </w:trPr>
        <w:tc>
          <w:tcPr>
            <w:tcW w:type="dxa" w:w="64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30</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6,834.6</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C$75.9M</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5,043.4</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8,411</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15,455.0</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2,653</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13,943.0</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1,231</w:t>
            </w:r>
          </w:p>
        </w:tc>
        <w:tc>
          <w:tcPr>
            <w:tcW w:type="dxa" w:w="9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Below rate</w:t>
            </w:r>
          </w:p>
        </w:tc>
      </w:tr>
      <w:tr>
        <w:trPr>
          <w:tblHeader w:val="false"/>
        </w:trPr>
        <w:tc>
          <w:tcPr>
            <w:tcW w:type="dxa" w:w="6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35</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7,160.7</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C$68.2M</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5,211.6</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8,548</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16,180.0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2,713</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14,843.0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1,194</w:t>
            </w:r>
          </w:p>
        </w:tc>
        <w:tc>
          <w:tcPr>
            <w:tcW w:type="dxa" w:w="9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Below rate</w:t>
            </w:r>
          </w:p>
        </w:tc>
      </w:tr>
      <w:tr>
        <w:trPr>
          <w:tblHeader w:val="false"/>
        </w:trPr>
        <w:tc>
          <w:tcPr>
            <w:tcW w:type="dxa" w:w="64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38</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7,368.3</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C$64.6M</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5,325.2</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8,653</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16,643.0</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2,755</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15,395.0</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1,174</w:t>
            </w:r>
          </w:p>
        </w:tc>
        <w:tc>
          <w:tcPr>
            <w:tcW w:type="dxa" w:w="9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Below rate</w:t>
            </w:r>
          </w:p>
        </w:tc>
      </w:tr>
      <w:tr>
        <w:trPr>
          <w:tblHeader w:val="false"/>
        </w:trPr>
        <w:tc>
          <w:tcPr>
            <w:tcW w:type="dxa" w:w="6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40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7,497.2</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C$62.5M</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5,393.0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8,710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16,933.0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2,779</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15,753.0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1,162</w:t>
            </w:r>
          </w:p>
        </w:tc>
        <w:tc>
          <w:tcPr>
            <w:tcW w:type="dxa" w:w="9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Approaching rate</w:t>
            </w:r>
          </w:p>
        </w:tc>
      </w:tr>
      <w:tr>
        <w:trPr>
          <w:tblHeader w:val="false"/>
        </w:trPr>
        <w:tc>
          <w:tcPr>
            <w:tcW w:type="dxa" w:w="64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45</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7,817.4</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C$57.9M</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5,563.2</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8,855</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17,662.0</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2,841</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16,647.0</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1,133</w:t>
            </w:r>
          </w:p>
        </w:tc>
        <w:tc>
          <w:tcPr>
            <w:tcW w:type="dxa" w:w="9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Approaching rate</w:t>
            </w:r>
          </w:p>
        </w:tc>
      </w:tr>
      <w:tr>
        <w:trPr>
          <w:tblHeader w:val="false"/>
        </w:trPr>
        <w:tc>
          <w:tcPr>
            <w:tcW w:type="dxa" w:w="6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50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8,135.2</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C$54.2M</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5,734.5</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9,002</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18,394.0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2,903</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17,539.0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1,107</w:t>
            </w:r>
          </w:p>
        </w:tc>
        <w:tc>
          <w:tcPr>
            <w:tcW w:type="dxa" w:w="9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Approaching rate</w:t>
            </w:r>
          </w:p>
        </w:tc>
      </w:tr>
      <w:tr>
        <w:trPr>
          <w:tblHeader w:val="false"/>
        </w:trPr>
        <w:tc>
          <w:tcPr>
            <w:tcW w:type="dxa" w:w="64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55</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8,464.4</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C$51.3M</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5,919.4</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9,172</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19,155.0</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2,972</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18,442.0</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1,084</w:t>
            </w:r>
          </w:p>
        </w:tc>
        <w:tc>
          <w:tcPr>
            <w:tcW w:type="dxa" w:w="9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Approaching rate</w:t>
            </w:r>
          </w:p>
        </w:tc>
      </w:tr>
      <w:tr>
        <w:trPr>
          <w:tblHeader w:val="false"/>
        </w:trPr>
        <w:tc>
          <w:tcPr>
            <w:tcW w:type="dxa" w:w="6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58</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8,652.9</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C$49.7M</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6,023.7</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9,262</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19,597.0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3,010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18,975.0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1,070</w:t>
            </w:r>
          </w:p>
        </w:tc>
        <w:tc>
          <w:tcPr>
            <w:tcW w:type="dxa" w:w="9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Approaching rate</w:t>
            </w:r>
          </w:p>
        </w:tc>
      </w:tr>
      <w:tr>
        <w:trPr>
          <w:tblHeader w:val="false"/>
        </w:trPr>
        <w:tc>
          <w:tcPr>
            <w:tcW w:type="dxa" w:w="64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60</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8,778.2</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C$48.8M</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6,093.5</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9,323</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19,892.0</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3,035</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19,330.0</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1,062</w:t>
            </w:r>
          </w:p>
        </w:tc>
        <w:tc>
          <w:tcPr>
            <w:tcW w:type="dxa" w:w="9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Rate production</w:t>
            </w:r>
          </w:p>
        </w:tc>
      </w:tr>
      <w:tr>
        <w:trPr>
          <w:tblHeader w:val="false"/>
        </w:trPr>
        <w:tc>
          <w:tcPr>
            <w:tcW w:type="dxa" w:w="6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65</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9,090.2</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C$46.6M</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6,268.9</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9,475</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20,633.0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3,099</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20,216.0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1,042</w:t>
            </w:r>
          </w:p>
        </w:tc>
        <w:tc>
          <w:tcPr>
            <w:tcW w:type="dxa" w:w="9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Rate production</w:t>
            </w:r>
          </w:p>
        </w:tc>
      </w:tr>
      <w:tr>
        <w:trPr>
          <w:tblHeader w:val="false"/>
        </w:trPr>
        <w:tc>
          <w:tcPr>
            <w:tcW w:type="dxa" w:w="64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70</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9,400.7</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C$44.8M</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6,445.9</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9,629</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21,376.0</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3,163</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21,101.0</w:t>
            </w:r>
          </w:p>
        </w:tc>
        <w:tc>
          <w:tcPr>
            <w:tcW w:type="dxa" w:w="968"/>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1,024</w:t>
            </w:r>
          </w:p>
        </w:tc>
        <w:tc>
          <w:tcPr>
            <w:tcW w:type="dxa" w:w="9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Rate production</w:t>
            </w:r>
          </w:p>
        </w:tc>
      </w:tr>
      <w:tr>
        <w:trPr>
          <w:tblHeader w:val="false"/>
        </w:trPr>
        <w:tc>
          <w:tcPr>
            <w:tcW w:type="dxa" w:w="6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3"/>
                <w:szCs w:val="13"/>
              </w:rPr>
              <w:t xml:space="preserve">72</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9,524.5</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C$44.1M</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6,517.0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9,691</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21,675.0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3,189</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21,454.0</w:t>
            </w:r>
          </w:p>
        </w:tc>
        <w:tc>
          <w:tcPr>
            <w:tcW w:type="dxa" w:w="968"/>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1,017</w:t>
            </w:r>
          </w:p>
        </w:tc>
        <w:tc>
          <w:tcPr>
            <w:tcW w:type="dxa" w:w="9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3"/>
                <w:szCs w:val="13"/>
              </w:rPr>
              <w:t xml:space="preserve">Rate production</w:t>
            </w:r>
          </w:p>
        </w:tc>
      </w:tr>
    </w:tbl>
    <w:p>
      <w:pPr>
        <w:pStyle w:val="Heading2"/>
        <w:spacing w:after="140" w:before="280"/>
      </w:pPr>
      <w:r>
        <w:rPr>
          <w:rFonts w:ascii="Georgia" w:cs="Georgia" w:eastAsia="SimSun" w:hAnsi="Georgia"/>
          <w:b/>
          <w:bCs/>
          <w:color w:val="1F3A5F"/>
          <w:sz w:val="26"/>
          <w:szCs w:val="26"/>
        </w:rPr>
        <w:t xml:space="preserve">16.2 What the Matrix Reveals</w:t>
      </w:r>
    </w:p>
    <w:p>
      <w:pPr>
        <w:spacing w:after="140" w:line="300"/>
        <w:ind w:firstLine="431"/>
      </w:pPr>
      <w:r>
        <w:rPr>
          <w:rFonts w:ascii="Georgia" w:cs="Georgia" w:eastAsia="SimSun" w:hAnsi="Georgia"/>
          <w:sz w:val="22"/>
          <w:szCs w:val="22"/>
        </w:rPr>
        <w:t xml:space="preserve">Three quantities emerge as economically interesting, and the analysis rather than any preference puts them there. Fleet size 40 marks the value inflection: all-in unit cost reaches C$62.5M per aircraft element, the Sprinter package's own economic-defensibility threshold, NRE dilution flattens, and rate-adjacent production begins. Fleet sizes 58 to 60 mark the depth threshold: the fleet gains real attrition margin on both drone lines, Western and Atlantic employment shares reach their mature levels, the high export scenario opens, and combined ten-year GDP crosses C$19.9B. Fleet size 72 marks the industrial optimum: minimum unit cost at C$44.1M all-in, peak Canadian content on the localization curve, maximum sustainment employment and full rate utilization of the Mirabel cell.</w:t>
      </w:r>
    </w:p>
    <w:p>
      <w:pPr>
        <w:spacing w:after="140" w:line="300"/>
        <w:ind w:firstLine="431"/>
      </w:pPr>
      <w:r>
        <w:rPr>
          <w:rFonts w:ascii="Georgia" w:cs="Georgia" w:eastAsia="SimSun" w:hAnsi="Georgia"/>
          <w:sz w:val="22"/>
          <w:szCs w:val="22"/>
        </w:rPr>
        <w:t xml:space="preserve">The matrix equally reveals what each sacrifice costs. Dropping from 72 to 40 saves C$2.03B of acquisition, about C$1.1B of Canadian capture, 981 peak jobs, C$4.7B of decade GDP and C$410M of decade tax. Dropping from 40 to 10 saves C$2.03B more but sacrifices only marginally fewer jobs, 2,263, because the fixed engineering base persists; the real loss at small quantities is capability and unit economics, not employment. The employment floor at small fleet sizes flatters the small options on a jobs-per-dollar basis (1,179 jobs per C$B at fleet size 10 against 1,017 at 72), and decision-makers deserve to see that figure honestly alongside the unit-cost penalty that produces it.</w:t>
      </w:r>
    </w:p>
    <w:p>
      <w:pPr>
        <w:spacing w:after="140" w:line="300"/>
        <w:ind w:firstLine="431"/>
      </w:pPr>
      <w:r>
        <w:rPr>
          <w:rFonts w:ascii="Georgia" w:cs="Georgia" w:eastAsia="SimSun" w:hAnsi="Georgia"/>
          <w:sz w:val="22"/>
          <w:szCs w:val="22"/>
        </w:rPr>
        <w:t xml:space="preserve">No row of the matrix dominates the others on every dimension, and this Outlook does not manufacture one. The economically weakest options are the very small fleets, 10 through 20, which pay boutique prices for prototype quantities while carrying nearly the full fixed programme. Every option from 40 upward buys capability at within 30 percent of the best achievable unit economics. The choice among them trades budget, capability depth, attrition margin and export posture, and it belongs to the Government, not to this analysis.</w:t>
      </w:r>
    </w:p>
    <w:p>
      <w:pPr>
        <w:pStyle w:val="Heading2"/>
        <w:spacing w:after="140" w:before="280"/>
      </w:pPr>
      <w:r>
        <w:rPr>
          <w:rFonts w:ascii="Georgia" w:cs="Georgia" w:eastAsia="SimSun" w:hAnsi="Georgia"/>
          <w:b/>
          <w:bCs/>
          <w:color w:val="1F3A5F"/>
          <w:sz w:val="26"/>
          <w:szCs w:val="26"/>
        </w:rPr>
        <w:t xml:space="preserve">16.3 The Reference Document against This Issue</w:t>
      </w:r>
    </w:p>
    <w:p>
      <w:pPr>
        <w:spacing w:after="140" w:line="300"/>
        <w:ind w:firstLine="431"/>
      </w:pPr>
      <w:r>
        <w:rPr>
          <w:rFonts w:ascii="Georgia" w:cs="Georgia" w:eastAsia="SimSun" w:hAnsi="Georgia"/>
          <w:sz w:val="22"/>
          <w:szCs w:val="22"/>
        </w:rPr>
        <w:t xml:space="preserve">The comparison below closes the loop between the v5.0-era Economic Northern Horizon Outlook and this v6.1 issue. The differences trace to scope and pricing baselines, not to method: the multiplier set, the tax model, the regional mapping and the scenario architecture carry over unchanged.</w:t>
      </w:r>
    </w:p>
    <w:p>
      <w:pPr>
        <w:spacing w:after="100" w:before="120"/>
        <w:jc w:val="center"/>
      </w:pPr>
      <w:r>
        <w:rPr>
          <w:rFonts w:ascii="Georgia" w:cs="Georgia" w:eastAsia="SimSun" w:hAnsi="Georgia"/>
          <w:i/>
          <w:iCs/>
          <w:color w:val="6B7F94"/>
          <w:sz w:val="18"/>
          <w:szCs w:val="18"/>
        </w:rPr>
        <w:t xml:space="preserve">Table XVI-2. Reference document against v6.1 (comparison of scope, baselines and headline results)</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200"/>
        <w:gridCol w:w="3580"/>
        <w:gridCol w:w="3580"/>
      </w:tblGrid>
      <w:tr>
        <w:trPr>
          <w:tblHeader/>
        </w:trPr>
        <w:tc>
          <w:tcPr>
            <w:tcW w:type="dxa" w:w="22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Dimension</w:t>
            </w:r>
          </w:p>
        </w:tc>
        <w:tc>
          <w:tcPr>
            <w:tcW w:type="dxa" w:w="35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Economic Northern Horizon Outlook (v5.0-era reference)</w:t>
            </w:r>
          </w:p>
        </w:tc>
        <w:tc>
          <w:tcPr>
            <w:tcW w:type="dxa" w:w="35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The Economic Northern Horizon Outlook v6.1</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Scope</w:t>
            </w:r>
          </w:p>
        </w:tc>
        <w:tc>
          <w:tcPr>
            <w:tcW w:type="dxa" w:w="3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48 Gripen E + 72 Sprinter + 36 Striker, Gripen E purchase inside programme cost</w:t>
            </w:r>
          </w:p>
        </w:tc>
        <w:tc>
          <w:tcPr>
            <w:tcW w:type="dxa" w:w="3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Augmentation kits + Sprinter + Striker at 17 fleet sizes; Gripen E purchase treated separately in Part III</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Fleet quantities analysed</w:t>
            </w:r>
          </w:p>
        </w:tc>
        <w:tc>
          <w:tcPr>
            <w:tcW w:type="dxa" w:w="35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One reference fleet</w:t>
            </w:r>
          </w:p>
        </w:tc>
        <w:tc>
          <w:tcPr>
            <w:tcW w:type="dxa" w:w="35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Seventeen fleet sizes per element, quantity-specific pricing throughout</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Procurement baseline</w:t>
            </w:r>
          </w:p>
        </w:tc>
        <w:tc>
          <w:tcPr>
            <w:tcW w:type="dxa" w:w="3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C$15.76B single-fleet procurement total</w:t>
            </w:r>
          </w:p>
        </w:tc>
        <w:tc>
          <w:tcPr>
            <w:tcW w:type="dxa" w:w="3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C$5.47B to C$9.52B combined acquisition across the quantity range</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Pricing source</w:t>
            </w:r>
          </w:p>
        </w:tc>
        <w:tc>
          <w:tcPr>
            <w:tcW w:type="dxa" w:w="35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CDR-GRIPEN-PPP-001, CDR-SPRSTRK-PPP-001, CDR-STRKR-PPP-001 (June 2026)</w:t>
            </w:r>
          </w:p>
        </w:tc>
        <w:tc>
          <w:tcPr>
            <w:tcW w:type="dxa" w:w="35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SPR-AIR-PPP-006, STR-AIR-PPP-003, AGA-PRC-061 (September 2026)</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Direct jobs (peak)</w:t>
            </w:r>
          </w:p>
        </w:tc>
        <w:tc>
          <w:tcPr>
            <w:tcW w:type="dxa" w:w="3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8,480</w:t>
            </w:r>
          </w:p>
        </w:tc>
        <w:tc>
          <w:tcPr>
            <w:tcW w:type="dxa" w:w="3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2,653 to 3,988 (Northern Horizon scope); 2,019 to 5,671 added under the Gripen E full-account option</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Total jobs (peak)</w:t>
            </w:r>
          </w:p>
        </w:tc>
        <w:tc>
          <w:tcPr>
            <w:tcW w:type="dxa" w:w="35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20,630</w:t>
            </w:r>
          </w:p>
        </w:tc>
        <w:tc>
          <w:tcPr>
            <w:tcW w:type="dxa" w:w="35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6,447 to 9,691 (Northern Horizon scope); 11,354 to 23,471 whole programme</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Ten-year GDP</w:t>
            </w:r>
          </w:p>
        </w:tc>
        <w:tc>
          <w:tcPr>
            <w:tcW w:type="dxa" w:w="3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C$14.36B</w:t>
            </w:r>
          </w:p>
        </w:tc>
        <w:tc>
          <w:tcPr>
            <w:tcW w:type="dxa" w:w="3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C$12.5B to C$21.7B depending on fleet size</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Ten-year tax revenue</w:t>
            </w:r>
          </w:p>
        </w:tc>
        <w:tc>
          <w:tcPr>
            <w:tcW w:type="dxa" w:w="35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C$3.85B</w:t>
            </w:r>
          </w:p>
        </w:tc>
        <w:tc>
          <w:tcPr>
            <w:tcW w:type="dxa" w:w="35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C$2.1B to C$3.2B depending on fleet size</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F-35 savings claim</w:t>
            </w:r>
          </w:p>
        </w:tc>
        <w:tc>
          <w:tcPr>
            <w:tcW w:type="dxa" w:w="3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C$9.76B acquisition savings</w:t>
            </w:r>
          </w:p>
        </w:tc>
        <w:tc>
          <w:tcPr>
            <w:tcW w:type="dxa" w:w="3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Restated in Part XVI against the OAG 2025 figure of C$27.8B for 88 aircraft</w:t>
            </w:r>
          </w:p>
        </w:tc>
      </w:tr>
    </w:tbl>
    <w:p>
      <w:pPr>
        <w:pStyle w:val="Heading2"/>
        <w:spacing w:after="140" w:before="280"/>
      </w:pPr>
      <w:r>
        <w:rPr>
          <w:rFonts w:ascii="Georgia" w:cs="Georgia" w:eastAsia="SimSun" w:hAnsi="Georgia"/>
          <w:b/>
          <w:bCs/>
          <w:color w:val="1F3A5F"/>
          <w:sz w:val="26"/>
          <w:szCs w:val="26"/>
        </w:rPr>
        <w:t xml:space="preserve">16.4 The F-35 Counterfactual at Full Programme Breadth</w:t>
      </w:r>
    </w:p>
    <w:p>
      <w:pPr>
        <w:spacing w:after="140" w:line="300"/>
        <w:ind w:firstLine="431"/>
      </w:pPr>
      <w:r>
        <w:rPr>
          <w:rFonts w:ascii="Georgia" w:cs="Georgia" w:eastAsia="SimSun" w:hAnsi="Georgia"/>
          <w:sz w:val="22"/>
          <w:szCs w:val="22"/>
        </w:rPr>
        <w:t xml:space="preserve">The final comparison stacks the entire breadth of the whole programme against the counterfactual: the F-35A-only path at 88 aircraft, the Gripen E aircraft account at fleet size 72, the Northern Horizon programme at fleet size 72, and the two Canadian options together. The stacked Canadian column fields 216 aircraft elements, keeps the majority of expenditure in Canada, and still comes in roughly C$10B under the F-35 acquisition figure, before any sustainment differential.</w:t>
      </w:r>
    </w:p>
    <w:p>
      <w:pPr>
        <w:spacing w:after="100" w:before="120"/>
        <w:jc w:val="center"/>
      </w:pPr>
      <w:r>
        <w:rPr>
          <w:rFonts w:ascii="Georgia" w:cs="Georgia" w:eastAsia="SimSun" w:hAnsi="Georgia"/>
          <w:i/>
          <w:iCs/>
          <w:color w:val="6B7F94"/>
          <w:sz w:val="18"/>
          <w:szCs w:val="18"/>
        </w:rPr>
        <w:t xml:space="preserve">Table XVI-3. F-35 counterfactual against the full Canadian programme at fleet size 72 (2026 CAD)</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650"/>
        <w:gridCol w:w="1927"/>
        <w:gridCol w:w="1927"/>
        <w:gridCol w:w="1927"/>
        <w:gridCol w:w="1929"/>
      </w:tblGrid>
      <w:tr>
        <w:trPr>
          <w:tblHeader/>
        </w:trPr>
        <w:tc>
          <w:tcPr>
            <w:tcW w:type="dxa" w:w="165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Metric</w:t>
            </w:r>
          </w:p>
        </w:tc>
        <w:tc>
          <w:tcPr>
            <w:tcW w:type="dxa" w:w="1927"/>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F-35A only (88 aircraft)</w:t>
            </w:r>
          </w:p>
        </w:tc>
        <w:tc>
          <w:tcPr>
            <w:tcW w:type="dxa" w:w="1927"/>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Gripen E at 72 (Part III account)</w:t>
            </w:r>
          </w:p>
        </w:tc>
        <w:tc>
          <w:tcPr>
            <w:tcW w:type="dxa" w:w="1927"/>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Northern Horizon at 72 (programme)</w:t>
            </w:r>
          </w:p>
        </w:tc>
        <w:tc>
          <w:tcPr>
            <w:tcW w:type="dxa" w:w="1929"/>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Gripen E 72 + Northern Horizon 72</w:t>
            </w:r>
          </w:p>
        </w:tc>
      </w:tr>
      <w:tr>
        <w:trPr>
          <w:tblHeader w:val="false"/>
        </w:trPr>
        <w:tc>
          <w:tcPr>
            <w:tcW w:type="dxa" w:w="16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Acquisition cost</w:t>
            </w:r>
          </w:p>
        </w:tc>
        <w:tc>
          <w:tcPr>
            <w:tcW w:type="dxa" w:w="192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C$27.8B (OAG 2025, PUBLISHED)</w:t>
            </w:r>
          </w:p>
        </w:tc>
        <w:tc>
          <w:tcPr>
            <w:tcW w:type="dxa" w:w="192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C$8.26B (ESTIMATE)</w:t>
            </w:r>
          </w:p>
        </w:tc>
        <w:tc>
          <w:tcPr>
            <w:tcW w:type="dxa" w:w="192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C$9.52B (PACKAGE)</w:t>
            </w:r>
          </w:p>
        </w:tc>
        <w:tc>
          <w:tcPr>
            <w:tcW w:type="dxa" w:w="1929"/>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C$17.79B</w:t>
            </w:r>
          </w:p>
        </w:tc>
      </w:tr>
      <w:tr>
        <w:trPr>
          <w:tblHeader w:val="false"/>
        </w:trPr>
        <w:tc>
          <w:tcPr>
            <w:tcW w:type="dxa" w:w="16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Annual sustainment</w:t>
            </w:r>
          </w:p>
        </w:tc>
        <w:tc>
          <w:tcPr>
            <w:tcW w:type="dxa" w:w="192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C$1.52B (CARRIED)</w:t>
            </w:r>
          </w:p>
        </w:tc>
        <w:tc>
          <w:tcPr>
            <w:tcW w:type="dxa" w:w="192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Prices through the fleet RFP</w:t>
            </w:r>
          </w:p>
        </w:tc>
        <w:tc>
          <w:tcPr>
            <w:tcW w:type="dxa" w:w="192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C$0.40B (PACKAGE)</w:t>
            </w:r>
          </w:p>
        </w:tc>
        <w:tc>
          <w:tcPr>
            <w:tcW w:type="dxa" w:w="1929"/>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C$0.40B plus aircraft sustainment</w:t>
            </w:r>
          </w:p>
        </w:tc>
      </w:tr>
      <w:tr>
        <w:trPr>
          <w:tblHeader w:val="false"/>
        </w:trPr>
        <w:tc>
          <w:tcPr>
            <w:tcW w:type="dxa" w:w="16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Aircraft elements fielded</w:t>
            </w:r>
          </w:p>
        </w:tc>
        <w:tc>
          <w:tcPr>
            <w:tcW w:type="dxa" w:w="192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88</w:t>
            </w:r>
          </w:p>
        </w:tc>
        <w:tc>
          <w:tcPr>
            <w:tcW w:type="dxa" w:w="192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72</w:t>
            </w:r>
          </w:p>
        </w:tc>
        <w:tc>
          <w:tcPr>
            <w:tcW w:type="dxa" w:w="192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144 uncrewed plus 72 augmented</w:t>
            </w:r>
          </w:p>
        </w:tc>
        <w:tc>
          <w:tcPr>
            <w:tcW w:type="dxa" w:w="1929"/>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216</w:t>
            </w:r>
          </w:p>
        </w:tc>
      </w:tr>
      <w:tr>
        <w:trPr>
          <w:tblHeader w:val="false"/>
        </w:trPr>
        <w:tc>
          <w:tcPr>
            <w:tcW w:type="dxa" w:w="16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Direct Canadian jobs (peak)</w:t>
            </w:r>
          </w:p>
        </w:tc>
        <w:tc>
          <w:tcPr>
            <w:tcW w:type="dxa" w:w="192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approx. 200 (CARRIED)</w:t>
            </w:r>
          </w:p>
        </w:tc>
        <w:tc>
          <w:tcPr>
            <w:tcW w:type="dxa" w:w="192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5,670 (CALCULATED on ESTIMATE build)</w:t>
            </w:r>
          </w:p>
        </w:tc>
        <w:tc>
          <w:tcPr>
            <w:tcW w:type="dxa" w:w="192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3,988 (CALCULATED)</w:t>
            </w:r>
          </w:p>
        </w:tc>
        <w:tc>
          <w:tcPr>
            <w:tcW w:type="dxa" w:w="1929"/>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9,658</w:t>
            </w:r>
          </w:p>
        </w:tc>
      </w:tr>
      <w:tr>
        <w:trPr>
          <w:tblHeader w:val="false"/>
        </w:trPr>
        <w:tc>
          <w:tcPr>
            <w:tcW w:type="dxa" w:w="16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Total jobs (peak)</w:t>
            </w:r>
          </w:p>
        </w:tc>
        <w:tc>
          <w:tcPr>
            <w:tcW w:type="dxa" w:w="192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approx. 500 (CARRIED)</w:t>
            </w:r>
          </w:p>
        </w:tc>
        <w:tc>
          <w:tcPr>
            <w:tcW w:type="dxa" w:w="192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13,779 (CALCULATED on ESTIMATE build)</w:t>
            </w:r>
          </w:p>
        </w:tc>
        <w:tc>
          <w:tcPr>
            <w:tcW w:type="dxa" w:w="192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9,691 (CALCULATED)</w:t>
            </w:r>
          </w:p>
        </w:tc>
        <w:tc>
          <w:tcPr>
            <w:tcW w:type="dxa" w:w="1929"/>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23,470</w:t>
            </w:r>
          </w:p>
        </w:tc>
      </w:tr>
      <w:tr>
        <w:trPr>
          <w:tblHeader w:val="false"/>
        </w:trPr>
        <w:tc>
          <w:tcPr>
            <w:tcW w:type="dxa" w:w="16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Canadian content</w:t>
            </w:r>
          </w:p>
        </w:tc>
        <w:tc>
          <w:tcPr>
            <w:tcW w:type="dxa" w:w="192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approx. 2 percent (CARRIED)</w:t>
            </w:r>
          </w:p>
        </w:tc>
        <w:tc>
          <w:tcPr>
            <w:tcW w:type="dxa" w:w="192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Assembly option under negotiation</w:t>
            </w:r>
          </w:p>
        </w:tc>
        <w:tc>
          <w:tcPr>
            <w:tcW w:type="dxa" w:w="192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68.4 percent (CALCULATED)</w:t>
            </w:r>
          </w:p>
        </w:tc>
        <w:tc>
          <w:tcPr>
            <w:tcW w:type="dxa" w:w="1929"/>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Majority Canadian across accounts</w:t>
            </w:r>
          </w:p>
        </w:tc>
      </w:tr>
      <w:tr>
        <w:trPr>
          <w:tblHeader w:val="false"/>
        </w:trPr>
        <w:tc>
          <w:tcPr>
            <w:tcW w:type="dxa" w:w="16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Ten-year GDP</w:t>
            </w:r>
          </w:p>
        </w:tc>
        <w:tc>
          <w:tcPr>
            <w:tcW w:type="dxa" w:w="192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C$0.38B (CARRIED)</w:t>
            </w:r>
          </w:p>
        </w:tc>
        <w:tc>
          <w:tcPr>
            <w:tcW w:type="dxa" w:w="192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Not modelled outside the RFP</w:t>
            </w:r>
          </w:p>
        </w:tc>
        <w:tc>
          <w:tcPr>
            <w:tcW w:type="dxa" w:w="192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C$21.7B (CALCULATED)</w:t>
            </w:r>
          </w:p>
        </w:tc>
        <w:tc>
          <w:tcPr>
            <w:tcW w:type="dxa" w:w="1929"/>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C$21.7B plus assembly activity</w:t>
            </w:r>
          </w:p>
        </w:tc>
      </w:tr>
      <w:tr>
        <w:trPr>
          <w:tblHeader w:val="false"/>
        </w:trPr>
        <w:tc>
          <w:tcPr>
            <w:tcW w:type="dxa" w:w="16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Ten-year tax revenue</w:t>
            </w:r>
          </w:p>
        </w:tc>
        <w:tc>
          <w:tcPr>
            <w:tcW w:type="dxa" w:w="192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C$52M (CARRIED)</w:t>
            </w:r>
          </w:p>
        </w:tc>
        <w:tc>
          <w:tcPr>
            <w:tcW w:type="dxa" w:w="192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Not modelled outside the RFP</w:t>
            </w:r>
          </w:p>
        </w:tc>
        <w:tc>
          <w:tcPr>
            <w:tcW w:type="dxa" w:w="192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C$3.19B (CALCULATED)</w:t>
            </w:r>
          </w:p>
        </w:tc>
        <w:tc>
          <w:tcPr>
            <w:tcW w:type="dxa" w:w="1929"/>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C$3.19B plus assembly activity</w:t>
            </w:r>
          </w:p>
        </w:tc>
      </w:tr>
      <w:tr>
        <w:trPr>
          <w:tblHeader w:val="false"/>
        </w:trPr>
        <w:tc>
          <w:tcPr>
            <w:tcW w:type="dxa" w:w="16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Source code access</w:t>
            </w:r>
          </w:p>
        </w:tc>
        <w:tc>
          <w:tcPr>
            <w:tcW w:type="dxa" w:w="192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Denied (black box)</w:t>
            </w:r>
          </w:p>
        </w:tc>
        <w:tc>
          <w:tcPr>
            <w:tcW w:type="dxa" w:w="192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Full under the Saab transfer guarantee (CARRIED)</w:t>
            </w:r>
          </w:p>
        </w:tc>
        <w:tc>
          <w:tcPr>
            <w:tcW w:type="dxa" w:w="1927"/>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Full on both drones and the kit</w:t>
            </w:r>
          </w:p>
        </w:tc>
        <w:tc>
          <w:tcPr>
            <w:tcW w:type="dxa" w:w="1929"/>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Full</w:t>
            </w:r>
          </w:p>
        </w:tc>
      </w:tr>
      <w:tr>
        <w:trPr>
          <w:tblHeader w:val="false"/>
        </w:trPr>
        <w:tc>
          <w:tcPr>
            <w:tcW w:type="dxa" w:w="16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Export potential by 2040</w:t>
            </w:r>
          </w:p>
        </w:tc>
        <w:tc>
          <w:tcPr>
            <w:tcW w:type="dxa" w:w="192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Limited (CARRIED)</w:t>
            </w:r>
          </w:p>
        </w:tc>
        <w:tc>
          <w:tcPr>
            <w:tcW w:type="dxa" w:w="192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Augmentation kits to the Gripen base</w:t>
            </w:r>
          </w:p>
        </w:tc>
        <w:tc>
          <w:tcPr>
            <w:tcW w:type="dxa" w:w="1927"/>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C$1.2B to C$4.8B (ESTIMATE)</w:t>
            </w:r>
          </w:p>
        </w:tc>
        <w:tc>
          <w:tcPr>
            <w:tcW w:type="dxa" w:w="1929"/>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C$1.2B to C$4.8B plus kit pull-through</w:t>
            </w:r>
          </w:p>
        </w:tc>
      </w:tr>
    </w:tbl>
    <w:p>
      <w:pPr>
        <w:spacing w:after="160"/>
      </w:pPr>
      <w:r>
        <w:rPr>
          <w:rFonts w:ascii="Georgia" w:cs="Georgia" w:eastAsia="SimSun" w:hAnsi="Georgia"/>
          <w:color w:val="6B7F94"/>
          <w:sz w:val="18"/>
          <w:szCs w:val="18"/>
        </w:rPr>
        <w:t xml:space="preserve">F-35 rows carry the OAG 2025 acquisition figure (PUBLISHED) and the reference document's sustainment, jobs and content figures (CARRIED). Gripen E rows carry the Part III ESTIMATE basis. Northern Horizon rows carry PACKAGE and CALCULATED figures from Parts IV to XIV.</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Appendix A. Methodology Detail and Formulas</w:t>
      </w:r>
    </w:p>
    <w:p>
      <w:pPr>
        <w:pStyle w:val="Heading2"/>
        <w:spacing w:after="140" w:before="280"/>
      </w:pPr>
      <w:r>
        <w:rPr>
          <w:rFonts w:ascii="Georgia" w:cs="Georgia" w:eastAsia="SimSun" w:hAnsi="Georgia"/>
          <w:b/>
          <w:bCs/>
          <w:color w:val="1F3A5F"/>
          <w:sz w:val="26"/>
          <w:szCs w:val="26"/>
        </w:rPr>
        <w:t xml:space="preserve">A.1 Cost Formulas (PACKAGE)</w:t>
      </w:r>
    </w:p>
    <w:p>
      <w:pPr>
        <w:spacing w:after="140" w:line="300"/>
        <w:ind w:firstLine="431"/>
      </w:pPr>
      <w:r>
        <w:rPr>
          <w:rFonts w:ascii="Georgia" w:cs="Georgia" w:eastAsia="SimSun" w:hAnsi="Georgia"/>
          <w:sz w:val="22"/>
          <w:szCs w:val="22"/>
        </w:rPr>
        <w:t xml:space="preserve">Sprinter: U(N) = 11.85 x (N/72)^b; support = 27.0 + 1.36N; weapons = 0.706N; infrastructure = 57.5 + 0.45N; contingency = 10% of subtotal; sustainment = 1.35N + 22.0 per year. Striker: U(N) = 24.30 x (N/48)^b; support = 68 + 3.0N; effects package = 9.18N; infrastructure = 150 + 0.55N; contingency = 10% of subtotal; 15-year support = 1,400 + 31N. Gripen augmentation: recurring = 7.905N flat; support = 32.0 + 4.2S + 1.55N; infrastructure = 16.0 + 7.5S + 0.28N with S = min(4, max(1, ceil(N/18))); contingency = 15% of subtotal; sustainment = 0.410N + 6.8 per year. All values 2026 C$M; b = ln(0.92)/ln(2) for both learning curves.</w:t>
      </w:r>
    </w:p>
    <w:p>
      <w:pPr>
        <w:pStyle w:val="Heading2"/>
        <w:spacing w:after="140" w:before="280"/>
      </w:pPr>
      <w:r>
        <w:rPr>
          <w:rFonts w:ascii="Georgia" w:cs="Georgia" w:eastAsia="SimSun" w:hAnsi="Georgia"/>
          <w:b/>
          <w:bCs/>
          <w:color w:val="1F3A5F"/>
          <w:sz w:val="26"/>
          <w:szCs w:val="26"/>
        </w:rPr>
        <w:t xml:space="preserve">A.2 Gripen E Aircraft Account (ESTIMATE)</w:t>
      </w:r>
    </w:p>
    <w:p>
      <w:pPr>
        <w:spacing w:after="140" w:line="300"/>
        <w:ind w:firstLine="431"/>
      </w:pPr>
      <w:r>
        <w:rPr>
          <w:rFonts w:ascii="Georgia" w:cs="Georgia" w:eastAsia="SimSun" w:hAnsi="Georgia"/>
          <w:sz w:val="22"/>
          <w:szCs w:val="22"/>
        </w:rPr>
        <w:t xml:space="preserve">Aircraft unit reference: US$85.0M normalized, converted at 1.35 CAD/USD to C$114.75M, carried from the v5.0-era specification normalization; the fleet acquisition RFP closes the actual price. Flat fleet total: 114.75 x N. Curve sensitivity: U95(N) = 114.75 x (N/50)^c with c = ln(0.95)/ln(2), anchored at the 50-aircraft quantity. Employment: six activity lines scaled from the reference document's 48-aircraft build, each as fixed establishment plus per-aircraft rate: assembly 600 + 25.0N; propulsion depot 150 + 5.2N; mission systems and sensors 80 + 2.7N; training and simulation 100 + 3.1N; supplier and SME base 150 + 7.3N; enduring sustainment and MRO 350 + 15.6N. Indirect 0.88x and induced 0.55x per ISED 2024. Import-purchase memo: approximately 200 direct and 500 total jobs at any quantity, carried from the reference document's import pattern. Package-published support manpower: Sprinter cadre scaling per SPR-AIR-PPP-006; Striker Table 10-4 function formulas per STR-AIR-PPP-003; augmentation 12 + 0.7N per AGA-PRC-061.</w:t>
      </w:r>
    </w:p>
    <w:p>
      <w:pPr>
        <w:pStyle w:val="Heading2"/>
        <w:spacing w:after="140" w:before="280"/>
      </w:pPr>
      <w:r>
        <w:rPr>
          <w:rFonts w:ascii="Georgia" w:cs="Georgia" w:eastAsia="SimSun" w:hAnsi="Georgia"/>
          <w:b/>
          <w:bCs/>
          <w:color w:val="1F3A5F"/>
          <w:sz w:val="26"/>
          <w:szCs w:val="26"/>
        </w:rPr>
        <w:t xml:space="preserve">A.3 Canadian Content Model (CALCULATED on PACKAGE shares)</w:t>
      </w:r>
    </w:p>
    <w:p>
      <w:pPr>
        <w:spacing w:after="140" w:line="300"/>
        <w:ind w:firstLine="431"/>
      </w:pPr>
      <w:r>
        <w:rPr>
          <w:rFonts w:ascii="Georgia" w:cs="Georgia" w:eastAsia="SimSun" w:hAnsi="Georgia"/>
          <w:sz w:val="22"/>
          <w:szCs w:val="22"/>
        </w:rPr>
        <w:t xml:space="preserve">Recurring production: Sprinter 48.0% + 8.0 points x (N-10)/62; Striker 51.0% + 9.0 points x (N-10)/62; Gripen kit 60.6% flat. Non-recurring engineering: 85% (drones), 80% (augmentation). Initial support and spares: 65% (drones), 75% (augmentation). Infrastructure: 100%. Weapons accounts: 5%. Contingency inherits the Canadian share of its programme subtotal. Sustainment: 85%, carried from the reference document.</w:t>
      </w:r>
    </w:p>
    <w:p>
      <w:pPr>
        <w:pStyle w:val="Heading2"/>
        <w:spacing w:after="140" w:before="280"/>
      </w:pPr>
      <w:r>
        <w:rPr>
          <w:rFonts w:ascii="Georgia" w:cs="Georgia" w:eastAsia="SimSun" w:hAnsi="Georgia"/>
          <w:b/>
          <w:bCs/>
          <w:color w:val="1F3A5F"/>
          <w:sz w:val="26"/>
          <w:szCs w:val="26"/>
        </w:rPr>
        <w:t xml:space="preserve">A.4 Employment Model (CALCULATED; multipliers CARRIED from ISED 2024)</w:t>
      </w:r>
    </w:p>
    <w:p>
      <w:pPr>
        <w:spacing w:after="140" w:line="300"/>
        <w:ind w:firstLine="431"/>
      </w:pPr>
      <w:r>
        <w:rPr>
          <w:rFonts w:ascii="Georgia" w:cs="Georgia" w:eastAsia="SimSun" w:hAnsi="Georgia"/>
          <w:sz w:val="22"/>
          <w:szCs w:val="22"/>
        </w:rPr>
        <w:t xml:space="preserve">Development: 1,490 fixed direct jobs, from C$3,898M NRE at 82% Canadian content, 65% labour share, six-year window, C$240K fully loaded annual engineering cost. Production: 3.3 direct jobs per C$M of annual Canadian recurring production, annualized over a delivery window of min(6, max(2, N/12)) years. Facilities: 3.3 direct jobs per C$M of infrastructure over a three-year build. Sustainment: 3.3 direct jobs per C$M of annual sustainment at 85% Canadian content. Indirect: 0.88x direct. Induced: 0.55x direct. Regional weights: development 60/25/8/4/3; production 62/18/11/6/3; facilities and sustainment 33/14/26/22/5, for Quebec / Ontario / Western / Atlantic and Northern / Pan-Canadian respectively.</w:t>
      </w:r>
    </w:p>
    <w:p>
      <w:pPr>
        <w:pStyle w:val="Heading2"/>
        <w:spacing w:after="140" w:before="280"/>
      </w:pPr>
      <w:r>
        <w:rPr>
          <w:rFonts w:ascii="Georgia" w:cs="Georgia" w:eastAsia="SimSun" w:hAnsi="Georgia"/>
          <w:b/>
          <w:bCs/>
          <w:color w:val="1F3A5F"/>
          <w:sz w:val="26"/>
          <w:szCs w:val="26"/>
        </w:rPr>
        <w:t xml:space="preserve">A.5 GDP and Tax Models (CALCULATED; parameters CARRIED)</w:t>
      </w:r>
    </w:p>
    <w:p>
      <w:pPr>
        <w:spacing w:after="140" w:line="300"/>
        <w:ind w:firstLine="431"/>
      </w:pPr>
      <w:r>
        <w:rPr>
          <w:rFonts w:ascii="Georgia" w:cs="Georgia" w:eastAsia="SimSun" w:hAnsi="Georgia"/>
          <w:sz w:val="22"/>
          <w:szCs w:val="22"/>
        </w:rPr>
        <w:t xml:space="preserve">GDP: Canadian injection (acquisition content plus ten years of sustainment at 85%) multiplied by 2.19, decomposed as 1.00x direct, 0.72x indirect, 0.47x induced per ISED 2024. Tax: wage base equals total peak employment x 0.65 utilization x C$85,000 x 10 years; federal income 20.5%, provincial income 11.5%, payroll 7.5%; corporate at 9% margin on Canadian injection taxed at 7.5% federal and 18% blended provincial; GST/HST at 13% blended on Canadian acquisition content.</w:t>
      </w:r>
    </w:p>
    <w:p>
      <w:pPr>
        <w:pStyle w:val="Heading2"/>
        <w:spacing w:after="140" w:before="280"/>
      </w:pPr>
      <w:r>
        <w:rPr>
          <w:rFonts w:ascii="Georgia" w:cs="Georgia" w:eastAsia="SimSun" w:hAnsi="Georgia"/>
          <w:b/>
          <w:bCs/>
          <w:color w:val="1F3A5F"/>
          <w:sz w:val="26"/>
          <w:szCs w:val="26"/>
        </w:rPr>
        <w:t xml:space="preserve">A.6 Conventions</w:t>
      </w:r>
    </w:p>
    <w:p>
      <w:pPr>
        <w:spacing w:after="140" w:line="300"/>
        <w:ind w:firstLine="431"/>
      </w:pPr>
      <w:r>
        <w:rPr>
          <w:rFonts w:ascii="Georgia" w:cs="Georgia" w:eastAsia="SimSun" w:hAnsi="Georgia"/>
          <w:sz w:val="22"/>
          <w:szCs w:val="22"/>
        </w:rPr>
        <w:t xml:space="preserve">Fleet size N denotes N Sprinters, N Strikers and N Gripen augmentation packages; all-in cost per aircraft element divides combined acquisition by 3N. Figures round to C$0.1M and totals derive from unrounded values. No Northern Horizon figure in this Outlook includes the purchase price of Gripen E aircraft; Part III carries that account separately.</w:t>
      </w:r>
    </w:p>
    <w:p>
      <w:pPr>
        <w:pStyle w:val="Heading1"/>
        <w:pBdr>
          <w:bottom w:val="single" w:color="C9A227" w:sz="8" w:space="4"/>
        </w:pBdr>
        <w:spacing w:after="180" w:before="360"/>
      </w:pPr>
      <w:r>
        <w:rPr>
          <w:rFonts w:ascii="Georgia" w:cs="Georgia" w:eastAsia="SimSun" w:hAnsi="Georgia"/>
          <w:b/>
          <w:bCs/>
          <w:color w:val="1F3A5F"/>
          <w:sz w:val="32"/>
          <w:szCs w:val="32"/>
        </w:rPr>
        <w:t xml:space="preserve">Appendix B. Verification Status Register</w:t>
      </w:r>
    </w:p>
    <w:p>
      <w:pPr>
        <w:spacing w:after="100" w:before="120"/>
        <w:jc w:val="center"/>
      </w:pPr>
      <w:r>
        <w:rPr>
          <w:rFonts w:ascii="Georgia" w:cs="Georgia" w:eastAsia="SimSun" w:hAnsi="Georgia"/>
          <w:i/>
          <w:iCs/>
          <w:color w:val="6B7F94"/>
          <w:sz w:val="18"/>
          <w:szCs w:val="18"/>
        </w:rPr>
        <w:t xml:space="preserve">Table B-1. Tag population by document part</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700"/>
        <w:gridCol w:w="1915"/>
        <w:gridCol w:w="1915"/>
        <w:gridCol w:w="1915"/>
        <w:gridCol w:w="1915"/>
      </w:tblGrid>
      <w:tr>
        <w:trPr>
          <w:tblHeader/>
        </w:trPr>
        <w:tc>
          <w:tcPr>
            <w:tcW w:type="dxa" w:w="17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Part</w:t>
            </w:r>
          </w:p>
        </w:tc>
        <w:tc>
          <w:tcPr>
            <w:tcW w:type="dxa" w:w="1915"/>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PACKAGE figures</w:t>
            </w:r>
          </w:p>
        </w:tc>
        <w:tc>
          <w:tcPr>
            <w:tcW w:type="dxa" w:w="1915"/>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CALCULATED figures</w:t>
            </w:r>
          </w:p>
        </w:tc>
        <w:tc>
          <w:tcPr>
            <w:tcW w:type="dxa" w:w="1915"/>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CARRIED parameters</w:t>
            </w:r>
          </w:p>
        </w:tc>
        <w:tc>
          <w:tcPr>
            <w:tcW w:type="dxa" w:w="1915"/>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ESTIMATE items</w:t>
            </w:r>
          </w:p>
        </w:tc>
      </w:tr>
      <w:tr>
        <w:trPr>
          <w:tblHeader w:val="false"/>
        </w:trPr>
        <w:tc>
          <w:tcPr>
            <w:tcW w:type="dxa" w:w="1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Parts III to V (element costs)</w:t>
            </w:r>
          </w:p>
        </w:tc>
        <w:tc>
          <w:tcPr>
            <w:tcW w:type="dxa" w:w="19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All 51 table rows verbatim from the three packages</w:t>
            </w:r>
          </w:p>
        </w:tc>
        <w:tc>
          <w:tcPr>
            <w:tcW w:type="dxa" w:w="19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Mixed-configuration arithmetic</w:t>
            </w:r>
          </w:p>
        </w:tc>
        <w:tc>
          <w:tcPr>
            <w:tcW w:type="dxa" w:w="19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None</w:t>
            </w:r>
          </w:p>
        </w:tc>
        <w:tc>
          <w:tcPr>
            <w:tcW w:type="dxa" w:w="19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None</w:t>
            </w:r>
          </w:p>
        </w:tc>
      </w:tr>
      <w:tr>
        <w:trPr>
          <w:tblHeader w:val="false"/>
        </w:trPr>
        <w:tc>
          <w:tcPr>
            <w:tcW w:type="dxa" w:w="1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Part VI (combined)</w:t>
            </w:r>
          </w:p>
        </w:tc>
        <w:tc>
          <w:tcPr>
            <w:tcW w:type="dxa" w:w="19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Element subtotals</w:t>
            </w:r>
          </w:p>
        </w:tc>
        <w:tc>
          <w:tcPr>
            <w:tcW w:type="dxa" w:w="19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Sums, per-aircraft ratios, marginals</w:t>
            </w:r>
          </w:p>
        </w:tc>
        <w:tc>
          <w:tcPr>
            <w:tcW w:type="dxa" w:w="19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None</w:t>
            </w:r>
          </w:p>
        </w:tc>
        <w:tc>
          <w:tcPr>
            <w:tcW w:type="dxa" w:w="19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None</w:t>
            </w:r>
          </w:p>
        </w:tc>
      </w:tr>
      <w:tr>
        <w:trPr>
          <w:tblHeader w:val="false"/>
        </w:trPr>
        <w:tc>
          <w:tcPr>
            <w:tcW w:type="dxa" w:w="1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Part VII (employment)</w:t>
            </w:r>
          </w:p>
        </w:tc>
        <w:tc>
          <w:tcPr>
            <w:tcW w:type="dxa" w:w="19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Support cadre anchors</w:t>
            </w:r>
          </w:p>
        </w:tc>
        <w:tc>
          <w:tcPr>
            <w:tcW w:type="dxa" w:w="19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All job counts</w:t>
            </w:r>
          </w:p>
        </w:tc>
        <w:tc>
          <w:tcPr>
            <w:tcW w:type="dxa" w:w="19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ISED multipliers, salaries</w:t>
            </w:r>
          </w:p>
        </w:tc>
        <w:tc>
          <w:tcPr>
            <w:tcW w:type="dxa" w:w="19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Labour intensity 3.3 jobs/C$M; development labour share 65%</w:t>
            </w:r>
          </w:p>
        </w:tc>
      </w:tr>
      <w:tr>
        <w:trPr>
          <w:tblHeader w:val="false"/>
        </w:trPr>
        <w:tc>
          <w:tcPr>
            <w:tcW w:type="dxa" w:w="1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Part VIII (regions)</w:t>
            </w:r>
          </w:p>
        </w:tc>
        <w:tc>
          <w:tcPr>
            <w:tcW w:type="dxa" w:w="19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Named supplier locations</w:t>
            </w:r>
          </w:p>
        </w:tc>
        <w:tc>
          <w:tcPr>
            <w:tcW w:type="dxa" w:w="19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All regional allocations</w:t>
            </w:r>
          </w:p>
        </w:tc>
        <w:tc>
          <w:tcPr>
            <w:tcW w:type="dxa" w:w="19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Regional industrial structure</w:t>
            </w:r>
          </w:p>
        </w:tc>
        <w:tc>
          <w:tcPr>
            <w:tcW w:type="dxa" w:w="19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Category regional weights</w:t>
            </w:r>
          </w:p>
        </w:tc>
      </w:tr>
      <w:tr>
        <w:trPr>
          <w:tblHeader w:val="false"/>
        </w:trPr>
        <w:tc>
          <w:tcPr>
            <w:tcW w:type="dxa" w:w="1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Part IX (content)</w:t>
            </w:r>
          </w:p>
        </w:tc>
        <w:tc>
          <w:tcPr>
            <w:tcW w:type="dxa" w:w="19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Package content shares and localization targets</w:t>
            </w:r>
          </w:p>
        </w:tc>
        <w:tc>
          <w:tcPr>
            <w:tcW w:type="dxa" w:w="19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Capture totals</w:t>
            </w:r>
          </w:p>
        </w:tc>
        <w:tc>
          <w:tcPr>
            <w:tcW w:type="dxa" w:w="19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v5.0 sustainment share</w:t>
            </w:r>
          </w:p>
        </w:tc>
        <w:tc>
          <w:tcPr>
            <w:tcW w:type="dxa" w:w="19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Interpolation ramp for drone shares</w:t>
            </w:r>
          </w:p>
        </w:tc>
      </w:tr>
      <w:tr>
        <w:trPr>
          <w:tblHeader w:val="false"/>
        </w:trPr>
        <w:tc>
          <w:tcPr>
            <w:tcW w:type="dxa" w:w="1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Part X (GDP)</w:t>
            </w:r>
          </w:p>
        </w:tc>
        <w:tc>
          <w:tcPr>
            <w:tcW w:type="dxa" w:w="19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None</w:t>
            </w:r>
          </w:p>
        </w:tc>
        <w:tc>
          <w:tcPr>
            <w:tcW w:type="dxa" w:w="19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All GDP figures</w:t>
            </w:r>
          </w:p>
        </w:tc>
        <w:tc>
          <w:tcPr>
            <w:tcW w:type="dxa" w:w="19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ISED 2024 multiplier set 2.19x</w:t>
            </w:r>
          </w:p>
        </w:tc>
        <w:tc>
          <w:tcPr>
            <w:tcW w:type="dxa" w:w="19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None</w:t>
            </w:r>
          </w:p>
        </w:tc>
      </w:tr>
      <w:tr>
        <w:trPr>
          <w:tblHeader w:val="false"/>
        </w:trPr>
        <w:tc>
          <w:tcPr>
            <w:tcW w:type="dxa" w:w="1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Part XI (lifecycle)</w:t>
            </w:r>
          </w:p>
        </w:tc>
        <w:tc>
          <w:tcPr>
            <w:tcW w:type="dxa" w:w="19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Sustainment formulas</w:t>
            </w:r>
          </w:p>
        </w:tc>
        <w:tc>
          <w:tcPr>
            <w:tcW w:type="dxa" w:w="19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Horizon sums</w:t>
            </w:r>
          </w:p>
        </w:tc>
        <w:tc>
          <w:tcPr>
            <w:tcW w:type="dxa" w:w="19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None</w:t>
            </w:r>
          </w:p>
        </w:tc>
        <w:tc>
          <w:tcPr>
            <w:tcW w:type="dxa" w:w="19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Regeneration timing</w:t>
            </w:r>
          </w:p>
        </w:tc>
      </w:tr>
      <w:tr>
        <w:trPr>
          <w:tblHeader w:val="false"/>
        </w:trPr>
        <w:tc>
          <w:tcPr>
            <w:tcW w:type="dxa" w:w="1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Part XII (exports)</w:t>
            </w:r>
          </w:p>
        </w:tc>
        <w:tc>
          <w:tcPr>
            <w:tcW w:type="dxa" w:w="19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None</w:t>
            </w:r>
          </w:p>
        </w:tc>
        <w:tc>
          <w:tcPr>
            <w:tcW w:type="dxa" w:w="19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Job equivalents</w:t>
            </w:r>
          </w:p>
        </w:tc>
        <w:tc>
          <w:tcPr>
            <w:tcW w:type="dxa" w:w="19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v5.0 scenario architecture</w:t>
            </w:r>
          </w:p>
        </w:tc>
        <w:tc>
          <w:tcPr>
            <w:tcW w:type="dxa" w:w="19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All three revenue scenarios</w:t>
            </w:r>
          </w:p>
        </w:tc>
      </w:tr>
      <w:tr>
        <w:trPr>
          <w:tblHeader w:val="false"/>
        </w:trPr>
        <w:tc>
          <w:tcPr>
            <w:tcW w:type="dxa" w:w="1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Part XIII (tax)</w:t>
            </w:r>
          </w:p>
        </w:tc>
        <w:tc>
          <w:tcPr>
            <w:tcW w:type="dxa" w:w="19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None</w:t>
            </w:r>
          </w:p>
        </w:tc>
        <w:tc>
          <w:tcPr>
            <w:tcW w:type="dxa" w:w="19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All tax figures</w:t>
            </w:r>
          </w:p>
        </w:tc>
        <w:tc>
          <w:tcPr>
            <w:tcW w:type="dxa" w:w="19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Tax rates and utilization from v5.0</w:t>
            </w:r>
          </w:p>
        </w:tc>
        <w:tc>
          <w:tcPr>
            <w:tcW w:type="dxa" w:w="19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None</w:t>
            </w:r>
          </w:p>
        </w:tc>
      </w:tr>
      <w:tr>
        <w:trPr>
          <w:tblHeader w:val="false"/>
        </w:trPr>
        <w:tc>
          <w:tcPr>
            <w:tcW w:type="dxa" w:w="1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Part XIV (sensitivity)</w:t>
            </w:r>
          </w:p>
        </w:tc>
        <w:tc>
          <w:tcPr>
            <w:tcW w:type="dxa" w:w="19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Striker learning-curve sensitivity</w:t>
            </w:r>
          </w:p>
        </w:tc>
        <w:tc>
          <w:tcPr>
            <w:tcW w:type="dxa" w:w="19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All swing arithmetic</w:t>
            </w:r>
          </w:p>
        </w:tc>
        <w:tc>
          <w:tcPr>
            <w:tcW w:type="dxa" w:w="19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None</w:t>
            </w:r>
          </w:p>
        </w:tc>
        <w:tc>
          <w:tcPr>
            <w:tcW w:type="dxa" w:w="19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Adverse/favourable bounds</w:t>
            </w:r>
          </w:p>
        </w:tc>
      </w:tr>
    </w:tbl>
    <w:p>
      <w:pPr>
        <w:spacing w:after="140" w:line="300"/>
        <w:ind w:firstLine="431"/>
      </w:pPr>
      <w:r>
        <w:rPr>
          <w:rFonts w:ascii="Georgia" w:cs="Georgia" w:eastAsia="SimSun" w:hAnsi="Georgia"/>
          <w:sz w:val="22"/>
          <w:szCs w:val="22"/>
        </w:rPr>
        <w:t xml:space="preserve">One qualification applies to every PACKAGE figure: the packages themselves are concept-stage planning baselines. The Striker package declares rough-order-of-magnitude confidence of plus or minus 25 percent; the Sprinter package reconciles its rollup to controlled targets within stated residuals; the Gripen augmentation package labels its prices budgetary. The Gripen E aircraft reference carries ESTIMATE status pending the fleet acquisition RFP. This Outlook adds no precision the sources lack.</w:t>
      </w:r>
    </w:p>
    <w:p>
      <w:pPr>
        <w:pStyle w:val="Heading1"/>
        <w:pBdr>
          <w:bottom w:val="single" w:color="C9A227" w:sz="8" w:space="4"/>
        </w:pBdr>
        <w:spacing w:after="180" w:before="360"/>
      </w:pPr>
      <w:r>
        <w:rPr>
          <w:rFonts w:ascii="Georgia" w:cs="Georgia" w:eastAsia="SimSun" w:hAnsi="Georgia"/>
          <w:b/>
          <w:bCs/>
          <w:color w:val="1F3A5F"/>
          <w:sz w:val="32"/>
          <w:szCs w:val="32"/>
        </w:rPr>
        <w:t xml:space="preserve">Appendix C. Traceability to the v6.1 Packages</w:t>
      </w:r>
    </w:p>
    <w:p>
      <w:pPr>
        <w:spacing w:after="100" w:before="120"/>
        <w:jc w:val="center"/>
      </w:pPr>
      <w:r>
        <w:rPr>
          <w:rFonts w:ascii="Georgia" w:cs="Georgia" w:eastAsia="SimSun" w:hAnsi="Georgia"/>
          <w:i/>
          <w:iCs/>
          <w:color w:val="6B7F94"/>
          <w:sz w:val="18"/>
          <w:szCs w:val="18"/>
        </w:rPr>
        <w:t xml:space="preserve">Table C-1. Traceability map</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600"/>
        <w:gridCol w:w="3380"/>
        <w:gridCol w:w="3380"/>
      </w:tblGrid>
      <w:tr>
        <w:trPr>
          <w:tblHeader/>
        </w:trPr>
        <w:tc>
          <w:tcPr>
            <w:tcW w:type="dxa" w:w="26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Outlook element</w:t>
            </w:r>
          </w:p>
        </w:tc>
        <w:tc>
          <w:tcPr>
            <w:tcW w:type="dxa" w:w="33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Governing source</w:t>
            </w:r>
          </w:p>
        </w:tc>
        <w:tc>
          <w:tcPr>
            <w:tcW w:type="dxa" w:w="33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Content taken</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Sprinter fleet tables (Part IV)</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SPR-AIR-PPP-006 Parts IX and XVI</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Unit costs, learning curve, NRE, support, weapons, infrastructure, contingency, sustainment and lifecycle columns</w:t>
            </w:r>
          </w:p>
        </w:tc>
      </w:tr>
      <w:tr>
        <w:trPr>
          <w:tblHeader w:val="false"/>
        </w:trPr>
        <w:tc>
          <w:tcPr>
            <w:tcW w:type="dxa" w:w="26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Striker fleet tables (Part V)</w:t>
            </w:r>
          </w:p>
        </w:tc>
        <w:tc>
          <w:tcPr>
            <w:tcW w:type="dxa" w:w="33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STR-AIR-PPP-003 Part IX, Tables 9-1 to 9-3</w:t>
            </w:r>
          </w:p>
        </w:tc>
        <w:tc>
          <w:tcPr>
            <w:tcW w:type="dxa" w:w="33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Unit build-up, NRE build-up, seventeen core rows, adder formulas, 15-year support estimate</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Gripen augmentation tables (Part VI)</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AGA-PRC-061 Parts X, XI and XIII</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Kit pricing, NRE, support-node and infrastructure formulas, contingency, 25-year lifecycle, AOK-1-only sensitivity</w:t>
            </w:r>
          </w:p>
        </w:tc>
      </w:tr>
      <w:tr>
        <w:trPr>
          <w:tblHeader w:val="false"/>
        </w:trPr>
        <w:tc>
          <w:tcPr>
            <w:tcW w:type="dxa" w:w="26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Gripen E aircraft account (Part III)</w:t>
            </w:r>
          </w:p>
        </w:tc>
        <w:tc>
          <w:tcPr>
            <w:tcW w:type="dxa" w:w="33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v5.0-era specification normalization; fleet acquisition RFP as closing event</w:t>
            </w:r>
          </w:p>
        </w:tc>
        <w:tc>
          <w:tcPr>
            <w:tcW w:type="dxa" w:w="33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US$85.0M normalized unit reference converted at 1.35 CAD/USD; no v6.1 package prices the aircraft</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Canadian content shares (Part X)</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SPR-AIR-PPP-006 Part XII; STR-AIR-PPP-003 executive summary; AGA-PRC-061 sourcing plan</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48% to 56% Sprinter, 51% to 60% Striker, 60.6% Gripen kit primary-source share</w:t>
            </w:r>
          </w:p>
        </w:tc>
      </w:tr>
      <w:tr>
        <w:trPr>
          <w:tblHeader w:val="false"/>
        </w:trPr>
        <w:tc>
          <w:tcPr>
            <w:tcW w:type="dxa" w:w="26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Supplier and regional geography (Part IX)</w:t>
            </w:r>
          </w:p>
        </w:tc>
        <w:tc>
          <w:tcPr>
            <w:tcW w:type="dxa" w:w="33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All three packages, supplier directories</w:t>
            </w:r>
          </w:p>
        </w:tc>
        <w:tc>
          <w:tcPr>
            <w:tcW w:type="dxa" w:w="33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Named plants and their workshare lines</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Sustainment economics (Part XII)</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SPR-AIR-PPP-006 Part X; STR-AIR-PPP-003 Part X; AGA-PRC-061 Part XI</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Annual sustainment formulas, pooling, turnaround and depot anchors</w:t>
            </w:r>
          </w:p>
        </w:tc>
      </w:tr>
      <w:tr>
        <w:trPr>
          <w:tblHeader w:val="false"/>
        </w:trPr>
        <w:tc>
          <w:tcPr>
            <w:tcW w:type="dxa" w:w="26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Doctrine reference</w:t>
            </w:r>
          </w:p>
        </w:tc>
        <w:tc>
          <w:tcPr>
            <w:tcW w:type="dxa" w:w="33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DCT-OD-2026-001, The Opening Doors Doctrine v6.1</w:t>
            </w:r>
          </w:p>
        </w:tc>
        <w:tc>
          <w:tcPr>
            <w:tcW w:type="dxa" w:w="33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Fleet roles and teaming construct only; no doctrine pricing</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Economic method</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The Economic Northern Horizon Outlook (ECD-ARCTIC-2026-001, June 2026)</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Multiplier set, tax model, regional mapping, export scenario architecture, F-35 counterfactual framing</w:t>
            </w:r>
          </w:p>
        </w:tc>
      </w:tr>
    </w:tbl>
    <w:p>
      <w:pPr>
        <w:pStyle w:val="Heading1"/>
        <w:pBdr>
          <w:bottom w:val="single" w:color="C9A227" w:sz="8" w:space="4"/>
        </w:pBdr>
        <w:spacing w:after="180" w:before="360"/>
      </w:pPr>
      <w:r>
        <w:rPr>
          <w:rFonts w:ascii="Georgia" w:cs="Georgia" w:eastAsia="SimSun" w:hAnsi="Georgia"/>
          <w:b/>
          <w:bCs/>
          <w:color w:val="1F3A5F"/>
          <w:sz w:val="32"/>
          <w:szCs w:val="32"/>
        </w:rPr>
        <w:t xml:space="preserve">Appendix D. Sources and Bibliography</w:t>
      </w:r>
    </w:p>
    <w:p>
      <w:pPr>
        <w:spacing w:after="140" w:line="300"/>
      </w:pPr>
      <w:r>
        <w:rPr>
          <w:rFonts w:ascii="Georgia" w:cs="Georgia" w:eastAsia="SimSun" w:hAnsi="Georgia"/>
          <w:sz w:val="22"/>
          <w:szCs w:val="22"/>
        </w:rPr>
        <w:t xml:space="preserve">Programme sources: The Optimal Sprinter Procurement Package v6.1 (SPR-AIR-PPP-006, 2026-09-06); The Optimal Striker Procurement Package v6.1 (STR-AIR-PPP-003, 2026-09-06); The Optimal Arctic Gripen Augmentation Procurement Package v6.1 (AGA-PRC-061, 2026-09-06); The Optimal Sprinter Technical Specifications v6.1; The Optimal Striker Technical Specifications v6.1; The Optimal Arctic Gripen Augmentation Specifications v6.1 (AGA-CDN-CDR80-002); The Opening Doors Doctrine v6.1 (DCT-OD-2026-001); The Optimal Economic Outlook for the Northern Horizon Program v6.1 (ECD-NHZN-2026-005).</w:t>
      </w:r>
    </w:p>
    <w:p>
      <w:pPr>
        <w:spacing w:after="140" w:line="300"/>
      </w:pPr>
      <w:r>
        <w:rPr>
          <w:rFonts w:ascii="Georgia" w:cs="Georgia" w:eastAsia="SimSun" w:hAnsi="Georgia"/>
          <w:sz w:val="22"/>
          <w:szCs w:val="22"/>
        </w:rPr>
        <w:t xml:space="preserve">Reference documents: The Economic Northern Horizon Outlook (ECD-ARCTIC-2026-001, Final, June 2026); The Optimal Economic Deep Dive of the Northern Horizon v5.0; The Opening Doors Doctrine v5.0.</w:t>
      </w:r>
    </w:p>
    <w:p>
      <w:pPr>
        <w:spacing w:after="140" w:line="300"/>
      </w:pPr>
      <w:r>
        <w:rPr>
          <w:rFonts w:ascii="Georgia" w:cs="Georgia" w:eastAsia="SimSun" w:hAnsi="Georgia"/>
          <w:sz w:val="22"/>
          <w:szCs w:val="22"/>
        </w:rPr>
        <w:t xml:space="preserve">External parameters: Innovation, Science and Economic Development Canada, State of Canada's Aerospace Industry 2024 (multiplier set: 0.88x indirect and 0.55x induced employment; 0.72x indirect and 0.47x induced GDP; 2.19x combined GDP); Office of the Auditor General of Canada, Delivering Canada's Future Fighter Jet Capability, 2025 (C$27.8B for 88 F-35A aircraft); PwC Canada, Bombardier Economic Footprint 2024-2029, September 2025; Bank of Canada planning rate 1.35 CAD/USD.</w:t>
      </w:r>
    </w:p>
    <w:p>
      <w:pPr>
        <w:spacing w:after="140" w:line="300"/>
      </w:pPr>
      <w:r>
        <w:rPr>
          <w:rFonts w:ascii="Georgia" w:cs="Georgia" w:eastAsia="SimSun" w:hAnsi="Georgia"/>
          <w:sz w:val="22"/>
          <w:szCs w:val="22"/>
        </w:rPr>
        <w:t xml:space="preserve">Modelling conventions, assumptions and formulas: Appendix A of this document. Verification status of every material figure: Appendix B. Nothing in this Outlook commits funds, selects a fleet size or pre-empts the fleet acquisition RFP.</w:t>
      </w:r>
    </w:p>
    <w:p>
      <w:pPr>
        <w:spacing w:before="600"/>
        <w:jc w:val="center"/>
      </w:pPr>
      <w:r>
        <w:rPr>
          <w:rFonts w:ascii="Georgia" w:cs="Georgia" w:eastAsia="SimSun" w:hAnsi="Georgia"/>
          <w:i/>
          <w:iCs/>
          <w:color w:val="6B7F94"/>
          <w:sz w:val="16"/>
          <w:szCs w:val="16"/>
        </w:rPr>
        <w:t xml:space="preserve">The Economic Northern Horizon Outlook v6.1 · ECD-NHZN-2026-006 · UNCLASSIFIED // ECONOMIC PLANNING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Georgia" w:cs="Georgia" w:eastAsia="SimSun" w:hAnsi="Georgi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SimSun" w:hAnsi="Georgia"/>
        <w:b/>
        <w:bCs/>
        <w:color w:val="6B7F94"/>
        <w:sz w:val="16"/>
        <w:szCs w:val="16"/>
      </w:rPr>
      <w:t xml:space="preserve">The Economic Northern Horizon Outlook v6.1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60"/>
    </w:pPr>
    <w:rPr>
      <w:rFonts w:ascii="Georgia" w:cs="Georgia" w:eastAsia="SimSun" w:hAnsi="Georgia"/>
      <w:sz w:val="20"/>
      <w:szCs w:val="20"/>
    </w:rPr>
  </w:style>
  <w:style w:type="paragraph" w:styleId="TOC2">
    <w:name w:val="TOC 2"/>
    <w:basedOn w:val="Normal"/>
    <w:next w:val="Normal"/>
    <w:pPr>
      <w:spacing w:after="40"/>
    </w:pPr>
    <w:rPr>
      <w:rFonts w:ascii="Georgia" w:cs="Georgia" w:eastAsia="SimSun" w:hAnsi="Georgi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82701e8d48ac912d2d65eea2329e6588cd3d41.png"/><Relationship Id="rId10" Type="http://schemas.openxmlformats.org/officeDocument/2006/relationships/image" Target="media/76f4e465f75a4d1c466cdbb6a47fdebc6cd45269.png"/><Relationship Id="rId11" Type="http://schemas.openxmlformats.org/officeDocument/2006/relationships/image" Target="media/21390671745d69a3ab0744ccac5e984fdae17c29.png"/><Relationship Id="rId12" Type="http://schemas.openxmlformats.org/officeDocument/2006/relationships/image" Target="media/1b11642a935ac13cb417cc813a253ecc3f21b5c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2026-09-06T12:47:38.733Z</dcterms:created>
  <dcterms:modified xsi:type="dcterms:W3CDTF">2026-09-06T12:47:38.733Z</dcterms:modified>
</cp:coreProperties>
</file>

<file path=docProps/custom.xml><?xml version="1.0" encoding="utf-8"?>
<Properties xmlns="http://schemas.openxmlformats.org/officeDocument/2006/custom-properties" xmlns:vt="http://schemas.openxmlformats.org/officeDocument/2006/docPropsVTypes"/>
</file>