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Georgia" w:cs="Georgia" w:eastAsia="SimSun" w:hAnsi="Georgia"/>
          <w:b/>
          <w:bCs/>
          <w:color w:val="6B7F94"/>
          <w:sz w:val="16"/>
          <w:szCs w:val="16"/>
        </w:rPr>
        <w:t xml:space="preserve">UNCLASSIFIED // ECONOMIC PLANNING ANALYSIS // NOT A BUDGETARY COMMITMENT</w:t>
      </w:r>
    </w:p>
    <w:p>
      <w:pPr>
        <w:spacing w:after="1200"/>
        <w:jc w:val="center"/>
      </w:pPr>
      <w:r>
        <w:rPr>
          <w:rFonts w:ascii="Georgia" w:cs="Georgia" w:eastAsia="SimSun" w:hAnsi="Georgia"/>
          <w:color w:val="6B7F94"/>
          <w:sz w:val="20"/>
          <w:szCs w:val="20"/>
        </w:rPr>
        <w:t xml:space="preserve">CANADIAN UNMANNED COMBAT AIR SYSTEM PROGRAMME OFFICE</w:t>
      </w:r>
    </w:p>
    <w:p>
      <w:pPr>
        <w:spacing w:after="120"/>
        <w:jc w:val="center"/>
      </w:pPr>
      <w:r>
        <w:rPr>
          <w:rFonts w:ascii="Georgia" w:cs="Georgia" w:eastAsia="SimSun" w:hAnsi="Georgia"/>
          <w:b/>
          <w:bCs/>
          <w:color w:val="1F3A5F"/>
          <w:sz w:val="56"/>
          <w:szCs w:val="56"/>
        </w:rPr>
        <w:t xml:space="preserve">THE OPTIMAL GCAP DEEP DIVE</w:t>
      </w:r>
    </w:p>
    <w:p>
      <w:pPr>
        <w:spacing w:after="400"/>
        <w:jc w:val="center"/>
      </w:pPr>
      <w:r>
        <w:rPr>
          <w:rFonts w:ascii="Georgia" w:cs="Georgia" w:eastAsia="SimSun" w:hAnsi="Georgia"/>
          <w:b/>
          <w:bCs/>
          <w:color w:val="C9A227"/>
          <w:sz w:val="40"/>
          <w:szCs w:val="40"/>
        </w:rPr>
        <w:t xml:space="preserve">v6.1</w:t>
      </w:r>
    </w:p>
    <w:p>
      <w:pPr>
        <w:spacing w:after="1000"/>
        <w:jc w:val="center"/>
      </w:pPr>
      <w:r>
        <w:rPr>
          <w:rFonts w:ascii="Georgia" w:cs="Georgia" w:eastAsia="SimSun" w:hAnsi="Georgia"/>
          <w:i/>
          <w:iCs/>
          <w:color w:val="6B7F94"/>
          <w:sz w:val="24"/>
          <w:szCs w:val="24"/>
        </w:rPr>
        <w:t xml:space="preserve">Canada and the Global Combat Air Programme: From First Observer Nation to Partner, Funded by the Northern Horizon Savings Bridge</w:t>
      </w:r>
    </w:p>
    <w:p>
      <w:pPr>
        <w:spacing w:after="120"/>
        <w:jc w:val="center"/>
      </w:pPr>
      <w:r>
        <w:rPr>
          <w:rFonts w:ascii="Georgia" w:cs="Georgia" w:eastAsia="SimSun" w:hAnsi="Georgia"/>
          <w:sz w:val="20"/>
          <w:szCs w:val="20"/>
        </w:rPr>
        <w:t xml:space="preserve">ECD-NHZN-2026-006 · Issue 6.1</w:t>
      </w:r>
    </w:p>
    <w:p>
      <w:pPr>
        <w:spacing w:after="120"/>
        <w:jc w:val="center"/>
      </w:pPr>
      <w:r>
        <w:rPr>
          <w:rFonts w:ascii="Georgia" w:cs="Georgia" w:eastAsia="SimSun" w:hAnsi="Georgia"/>
          <w:sz w:val="20"/>
          <w:szCs w:val="20"/>
        </w:rPr>
        <w:t xml:space="preserve">Companion to The Economic Northern Horizon Outlook v6.1</w:t>
      </w:r>
    </w:p>
    <w:p>
      <w:pPr>
        <w:spacing w:after="120"/>
        <w:jc w:val="center"/>
      </w:pPr>
      <w:r>
        <w:rPr>
          <w:rFonts w:ascii="Georgia" w:cs="Georgia" w:eastAsia="SimSun" w:hAnsi="Georgia"/>
          <w:sz w:val="20"/>
          <w:szCs w:val="20"/>
        </w:rPr>
        <w:t xml:space="preserve">Seventeen fleet sizes explored, 10 to 72 · Analysis window 2026 to 2060</w:t>
      </w:r>
    </w:p>
    <w:p>
      <w:pPr>
        <w:spacing w:after="1400"/>
        <w:jc w:val="center"/>
      </w:pPr>
      <w:r>
        <w:rPr>
          <w:rFonts w:ascii="Georgia" w:cs="Georgia" w:eastAsia="SimSun" w:hAnsi="Georgia"/>
          <w:b/>
          <w:bCs/>
          <w:color w:val="2E7D6E"/>
          <w:sz w:val="20"/>
          <w:szCs w:val="20"/>
        </w:rPr>
        <w:t xml:space="preserve">Canada: GCAP Observer Nation since 21 July 2026</w:t>
      </w:r>
    </w:p>
    <w:p>
      <w:pPr>
        <w:spacing w:after="80"/>
        <w:jc w:val="center"/>
      </w:pPr>
      <w:r>
        <w:rPr>
          <w:rFonts w:ascii="Georgia" w:cs="Georgia" w:eastAsia="SimSun" w:hAnsi="Georgia"/>
          <w:b/>
          <w:bCs/>
          <w:color w:val="6B7F94"/>
          <w:sz w:val="16"/>
          <w:szCs w:val="16"/>
        </w:rPr>
        <w:t xml:space="preserve">PREPARED FOR</w:t>
      </w:r>
    </w:p>
    <w:p>
      <w:pPr>
        <w:spacing w:after="240"/>
        <w:jc w:val="center"/>
      </w:pPr>
      <w:r>
        <w:rPr>
          <w:rFonts w:ascii="Georgia" w:cs="Georgia" w:eastAsia="SimSun" w:hAnsi="Georgia"/>
          <w:sz w:val="20"/>
          <w:szCs w:val="20"/>
        </w:rPr>
        <w:t xml:space="preserve">Future Fighter Capability Project · Assistant Deputy Minister (Materiel)</w:t>
      </w:r>
    </w:p>
    <w:p>
      <w:pPr>
        <w:spacing w:after="80"/>
        <w:jc w:val="center"/>
      </w:pPr>
      <w:r>
        <w:rPr>
          <w:rFonts w:ascii="Georgia" w:cs="Georgia" w:eastAsia="SimSun" w:hAnsi="Georgia"/>
          <w:b/>
          <w:bCs/>
          <w:color w:val="6B7F94"/>
          <w:sz w:val="16"/>
          <w:szCs w:val="16"/>
        </w:rPr>
        <w:t xml:space="preserve">PREPARED BY</w:t>
      </w:r>
    </w:p>
    <w:p>
      <w:pPr>
        <w:spacing w:after="240"/>
        <w:jc w:val="center"/>
      </w:pPr>
      <w:r>
        <w:rPr>
          <w:rFonts w:ascii="Georgia" w:cs="Georgia" w:eastAsia="SimSun" w:hAnsi="Georgia"/>
          <w:sz w:val="20"/>
          <w:szCs w:val="20"/>
        </w:rPr>
        <w:t xml:space="preserve">Defence Industrial Economics Directorate</w:t>
      </w:r>
    </w:p>
    <w:p>
      <w:pPr>
        <w:spacing w:after="80"/>
        <w:jc w:val="center"/>
      </w:pPr>
      <w:r>
        <w:rPr>
          <w:rFonts w:ascii="Georgia" w:cs="Georgia" w:eastAsia="SimSun" w:hAnsi="Georgia"/>
          <w:color w:val="6B7F94"/>
          <w:sz w:val="18"/>
          <w:szCs w:val="18"/>
        </w:rPr>
        <w:t xml:space="preserve">Issued at Ottawa, Ontario, National Defence Headquarters</w:t>
      </w:r>
    </w:p>
    <w:p>
      <w:pPr>
        <w:spacing w:after="600"/>
        <w:jc w:val="center"/>
      </w:pPr>
      <w:r>
        <w:rPr>
          <w:rFonts w:ascii="Georgia" w:cs="Georgia" w:eastAsia="SimSun" w:hAnsi="Georgia"/>
          <w:color w:val="6B7F94"/>
          <w:sz w:val="18"/>
          <w:szCs w:val="18"/>
        </w:rPr>
        <w:t xml:space="preserve">September 2026</w:t>
      </w:r>
    </w:p>
    <w:p>
      <w:pPr>
        <w:spacing w:after="120"/>
        <w:jc w:val="center"/>
      </w:pPr>
      <w:r>
        <w:rPr>
          <w:rFonts w:ascii="Georgia" w:cs="Georgia" w:eastAsia="SimSun" w:hAnsi="Georgia"/>
          <w:i/>
          <w:iCs/>
          <w:color w:val="6B7F94"/>
          <w:sz w:val="16"/>
          <w:szCs w:val="16"/>
        </w:rPr>
        <w:t xml:space="preserve">This document is an economic planning analysis, not a budgetary commitment. GCAP programme facts cite published 2026 sources; Northern Horizon figures derive from the governing v6.1 procurement packages. The verification status of every material figure appears in Appendix C.</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Document Control</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600"/>
        <w:gridCol w:w="6760"/>
      </w:tblGrid>
      <w:tr>
        <w:trPr>
          <w:tblHeader/>
        </w:trPr>
        <w:tc>
          <w:tcPr>
            <w:tcW w:type="dxa" w:w="26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Field</w:t>
            </w:r>
          </w:p>
        </w:tc>
        <w:tc>
          <w:tcPr>
            <w:tcW w:type="dxa" w:w="67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6"/>
                <w:szCs w:val="16"/>
              </w:rPr>
              <w:t xml:space="preserve">Controlled value</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Document</w:t>
            </w:r>
          </w:p>
        </w:tc>
        <w:tc>
          <w:tcPr>
            <w:tcW w:type="dxa" w:w="67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The Optimal GCAP Deep Dive v6.1</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Document number</w:t>
            </w:r>
          </w:p>
        </w:tc>
        <w:tc>
          <w:tcPr>
            <w:tcW w:type="dxa" w:w="67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ECD-NHZN-2026-006, Issue 6.1</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Supersedes</w:t>
            </w:r>
          </w:p>
        </w:tc>
        <w:tc>
          <w:tcPr>
            <w:tcW w:type="dxa" w:w="67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CDR-ECON-2026-001 (June 2026); ECD-NHZN-2026-005 v5.0 (September 2026)</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Companion documents</w:t>
            </w:r>
          </w:p>
        </w:tc>
        <w:tc>
          <w:tcPr>
            <w:tcW w:type="dxa" w:w="67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The Economic Northern Horizon Outlook v6.1; SPR-AIR-PPP-006; STR-AIR-PPP-003; AGA-PRC-061</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Currency</w:t>
            </w:r>
          </w:p>
        </w:tc>
        <w:tc>
          <w:tcPr>
            <w:tcW w:type="dxa" w:w="67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2026 CAD unless noted; planning rates US$1 = C$1.35, EUR 1 = C$1.60, GBP 1 = C$1.85</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Status</w:t>
            </w:r>
          </w:p>
        </w:tc>
        <w:tc>
          <w:tcPr>
            <w:tcW w:type="dxa" w:w="67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Economic planning analysis, not a budgetary commitment</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Verification</w:t>
            </w:r>
          </w:p>
        </w:tc>
        <w:tc>
          <w:tcPr>
            <w:tcW w:type="dxa" w:w="67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PACKAGE / VERIFIED / CALCULATED / ESTIMATE / CARRIED (Appendix C)</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Issue date</w:t>
            </w:r>
          </w:p>
        </w:tc>
        <w:tc>
          <w:tcPr>
            <w:tcW w:type="dxa" w:w="67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6"/>
                <w:szCs w:val="16"/>
              </w:rPr>
              <w:t xml:space="preserve">September 2026</w:t>
            </w:r>
          </w:p>
        </w:tc>
      </w:tr>
    </w:tbl>
    <w:p>
      <w:pPr>
        <w:spacing w:after="140" w:line="300"/>
      </w:pPr>
      <w:r>
        <w:rPr>
          <w:rFonts w:ascii="Georgia" w:cs="Georgia" w:eastAsia="SimSun" w:hAnsi="Georgia"/>
          <w:sz w:val="22"/>
          <w:szCs w:val="22"/>
        </w:rPr>
        <w:t xml:space="preserve"/>
      </w:r>
    </w:p>
    <w:p>
      <w:pPr>
        <w:pStyle w:val="Heading1"/>
        <w:pBdr>
          <w:bottom w:val="single" w:color="C9A227" w:sz="8" w:space="4"/>
        </w:pBdr>
        <w:spacing w:after="180" w:before="360"/>
      </w:pPr>
      <w:r>
        <w:rPr>
          <w:rFonts w:ascii="Georgia" w:cs="Georgia" w:eastAsia="SimSun" w:hAnsi="Georgia"/>
          <w:b/>
          <w:bCs/>
          <w:color w:val="1F3A5F"/>
          <w:sz w:val="32"/>
          <w:szCs w:val="32"/>
        </w:rPr>
        <w:t xml:space="preserve">Table of Contents</w:t>
      </w:r>
    </w:p>
    <w:sdt xmlns:w="http://schemas.openxmlformats.org/wordprocessingml/2006/main">
      <w:sdtPr>
        <w:alias w:val="Contents"/>
      </w:sdtPr>
      <w:sdtContent>
        <w:p>
          <w:r>
            <w:fldChar w:fldCharType="begin" w:dirty="true"/>
            <w:instrText xml:space="preserve"> TOC \o "1-3" \h \z \u </w:instrText>
            <w:fldChar w:fldCharType="separate"/>
          </w:r>
        </w:p>
        <w:p>
          <w:pPr>
            <w:pStyle w:val="TOC1"/>
            <w:tabs>
              <w:tab w:val="right" w:leader="dot" w:pos="9000"/>
            </w:tabs>
            <w:ind w:left="0"/>
          </w:pPr>
          <w:r>
            <w:t>Executive Summary</w:t>
          </w:r>
          <w:r>
            <w:tab/>
          </w:r>
          <w:r>
            <w:t>4</w:t>
          </w:r>
        </w:p>
        <w:p>
          <w:pPr>
            <w:pStyle w:val="TOC1"/>
            <w:tabs>
              <w:tab w:val="right" w:leader="dot" w:pos="9000"/>
            </w:tabs>
            <w:ind w:left="0"/>
          </w:pPr>
          <w:r>
            <w:t>Part I. Introduction and Background</w:t>
          </w:r>
          <w:r>
            <w:tab/>
          </w:r>
          <w:r>
            <w:t>6</w:t>
          </w:r>
        </w:p>
        <w:p>
          <w:pPr>
            <w:pStyle w:val="TOC2"/>
            <w:tabs>
              <w:tab w:val="right" w:leader="dot" w:pos="9000"/>
            </w:tabs>
            <w:ind w:left="360"/>
          </w:pPr>
          <w:r>
            <w:t>1.1 What GCAP Is: The Programme as of September 2026</w:t>
          </w:r>
          <w:r>
            <w:tab/>
          </w:r>
          <w:r>
            <w:t>6</w:t>
          </w:r>
        </w:p>
        <w:p>
          <w:pPr>
            <w:pStyle w:val="TOC2"/>
            <w:tabs>
              <w:tab w:val="right" w:leader="dot" w:pos="9000"/>
            </w:tabs>
            <w:ind w:left="360"/>
          </w:pPr>
          <w:r>
            <w:t>1.2 Canada's Position: First Observer Nation</w:t>
          </w:r>
          <w:r>
            <w:tab/>
          </w:r>
          <w:r>
            <w:t>7</w:t>
          </w:r>
        </w:p>
        <w:p>
          <w:pPr>
            <w:pStyle w:val="TOC2"/>
            <w:tabs>
              <w:tab w:val="right" w:leader="dot" w:pos="9000"/>
            </w:tabs>
            <w:ind w:left="360"/>
          </w:pPr>
          <w:r>
            <w:t>1.3 The v6.1 Restatement</w:t>
          </w:r>
          <w:r>
            <w:tab/>
          </w:r>
          <w:r>
            <w:t>8</w:t>
          </w:r>
        </w:p>
        <w:p>
          <w:pPr>
            <w:pStyle w:val="TOC2"/>
            <w:tabs>
              <w:tab w:val="right" w:leader="dot" w:pos="9000"/>
            </w:tabs>
            <w:ind w:left="360"/>
          </w:pPr>
          <w:r>
            <w:t>1.4 Methodology, Conventions and Verification Tags</w:t>
          </w:r>
          <w:r>
            <w:tab/>
          </w:r>
          <w:r>
            <w:t>8</w:t>
          </w:r>
        </w:p>
        <w:p>
          <w:pPr>
            <w:pStyle w:val="TOC1"/>
            <w:tabs>
              <w:tab w:val="right" w:leader="dot" w:pos="9000"/>
            </w:tabs>
            <w:ind w:left="0"/>
          </w:pPr>
          <w:r>
            <w:t>Part II. The Integration Pathway: From Observer to Partner</w:t>
          </w:r>
          <w:r>
            <w:tab/>
          </w:r>
          <w:r>
            <w:t>9</w:t>
          </w:r>
        </w:p>
        <w:p>
          <w:pPr>
            <w:pStyle w:val="TOC2"/>
            <w:tabs>
              <w:tab w:val="right" w:leader="dot" w:pos="9000"/>
            </w:tabs>
            <w:ind w:left="360"/>
          </w:pPr>
          <w:r>
            <w:t>2.1 The Phased Accession Model</w:t>
          </w:r>
          <w:r>
            <w:tab/>
          </w:r>
          <w:r>
            <w:t>9</w:t>
          </w:r>
        </w:p>
        <w:p>
          <w:pPr>
            <w:pStyle w:val="TOC2"/>
            <w:tabs>
              <w:tab w:val="right" w:leader="dot" w:pos="9000"/>
            </w:tabs>
            <w:ind w:left="360"/>
          </w:pPr>
          <w:r>
            <w:t>2.2 The Six-Work-Package Bid Portfolio</w:t>
          </w:r>
          <w:r>
            <w:tab/>
          </w:r>
          <w:r>
            <w:t>10</w:t>
          </w:r>
        </w:p>
        <w:p>
          <w:pPr>
            <w:pStyle w:val="TOC2"/>
            <w:tabs>
              <w:tab w:val="right" w:leader="dot" w:pos="9000"/>
            </w:tabs>
            <w:ind w:left="360"/>
          </w:pPr>
          <w:r>
            <w:t>2.3 Institutional Integration</w:t>
          </w:r>
          <w:r>
            <w:tab/>
          </w:r>
          <w:r>
            <w:t>11</w:t>
          </w:r>
        </w:p>
        <w:p>
          <w:pPr>
            <w:pStyle w:val="TOC2"/>
            <w:tabs>
              <w:tab w:val="right" w:leader="dot" w:pos="9000"/>
            </w:tabs>
            <w:ind w:left="360"/>
          </w:pPr>
          <w:r>
            <w:t>2.4 Intellectual Property and Design Authority</w:t>
          </w:r>
          <w:r>
            <w:tab/>
          </w:r>
          <w:r>
            <w:t>11</w:t>
          </w:r>
        </w:p>
        <w:p>
          <w:pPr>
            <w:pStyle w:val="TOC2"/>
            <w:tabs>
              <w:tab w:val="right" w:leader="dot" w:pos="9000"/>
            </w:tabs>
            <w:ind w:left="360"/>
          </w:pPr>
          <w:r>
            <w:t>2.5 Security, Interoperability and the NORAD Question</w:t>
          </w:r>
          <w:r>
            <w:tab/>
          </w:r>
          <w:r>
            <w:t>12</w:t>
          </w:r>
        </w:p>
        <w:p>
          <w:pPr>
            <w:pStyle w:val="TOC2"/>
            <w:tabs>
              <w:tab w:val="right" w:leader="dot" w:pos="9000"/>
            </w:tabs>
            <w:ind w:left="360"/>
          </w:pPr>
          <w:r>
            <w:t>2.6 Accession Timeline and Milestones</w:t>
          </w:r>
          <w:r>
            <w:tab/>
          </w:r>
          <w:r>
            <w:t>12</w:t>
          </w:r>
        </w:p>
        <w:p>
          <w:pPr>
            <w:pStyle w:val="TOC1"/>
            <w:tabs>
              <w:tab w:val="right" w:leader="dot" w:pos="9000"/>
            </w:tabs>
            <w:ind w:left="0"/>
          </w:pPr>
          <w:r>
            <w:t>Part III. The Funding Bridge</w:t>
          </w:r>
          <w:r>
            <w:tab/>
          </w:r>
          <w:r>
            <w:t>13</w:t>
          </w:r>
        </w:p>
        <w:p>
          <w:pPr>
            <w:pStyle w:val="TOC2"/>
            <w:tabs>
              <w:tab w:val="right" w:leader="dot" w:pos="9000"/>
            </w:tabs>
            <w:ind w:left="360"/>
          </w:pPr>
          <w:r>
            <w:t>3.1 Bridge Arithmetic at Seventeen Fleet Sizes</w:t>
          </w:r>
          <w:r>
            <w:tab/>
          </w:r>
          <w:r>
            <w:t>13</w:t>
          </w:r>
        </w:p>
        <w:p>
          <w:pPr>
            <w:pStyle w:val="TOC2"/>
            <w:tabs>
              <w:tab w:val="right" w:leader="dot" w:pos="9000"/>
            </w:tabs>
            <w:ind w:left="360"/>
          </w:pPr>
          <w:r>
            <w:t>3.2 Allocation of the Savings</w:t>
          </w:r>
          <w:r>
            <w:tab/>
          </w:r>
          <w:r>
            <w:t>15</w:t>
          </w:r>
        </w:p>
        <w:p>
          <w:pPr>
            <w:pStyle w:val="TOC2"/>
            <w:tabs>
              <w:tab w:val="right" w:leader="dot" w:pos="9000"/>
            </w:tabs>
            <w:ind w:left="360"/>
          </w:pPr>
          <w:r>
            <w:t>3.3 Headroom Reconciliation</w:t>
          </w:r>
          <w:r>
            <w:tab/>
          </w:r>
          <w:r>
            <w:t>15</w:t>
          </w:r>
        </w:p>
        <w:p>
          <w:pPr>
            <w:pStyle w:val="TOC1"/>
            <w:tabs>
              <w:tab w:val="right" w:leader="dot" w:pos="9000"/>
            </w:tabs>
            <w:ind w:left="0"/>
          </w:pPr>
          <w:r>
            <w:t>Part IV. GCAP Entry Cost and the Tier 2 Question</w:t>
          </w:r>
          <w:r>
            <w:tab/>
          </w:r>
          <w:r>
            <w:t>16</w:t>
          </w:r>
        </w:p>
        <w:p>
          <w:pPr>
            <w:pStyle w:val="TOC2"/>
            <w:tabs>
              <w:tab w:val="right" w:leader="dot" w:pos="9000"/>
            </w:tabs>
            <w:ind w:left="360"/>
          </w:pPr>
          <w:r>
            <w:t>4.1 What Entry Costs: Three Anchors</w:t>
          </w:r>
          <w:r>
            <w:tab/>
          </w:r>
          <w:r>
            <w:t>16</w:t>
          </w:r>
        </w:p>
        <w:p>
          <w:pPr>
            <w:pStyle w:val="TOC2"/>
            <w:tabs>
              <w:tab w:val="right" w:leader="dot" w:pos="9000"/>
            </w:tabs>
            <w:ind w:left="360"/>
          </w:pPr>
          <w:r>
            <w:t>4.2 The Tranche Design</w:t>
          </w:r>
          <w:r>
            <w:tab/>
          </w:r>
          <w:r>
            <w:t>17</w:t>
          </w:r>
        </w:p>
        <w:p>
          <w:pPr>
            <w:pStyle w:val="TOC2"/>
            <w:tabs>
              <w:tab w:val="right" w:leader="dot" w:pos="9000"/>
            </w:tabs>
            <w:ind w:left="360"/>
          </w:pPr>
          <w:r>
            <w:t>4.3 Return on the Entry Investment</w:t>
          </w:r>
          <w:r>
            <w:tab/>
          </w:r>
          <w:r>
            <w:t>17</w:t>
          </w:r>
        </w:p>
        <w:p>
          <w:pPr>
            <w:pStyle w:val="TOC1"/>
            <w:tabs>
              <w:tab w:val="right" w:leader="dot" w:pos="9000"/>
            </w:tabs>
            <w:ind w:left="0"/>
          </w:pPr>
          <w:r>
            <w:t>Part V. Tempest Fleet Acquisition at Seventeen Fleet Sizes</w:t>
          </w:r>
          <w:r>
            <w:tab/>
          </w:r>
          <w:r>
            <w:t>18</w:t>
          </w:r>
        </w:p>
        <w:p>
          <w:pPr>
            <w:pStyle w:val="TOC2"/>
            <w:tabs>
              <w:tab w:val="right" w:leader="dot" w:pos="9000"/>
            </w:tabs>
            <w:ind w:left="360"/>
          </w:pPr>
          <w:r>
            <w:t>5.1 Unit Price Anchors</w:t>
          </w:r>
          <w:r>
            <w:tab/>
          </w:r>
          <w:r>
            <w:t>18</w:t>
          </w:r>
        </w:p>
        <w:p>
          <w:pPr>
            <w:pStyle w:val="TOC2"/>
            <w:tabs>
              <w:tab w:val="right" w:leader="dot" w:pos="9000"/>
            </w:tabs>
            <w:ind w:left="360"/>
          </w:pPr>
          <w:r>
            <w:t>5.2 Acquisition Cost by Fleet Size</w:t>
          </w:r>
          <w:r>
            <w:tab/>
          </w:r>
          <w:r>
            <w:t>19</w:t>
          </w:r>
        </w:p>
        <w:p>
          <w:pPr>
            <w:pStyle w:val="TOC2"/>
            <w:tabs>
              <w:tab w:val="right" w:leader="dot" w:pos="9000"/>
            </w:tabs>
            <w:ind w:left="360"/>
          </w:pPr>
          <w:r>
            <w:t>5.3 Sustainment and Lifecycle</w:t>
          </w:r>
          <w:r>
            <w:tab/>
          </w:r>
          <w:r>
            <w:t>20</w:t>
          </w:r>
        </w:p>
        <w:p>
          <w:pPr>
            <w:pStyle w:val="TOC1"/>
            <w:tabs>
              <w:tab w:val="right" w:leader="dot" w:pos="9000"/>
            </w:tabs>
            <w:ind w:left="0"/>
          </w:pPr>
          <w:r>
            <w:t>Part VI. Job Gains: The Tempest Fleet Account</w:t>
          </w:r>
          <w:r>
            <w:tab/>
          </w:r>
          <w:r>
            <w:t>21</w:t>
          </w:r>
        </w:p>
        <w:p>
          <w:pPr>
            <w:pStyle w:val="TOC2"/>
            <w:tabs>
              <w:tab w:val="right" w:leader="dot" w:pos="9000"/>
            </w:tabs>
            <w:ind w:left="360"/>
          </w:pPr>
          <w:r>
            <w:t>6.1 The Activity Build</w:t>
          </w:r>
          <w:r>
            <w:tab/>
          </w:r>
          <w:r>
            <w:t>21</w:t>
          </w:r>
        </w:p>
        <w:p>
          <w:pPr>
            <w:pStyle w:val="TOC2"/>
            <w:tabs>
              <w:tab w:val="right" w:leader="dot" w:pos="9000"/>
            </w:tabs>
            <w:ind w:left="360"/>
          </w:pPr>
          <w:r>
            <w:t>6.2 Employment by Fleet Size</w:t>
          </w:r>
          <w:r>
            <w:tab/>
          </w:r>
          <w:r>
            <w:t>22</w:t>
          </w:r>
        </w:p>
        <w:p>
          <w:pPr>
            <w:pStyle w:val="TOC2"/>
            <w:tabs>
              <w:tab w:val="right" w:leader="dot" w:pos="9000"/>
            </w:tabs>
            <w:ind w:left="360"/>
          </w:pPr>
          <w:r>
            <w:t>6.3 Regional Distribution</w:t>
          </w:r>
          <w:r>
            <w:tab/>
          </w:r>
          <w:r>
            <w:t>23</w:t>
          </w:r>
        </w:p>
        <w:p>
          <w:pPr>
            <w:pStyle w:val="TOC2"/>
            <w:tabs>
              <w:tab w:val="right" w:leader="dot" w:pos="9000"/>
            </w:tabs>
            <w:ind w:left="360"/>
          </w:pPr>
          <w:r>
            <w:t>6.4 Floor and Base: The Content-Scaling Choice</w:t>
          </w:r>
          <w:r>
            <w:tab/>
          </w:r>
          <w:r>
            <w:t>24</w:t>
          </w:r>
        </w:p>
        <w:p>
          <w:pPr>
            <w:pStyle w:val="TOC1"/>
            <w:tabs>
              <w:tab w:val="right" w:leader="dot" w:pos="9000"/>
            </w:tabs>
            <w:ind w:left="0"/>
          </w:pPr>
          <w:r>
            <w:t>Part VII. Job Gains: The Programme Side</w:t>
          </w:r>
          <w:r>
            <w:tab/>
          </w:r>
          <w:r>
            <w:t>25</w:t>
          </w:r>
        </w:p>
        <w:p>
          <w:pPr>
            <w:pStyle w:val="TOC2"/>
            <w:tabs>
              <w:tab w:val="right" w:leader="dot" w:pos="9000"/>
            </w:tabs>
            <w:ind w:left="360"/>
          </w:pPr>
          <w:r>
            <w:t>7.1 Employment by Phase</w:t>
          </w:r>
          <w:r>
            <w:tab/>
          </w:r>
          <w:r>
            <w:t>25</w:t>
          </w:r>
        </w:p>
        <w:p>
          <w:pPr>
            <w:pStyle w:val="TOC2"/>
            <w:tabs>
              <w:tab w:val="right" w:leader="dot" w:pos="9000"/>
            </w:tabs>
            <w:ind w:left="360"/>
          </w:pPr>
          <w:r>
            <w:t>7.2 The Ramp and the Handoff</w:t>
          </w:r>
          <w:r>
            <w:tab/>
          </w:r>
          <w:r>
            <w:t>26</w:t>
          </w:r>
        </w:p>
        <w:p>
          <w:pPr>
            <w:pStyle w:val="TOC2"/>
            <w:tabs>
              <w:tab w:val="right" w:leader="dot" w:pos="9000"/>
            </w:tabs>
            <w:ind w:left="360"/>
          </w:pPr>
          <w:r>
            <w:t>7.3 Occupational Mix</w:t>
          </w:r>
          <w:r>
            <w:tab/>
          </w:r>
          <w:r>
            <w:t>27</w:t>
          </w:r>
        </w:p>
        <w:p>
          <w:pPr>
            <w:pStyle w:val="TOC2"/>
            <w:tabs>
              <w:tab w:val="right" w:leader="dot" w:pos="9000"/>
            </w:tabs>
            <w:ind w:left="360"/>
          </w:pPr>
          <w:r>
            <w:t>7.4 Comparison to Alternative Paths</w:t>
          </w:r>
          <w:r>
            <w:tab/>
          </w:r>
          <w:r>
            <w:t>27</w:t>
          </w:r>
        </w:p>
        <w:p>
          <w:pPr>
            <w:pStyle w:val="TOC1"/>
            <w:tabs>
              <w:tab w:val="right" w:leader="dot" w:pos="9000"/>
            </w:tabs>
            <w:ind w:left="0"/>
          </w:pPr>
          <w:r>
            <w:t>Part VIII. The Whole Stack: Combined Employment</w:t>
          </w:r>
          <w:r>
            <w:tab/>
          </w:r>
          <w:r>
            <w:t>28</w:t>
          </w:r>
        </w:p>
        <w:p>
          <w:pPr>
            <w:pStyle w:val="TOC1"/>
            <w:tabs>
              <w:tab w:val="right" w:leader="dot" w:pos="9000"/>
            </w:tabs>
            <w:ind w:left="0"/>
          </w:pPr>
          <w:r>
            <w:t>Part IX. GDP Contribution and Economic Growth</w:t>
          </w:r>
          <w:r>
            <w:tab/>
          </w:r>
          <w:r>
            <w:t>30</w:t>
          </w:r>
        </w:p>
        <w:p>
          <w:pPr>
            <w:pStyle w:val="TOC1"/>
            <w:tabs>
              <w:tab w:val="right" w:leader="dot" w:pos="9000"/>
            </w:tabs>
            <w:ind w:left="0"/>
          </w:pPr>
          <w:r>
            <w:t>Part X. Supply Chain, SMEs and Spillover</w:t>
          </w:r>
          <w:r>
            <w:tab/>
          </w:r>
          <w:r>
            <w:t>32</w:t>
          </w:r>
        </w:p>
        <w:p>
          <w:pPr>
            <w:pStyle w:val="TOC1"/>
            <w:tabs>
              <w:tab w:val="right" w:leader="dot" w:pos="9000"/>
            </w:tabs>
            <w:ind w:left="0"/>
          </w:pPr>
          <w:r>
            <w:t>Part XI. Export Market Potential</w:t>
          </w:r>
          <w:r>
            <w:tab/>
          </w:r>
          <w:r>
            <w:t>34</w:t>
          </w:r>
        </w:p>
        <w:p>
          <w:pPr>
            <w:pStyle w:val="TOC1"/>
            <w:tabs>
              <w:tab w:val="right" w:leader="dot" w:pos="9000"/>
            </w:tabs>
            <w:ind w:left="0"/>
          </w:pPr>
          <w:r>
            <w:t>Part XII. Workforce Transition</w:t>
          </w:r>
          <w:r>
            <w:tab/>
          </w:r>
          <w:r>
            <w:t>36</w:t>
          </w:r>
        </w:p>
        <w:p>
          <w:pPr>
            <w:pStyle w:val="TOC1"/>
            <w:tabs>
              <w:tab w:val="right" w:leader="dot" w:pos="9000"/>
            </w:tabs>
            <w:ind w:left="0"/>
          </w:pPr>
          <w:r>
            <w:t>Part XIII. Tax Revenue and Fiscal Impact</w:t>
          </w:r>
          <w:r>
            <w:tab/>
          </w:r>
          <w:r>
            <w:t>37</w:t>
          </w:r>
        </w:p>
        <w:p>
          <w:pPr>
            <w:pStyle w:val="TOC1"/>
            <w:tabs>
              <w:tab w:val="right" w:leader="dot" w:pos="9000"/>
            </w:tabs>
            <w:ind w:left="0"/>
          </w:pPr>
          <w:r>
            <w:t>Part XIV. Economic Sovereignty Benefits</w:t>
          </w:r>
          <w:r>
            <w:tab/>
          </w:r>
          <w:r>
            <w:t>38</w:t>
          </w:r>
        </w:p>
        <w:p>
          <w:pPr>
            <w:pStyle w:val="TOC1"/>
            <w:tabs>
              <w:tab w:val="right" w:leader="dot" w:pos="9000"/>
            </w:tabs>
            <w:ind w:left="0"/>
          </w:pPr>
          <w:r>
            <w:t>Part XV. Risk Assessment and Sensitivity</w:t>
          </w:r>
          <w:r>
            <w:tab/>
          </w:r>
          <w:r>
            <w:t>40</w:t>
          </w:r>
        </w:p>
        <w:p>
          <w:pPr>
            <w:pStyle w:val="TOC1"/>
            <w:tabs>
              <w:tab w:val="right" w:leader="dot" w:pos="9000"/>
            </w:tabs>
            <w:ind w:left="0"/>
          </w:pPr>
          <w:r>
            <w:t>Part XVI. Comparative Analysis and the Fleet-Size Decision Matrix</w:t>
          </w:r>
          <w:r>
            <w:tab/>
          </w:r>
          <w:r>
            <w:t>42</w:t>
          </w:r>
        </w:p>
        <w:p>
          <w:pPr>
            <w:pStyle w:val="TOC1"/>
            <w:tabs>
              <w:tab w:val="right" w:leader="dot" w:pos="9000"/>
            </w:tabs>
            <w:ind w:left="0"/>
          </w:pPr>
          <w:r>
            <w:t>Part XVII. Conclusion and Recommendations</w:t>
          </w:r>
          <w:r>
            <w:tab/>
          </w:r>
          <w:r>
            <w:t>44</w:t>
          </w:r>
        </w:p>
        <w:p>
          <w:pPr>
            <w:pStyle w:val="TOC1"/>
            <w:tabs>
              <w:tab w:val="right" w:leader="dot" w:pos="9000"/>
            </w:tabs>
            <w:ind w:left="0"/>
          </w:pPr>
          <w:r>
            <w:t>Appendix A. Methodology and Formulas</w:t>
          </w:r>
          <w:r>
            <w:tab/>
          </w:r>
          <w:r>
            <w:t>46</w:t>
          </w:r>
        </w:p>
        <w:p>
          <w:pPr>
            <w:pStyle w:val="TOC1"/>
            <w:tabs>
              <w:tab w:val="right" w:leader="dot" w:pos="9000"/>
            </w:tabs>
            <w:ind w:left="0"/>
          </w:pPr>
          <w:r>
            <w:t>Appendix B. Sources</w:t>
          </w:r>
          <w:r>
            <w:tab/>
          </w:r>
          <w:r>
            <w:t>48</w:t>
          </w:r>
        </w:p>
        <w:p>
          <w:pPr>
            <w:pStyle w:val="TOC1"/>
            <w:tabs>
              <w:tab w:val="right" w:leader="dot" w:pos="9000"/>
            </w:tabs>
            <w:ind w:left="0"/>
          </w:pPr>
          <w:r>
            <w:t>Appendix C. Verification Status Register</w:t>
          </w:r>
          <w:r>
            <w:tab/>
          </w:r>
          <w:r>
            <w:t>49</w:t>
          </w:r>
        </w:p>
        <w:p>
          <w:r>
            <w:fldChar w:fldCharType="end"/>
          </w:r>
        </w:p>
      </w:sdtContent>
    </w:sdt>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Executive Summary</w:t>
      </w:r>
    </w:p>
    <w:p>
      <w:pPr>
        <w:spacing w:after="140" w:line="300"/>
        <w:ind w:firstLine="431"/>
      </w:pPr>
      <w:r>
        <w:rPr>
          <w:rFonts w:ascii="Georgia" w:cs="Georgia" w:eastAsia="SimSun" w:hAnsi="Georgia"/>
          <w:sz w:val="22"/>
          <w:szCs w:val="22"/>
        </w:rPr>
        <w:t xml:space="preserve">This Deep Dive quantifies the industrial and economic case for Canada to convert its Global Combat Air Programme observer status, secured on 21 July 2026 as the programme's first expansion beyond the United Kingdom, Italy and Japan, into full Tier 2 partnership in the sixth-generation Tempest combat air system. It supersedes both defunct GCAP analyses (CDR-ECON-2026-001 and the v5.0 Pathway) and restates every figure on the v6.1 procurement baselines and on programme facts verified in 2026 reporting.</w:t>
      </w:r>
    </w:p>
    <w:p>
      <w:pPr>
        <w:spacing w:after="140" w:line="300"/>
        <w:ind w:firstLine="431"/>
      </w:pPr>
      <w:r>
        <w:rPr>
          <w:rFonts w:ascii="Georgia" w:cs="Georgia" w:eastAsia="SimSun" w:hAnsi="Georgia"/>
          <w:sz w:val="22"/>
          <w:szCs w:val="22"/>
        </w:rPr>
        <w:t xml:space="preserve">The funding mechanism is the Northern Horizon savings bridge, now computed at each of the seventeen fleet sizes rather than at a single reference fleet. Against the Auditor General's C$27.7B F-35 acquisition line, the v6.1 combined acquisition of C$5.47B to C$9.52B opens a bridge of C$18.18B to C$22.23B. That bridge funds the C$3.5B phased entry tranche plus a Canadian Tempest fleet at the C$225M base planning price at every quantity through fleet size 60; fleet sizes 65 to 72 close inside the C$175M low-price band. No new money against the F-35 baseline enters the strategy at any fleet size.</w:t>
      </w:r>
    </w:p>
    <w:p>
      <w:pPr>
        <w:spacing w:after="140" w:line="300"/>
        <w:ind w:firstLine="431"/>
      </w:pPr>
      <w:r>
        <w:rPr>
          <w:rFonts w:ascii="Georgia" w:cs="Georgia" w:eastAsia="SimSun" w:hAnsi="Georgia"/>
          <w:sz w:val="22"/>
          <w:szCs w:val="22"/>
        </w:rPr>
        <w:t xml:space="preserve">The employment case now reaches far deeper than the defunct editions. The Tempest fleet account, built activity by activity from the Gripen E account of the companion Outlook at 1.5x content scaling, produces 3,028 direct jobs at fleet size 10 and 8,506 at fleet size 72, or 7,359 to 20,670 total jobs at the ISED 2024 multiplier of 2.43x. Layered on the Northern Horizon whole programme and the partner-fleet production workshare, the whole stack reaches 22,843 to 50,215 total jobs at peak overlap, against 20,630 in the reference document that started this programme of analysis. GCAP employment peaks in engineering and software where the fleet peaks in skilled trades: complementary, not competing, labour demand, and the handoff leaves no trough in the 2030s.</w:t>
      </w:r>
    </w:p>
    <w:p>
      <w:pPr>
        <w:spacing w:after="100" w:before="120"/>
        <w:jc w:val="center"/>
      </w:pPr>
      <w:r>
        <w:rPr>
          <w:rFonts w:ascii="Georgia" w:cs="Georgia" w:eastAsia="SimSun" w:hAnsi="Georgia"/>
          <w:i/>
          <w:iCs/>
          <w:color w:val="6B7F94"/>
          <w:sz w:val="18"/>
          <w:szCs w:val="18"/>
        </w:rPr>
        <w:t xml:space="preserve">Table ES-1. Key findings at a glance</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3000"/>
        <w:gridCol w:w="3180"/>
        <w:gridCol w:w="3180"/>
      </w:tblGrid>
      <w:tr>
        <w:trPr>
          <w:tblHeader/>
        </w:trPr>
        <w:tc>
          <w:tcPr>
            <w:tcW w:type="dxa" w:w="30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Key finding</w:t>
            </w:r>
          </w:p>
        </w:tc>
        <w:tc>
          <w:tcPr>
            <w:tcW w:type="dxa" w:w="31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Value</w:t>
            </w:r>
          </w:p>
        </w:tc>
        <w:tc>
          <w:tcPr>
            <w:tcW w:type="dxa" w:w="31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Verification</w:t>
            </w:r>
          </w:p>
        </w:tc>
      </w:tr>
      <w:tr>
        <w:trPr>
          <w:tblHeader w:val="false"/>
        </w:trPr>
        <w:tc>
          <w:tcPr>
            <w:tcW w:type="dxa" w:w="3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Canada's GCAP status</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Observer Nation since 21 July 2026, first expansion beyond UK, Italy, Japan</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VERIFIED (quadrilateral joint statement, London)</w:t>
            </w:r>
          </w:p>
        </w:tc>
      </w:tr>
      <w:tr>
        <w:trPr>
          <w:tblHeader w:val="false"/>
        </w:trPr>
        <w:tc>
          <w:tcPr>
            <w:tcW w:type="dxa" w:w="3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Savings bridge vs F-35 acquisition line</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C$18.18B at fleet size 72, up to C$22.23B at fleet size 10</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CALCULATED (v6.1 packages against OAG 2025)</w:t>
            </w:r>
          </w:p>
        </w:tc>
      </w:tr>
      <w:tr>
        <w:trPr>
          <w:tblHeader w:val="false"/>
        </w:trPr>
        <w:tc>
          <w:tcPr>
            <w:tcW w:type="dxa" w:w="3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GCAP entry tranche (phased, milestone-gated)</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C$3.5B (C$0.9B associate tier + C$2.6B partner tier)</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ESTIMATE (closing event: accession workshare agreement)</w:t>
            </w:r>
          </w:p>
        </w:tc>
      </w:tr>
      <w:tr>
        <w:trPr>
          <w:tblHeader w:val="false"/>
        </w:trPr>
        <w:tc>
          <w:tcPr>
            <w:tcW w:type="dxa" w:w="3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Tempest fleet acquisition, base planning price</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C$3.05B at 10 aircraft, C$11.6B at 48, C$17.0B at 72</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CALCULATED on ESTIMATE unit band C$175M to C$300M</w:t>
            </w:r>
          </w:p>
        </w:tc>
      </w:tr>
      <w:tr>
        <w:trPr>
          <w:tblHeader w:val="false"/>
        </w:trPr>
        <w:tc>
          <w:tcPr>
            <w:tcW w:type="dxa" w:w="3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Funding verdict</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Entry plus fleet fully funded inside the bridge through fleet size 60 at base price; sizes 65 to 72 fund inside the low-price band</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CALCULATED</w:t>
            </w:r>
          </w:p>
        </w:tc>
      </w:tr>
      <w:tr>
        <w:trPr>
          <w:tblHeader w:val="false"/>
        </w:trPr>
        <w:tc>
          <w:tcPr>
            <w:tcW w:type="dxa" w:w="3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Tempest fleet account direct jobs</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3,028 at fleet size 10, rising to 8,506 at fleet size 72</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CALCULATED from ESTIMATE activity build</w:t>
            </w:r>
          </w:p>
        </w:tc>
      </w:tr>
      <w:tr>
        <w:trPr>
          <w:tblHeader w:val="false"/>
        </w:trPr>
        <w:tc>
          <w:tcPr>
            <w:tcW w:type="dxa" w:w="3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Tempest fleet account total jobs</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7,359 at fleet size 10, rising to 20,670 at fleet size 72</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CALCULATED (ISED 2024 multiplier 2.43x)</w:t>
            </w:r>
          </w:p>
        </w:tc>
      </w:tr>
      <w:tr>
        <w:trPr>
          <w:tblHeader w:val="false"/>
        </w:trPr>
        <w:tc>
          <w:tcPr>
            <w:tcW w:type="dxa" w:w="3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GCAP programme-side employment at partner tier</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13,000 to 21,000 total jobs at peak</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ESTIMATE (CARRIED from v5.0, closing event: workshare agreement)</w:t>
            </w:r>
          </w:p>
        </w:tc>
      </w:tr>
      <w:tr>
        <w:trPr>
          <w:tblHeader w:val="false"/>
        </w:trPr>
        <w:tc>
          <w:tcPr>
            <w:tcW w:type="dxa" w:w="3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Whole-programme employment stack at peak overlap</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22,843 to 24,787 at fleet size 10; 48,271 to 50,215 at fleet size 72</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CALCULATED (layers phased 2027 to 2060)</w:t>
            </w:r>
          </w:p>
        </w:tc>
      </w:tr>
      <w:tr>
        <w:trPr>
          <w:tblHeader w:val="false"/>
        </w:trPr>
        <w:tc>
          <w:tcPr>
            <w:tcW w:type="dxa" w:w="3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Fleet account GDP contribution</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C$5.9B at fleet size 10, up to C$36.2B at fleet size 72</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CALCULATED on ESTIMATE capture shares (2.19x)</w:t>
            </w:r>
          </w:p>
        </w:tc>
      </w:tr>
      <w:tr>
        <w:trPr>
          <w:tblHeader w:val="false"/>
        </w:trPr>
        <w:tc>
          <w:tcPr>
            <w:tcW w:type="dxa" w:w="3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GCAP-side tax revenue</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C$1.9B to C$8.0B by fleet size, 30 to 40 percent recapture</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CALCULATED (Eurofighter recapture benchmark)</w:t>
            </w:r>
          </w:p>
        </w:tc>
      </w:tr>
      <w:tr>
        <w:trPr>
          <w:tblHeader w:val="false"/>
        </w:trPr>
        <w:tc>
          <w:tcPr>
            <w:tcW w:type="dxa" w:w="3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Return on entry investment</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2.3x conservative, 3.4x moderate, above 5x comprehensive</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ESTIMATE (CARRIED methodology)</w:t>
            </w:r>
          </w:p>
        </w:tc>
      </w:tr>
    </w:tbl>
    <w:p>
      <w:pPr>
        <w:spacing w:after="160"/>
      </w:pPr>
      <w:r>
        <w:rPr>
          <w:rFonts w:ascii="Georgia" w:cs="Georgia" w:eastAsia="SimSun" w:hAnsi="Georgia"/>
          <w:color w:val="6B7F94"/>
          <w:sz w:val="18"/>
          <w:szCs w:val="18"/>
        </w:rPr>
        <w:t xml:space="preserve">Verification tags: VERIFIED cites a published source; PACKAGE cites a v6.1 procurement package; CALCULATED derives from tagged inputs by stated arithmetic; ESTIMATE names a closing event; CARRIED restates a prior-edition figure whose basis remains valid.</w:t>
      </w:r>
    </w:p>
    <w:p>
      <w:pPr>
        <w:spacing w:after="140" w:line="300"/>
        <w:ind w:firstLine="431"/>
      </w:pPr>
      <w:r>
        <w:rPr>
          <w:rFonts w:ascii="Georgia" w:cs="Georgia" w:eastAsia="SimSun" w:hAnsi="Georgia"/>
          <w:sz w:val="22"/>
          <w:szCs w:val="22"/>
        </w:rPr>
        <w:t xml:space="preserve">The strategic logic holds exactly as the v5.0 Pathway framed it, strengthened on every load-bearing number. GCAP is the only international sixth-generation programme in funded development: the Franco-German-Spanish FCAS abandoned its joint fighter in June 2026, and the US F-47 remains unilateral. Canada's interim fleet answers the 2030s without GCAP, which is precisely what makes Canada's entry credible rather than desperate. The window, demonstrator flight test from early 2028, design-authority decisions ahead of freeze, partner demand near 350 aircraft, is open now and rewards speed.</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I. Introduction and Background</w:t>
      </w:r>
    </w:p>
    <w:p>
      <w:pPr>
        <w:pStyle w:val="Heading2"/>
        <w:spacing w:after="140" w:before="280"/>
      </w:pPr>
      <w:r>
        <w:rPr>
          <w:rFonts w:ascii="Georgia" w:cs="Georgia" w:eastAsia="SimSun" w:hAnsi="Georgia"/>
          <w:b/>
          <w:bCs/>
          <w:color w:val="1F3A5F"/>
          <w:sz w:val="26"/>
          <w:szCs w:val="26"/>
        </w:rPr>
        <w:t xml:space="preserve">1.1 What GCAP Is: The Programme as of September 2026</w:t>
      </w:r>
    </w:p>
    <w:p>
      <w:pPr>
        <w:spacing w:after="140" w:line="300"/>
        <w:ind w:firstLine="431"/>
      </w:pPr>
      <w:r>
        <w:rPr>
          <w:rFonts w:ascii="Georgia" w:cs="Georgia" w:eastAsia="SimSun" w:hAnsi="Georgia"/>
          <w:sz w:val="22"/>
          <w:szCs w:val="22"/>
        </w:rPr>
        <w:t xml:space="preserve">The Global Combat Air Programme is a trilateral initiative of the United Kingdom, Italy and Japan, launched by their leaders in December 2022 and bound by treaty in December 2023, to develop a sixth-generation combat air system centred on the Tempest fighter. It merges the UK's Team Tempest with Japan's F-X and answers to the GCAP International Government Organisation (GIGO). The system-of-systems spans the optionally-crewed fighter, collaborative combat aircraft, AI-enabled mission systems, the ISANKE &amp; ICS integrated sensor and communications suites, next-generation electronic warfare, and the ground-based command-and-control infrastructure that ties them together.</w:t>
      </w:r>
    </w:p>
    <w:p>
      <w:pPr>
        <w:spacing w:after="140" w:line="300"/>
        <w:ind w:firstLine="431"/>
      </w:pPr>
      <w:r>
        <w:rPr>
          <w:rFonts w:ascii="Georgia" w:cs="Georgia" w:eastAsia="SimSun" w:hAnsi="Georgia"/>
          <w:sz w:val="22"/>
          <w:szCs w:val="22"/>
        </w:rPr>
        <w:t xml:space="preserve">The programme matured decisively in the twelve months to September 2026. Edgewing, the BAE Systems, Leonardo and JAIEC joint venture at 33.3 percent each, launched in June 2025 as design authority for the life of the product. The G2E sensor consortium stood up in September 2025, and the engine consortium of Rolls-Royce, IHI and Avio Aero expanded in parallel. After a nine-month funding delay resolved by the UK's Defence Investment Plan of 30 June 2026 (GBP 8.6B over four years), the GCAP Agency awarded Edgewing a GBP 686M stopgap contract on 2 April 2026 and a GBP 4.6B detailed-design contract on 3 July 2026, running to 31 December 2027. The Combat Air Flying Demonstrator stands in final assembly with over 11,500 parts released, roughly 90 percent of the aircraft's weight; power-on comes at mid-2027 and flight test begins from early 2028.</w:t>
      </w:r>
    </w:p>
    <w:p>
      <w:pPr>
        <w:spacing w:after="100" w:before="120"/>
        <w:jc w:val="center"/>
      </w:pPr>
      <w:r>
        <w:rPr>
          <w:rFonts w:ascii="Georgia" w:cs="Georgia" w:eastAsia="SimSun" w:hAnsi="Georgia"/>
          <w:i/>
          <w:iCs/>
          <w:color w:val="6B7F94"/>
          <w:sz w:val="18"/>
          <w:szCs w:val="18"/>
        </w:rPr>
        <w:t xml:space="preserve">Table I-1. GCAP programme facts, verified against 2026 published sources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400"/>
        <w:gridCol w:w="3480"/>
        <w:gridCol w:w="3480"/>
      </w:tblGrid>
      <w:tr>
        <w:trPr>
          <w:tblHeader/>
        </w:trPr>
        <w:tc>
          <w:tcPr>
            <w:tcW w:type="dxa" w:w="24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Programme fact</w:t>
            </w:r>
          </w:p>
        </w:tc>
        <w:tc>
          <w:tcPr>
            <w:tcW w:type="dxa" w:w="34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Value</w:t>
            </w:r>
          </w:p>
        </w:tc>
        <w:tc>
          <w:tcPr>
            <w:tcW w:type="dxa" w:w="34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Status</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Founding partners</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United Kingdom, Italy, Japan (treaty December 2023; GIGO administers)</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Industrial vehicle</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Edgewing joint venture (BAE Systems / Leonardo / JAIEC, 33.3 percent each), launched June 2025</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Sensor consortium</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G2E (Leonardo, ELT Group, Leonardo UK, Mitsubishi Electric), stood up September 2025 for ISANKE &amp; ICS</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Engine consortium</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Rolls-Royce / IHI / Avio Aero</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Detailed-design contract</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GBP 4.6B awarded to Edgewing 3 July 2026, running to 31 December 2027; GBP 686M stopgap of 2 April 2026 preceded it</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UK funding</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GBP 8.6B over four years in the Defence Investment Plan of 30 June 2026; GBP 708M Team Tempest extension 22 July 2026</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Italian funding</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EUR 18.6B (2025 prices) for Phases 1 and 2, tripled from EUR 6B; EUR 8.8B authorized February 2026 over twelve years</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Japanese funding</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Approximately US$1B in FY2026 (JPY 160.2B line)</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Programme investment marker</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EUR 40B to 2035 and about 350 platform orders expected by 2035 (Leonardo Industrial Plan, March 2025); EUR 45B earmarked for development (Leonardo CEO, 2024)</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Demonstrator</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Over 11,500 parts released (about 90 percent of weight); power-on mid-2027; aircraft ready end-2027; flight test from early 2028</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In-service target</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2035, with Leonardo CEO guidance of possible acceleration to 2033</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Competitive field</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FCAS joint fighter abandoned June 2026; US F-47 unilateral; GCAP is the only international sixth-generation programme in funded development</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Canada's status</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First Observer Nation, admitted 21 July 2026 at the London quadrilateral; privileged access, no decision rights, no financial commitment</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Expected Canadian contribution</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Flight-simulation and training technology (CAE-led), per programme reporting at accession</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 (reporting, not yet contracted)</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Other aspirants</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Poland, Saudi Arabia, Singapore named in 2026 reporting; none holds status</w:t>
            </w:r>
          </w:p>
        </w:tc>
        <w:tc>
          <w:tcPr>
            <w:tcW w:type="dxa" w:w="34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UK employment footprint</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About 4,500 jobs and over 600 organisations on GCAP in the UK today</w:t>
            </w:r>
          </w:p>
        </w:tc>
        <w:tc>
          <w:tcPr>
            <w:tcW w:type="dxa" w:w="34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VERIFIED</w:t>
            </w:r>
          </w:p>
        </w:tc>
      </w:tr>
    </w:tbl>
    <w:p>
      <w:pPr>
        <w:spacing w:after="160"/>
      </w:pPr>
      <w:r>
        <w:rPr>
          <w:rFonts w:ascii="Georgia" w:cs="Georgia" w:eastAsia="SimSun" w:hAnsi="Georgia"/>
          <w:color w:val="6B7F94"/>
          <w:sz w:val="18"/>
          <w:szCs w:val="18"/>
        </w:rPr>
        <w:t xml:space="preserve">Sources: Appendix B. Every row cites government announcements, partner disclosures, or specialist press of 2024 to 2026; nothing in this table rests on the defunct editions.</w:t>
      </w:r>
    </w:p>
    <w:p>
      <w:pPr>
        <w:pStyle w:val="Heading2"/>
        <w:spacing w:after="140" w:before="280"/>
      </w:pPr>
      <w:r>
        <w:rPr>
          <w:rFonts w:ascii="Georgia" w:cs="Georgia" w:eastAsia="SimSun" w:hAnsi="Georgia"/>
          <w:b/>
          <w:bCs/>
          <w:color w:val="1F3A5F"/>
          <w:sz w:val="26"/>
          <w:szCs w:val="26"/>
        </w:rPr>
        <w:t xml:space="preserve">1.2 Canada's Position: First Observer Nation</w:t>
      </w:r>
    </w:p>
    <w:p>
      <w:pPr>
        <w:spacing w:after="140" w:line="300"/>
        <w:ind w:firstLine="431"/>
      </w:pPr>
      <w:r>
        <w:rPr>
          <w:rFonts w:ascii="Georgia" w:cs="Georgia" w:eastAsia="SimSun" w:hAnsi="Georgia"/>
          <w:sz w:val="22"/>
          <w:szCs w:val="22"/>
        </w:rPr>
        <w:t xml:space="preserve">Canada holds the GCAP observer seat. Following the 6 March 2026 Tokyo meeting between Minister McGuinty and Defense Minister Koizumi, the ministers of Italy, Japan, the United Kingdom and Canada met in London on 21 July 2026 and welcomed Canada as the programme's first Observer Nation, alongside the Farnborough Air Show. Observer status grants privileged access to the programme's governance, capability development, industrial framework and security requirements, with no decision rights and no financial commitment.</w:t>
      </w:r>
    </w:p>
    <w:p>
      <w:pPr>
        <w:spacing w:after="140" w:line="300"/>
        <w:ind w:firstLine="431"/>
      </w:pPr>
      <w:r>
        <w:rPr>
          <w:rFonts w:ascii="Georgia" w:cs="Georgia" w:eastAsia="SimSun" w:hAnsi="Georgia"/>
          <w:sz w:val="22"/>
          <w:szCs w:val="22"/>
        </w:rPr>
        <w:t xml:space="preserve">Three facts define the negotiating reality. First, Canada is the first and only expansion nation: Poland, Saudi Arabia and Singapore appear in 2026 reporting as aspirants, but none holds any status. Second, reporting at accession identified flight-simulation and training technology as Canada's expected contribution, a natural CAE-led entry point that Part II prices. Third, Japan has publicly resisted adding full partners during development for fear of schedule delay, so the credible pathway runs in phases: observer (secured), industrial associate with defined work packages, then partner-tier workshare as the demonstrator matures. This document prices that phased path, not an assumption of immediate full partnership.</w:t>
      </w:r>
    </w:p>
    <w:p>
      <w:pPr>
        <w:spacing w:after="140" w:line="300"/>
        <w:ind w:firstLine="431"/>
      </w:pPr>
      <w:r>
        <w:rPr>
          <w:rFonts w:ascii="Georgia" w:cs="Georgia" w:eastAsia="SimSun" w:hAnsi="Georgia"/>
          <w:sz w:val="22"/>
          <w:szCs w:val="22"/>
        </w:rPr>
        <w:t xml:space="preserve">The strategic context adds urgency. Seven decades of US-fighter dependency left Canada's combat-air industrial base atrophied; the F-35 programme's audited cost growth (up 46 percent over the 2022 figure, facilities three years behind) and the June 2026 collapse of the FCAS joint fighter leave GCAP as the only multilateral sixth-generation pathway. Canada's interim answer, the Northern Horizon v6.1 fleet, stands fully priced and scheduled independent of GCAP at every fleet size from 10 to 72, which is precisely what makes entry credible rather than desperate.</w:t>
      </w:r>
    </w:p>
    <w:p>
      <w:pPr>
        <w:pStyle w:val="Heading2"/>
        <w:spacing w:after="140" w:before="280"/>
      </w:pPr>
      <w:r>
        <w:rPr>
          <w:rFonts w:ascii="Georgia" w:cs="Georgia" w:eastAsia="SimSun" w:hAnsi="Georgia"/>
          <w:b/>
          <w:bCs/>
          <w:color w:val="1F3A5F"/>
          <w:sz w:val="26"/>
          <w:szCs w:val="26"/>
        </w:rPr>
        <w:t xml:space="preserve">1.3 The v6.1 Restatement</w:t>
      </w:r>
    </w:p>
    <w:p>
      <w:pPr>
        <w:spacing w:after="140" w:line="300"/>
        <w:ind w:firstLine="431"/>
      </w:pPr>
      <w:r>
        <w:rPr>
          <w:rFonts w:ascii="Georgia" w:cs="Georgia" w:eastAsia="SimSun" w:hAnsi="Georgia"/>
          <w:sz w:val="22"/>
          <w:szCs w:val="22"/>
        </w:rPr>
        <w:t xml:space="preserve">This issue supersedes CDR-ECON-2026-001 (June 2026) and ECD-NHZN-2026-005 (the v5.0 Pathway, 8 September 2026). Both prior editions served their purpose: the first argued the case for pursuing the observer seat, and the second priced the pathway on the v5.0 fleet baseline. The v6.1 procurement packages now govern the fleet side, and they change the economics in Canada's favour at every fleet size. Table I-2 maps the restatement.</w:t>
      </w:r>
    </w:p>
    <w:p>
      <w:pPr>
        <w:spacing w:after="100" w:before="120"/>
        <w:jc w:val="center"/>
      </w:pPr>
      <w:r>
        <w:rPr>
          <w:rFonts w:ascii="Georgia" w:cs="Georgia" w:eastAsia="SimSun" w:hAnsi="Georgia"/>
          <w:i/>
          <w:iCs/>
          <w:color w:val="6B7F94"/>
          <w:sz w:val="18"/>
          <w:szCs w:val="18"/>
        </w:rPr>
        <w:t xml:space="preserve">Table I-2. The defunct editions against this issue</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200"/>
        <w:gridCol w:w="3580"/>
        <w:gridCol w:w="3580"/>
      </w:tblGrid>
      <w:tr>
        <w:trPr>
          <w:tblHeader/>
        </w:trPr>
        <w:tc>
          <w:tcPr>
            <w:tcW w:type="dxa" w:w="22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Metric</w:t>
            </w:r>
          </w:p>
        </w:tc>
        <w:tc>
          <w:tcPr>
            <w:tcW w:type="dxa" w:w="35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v5.0 Pathway (defunct)</w:t>
            </w:r>
          </w:p>
        </w:tc>
        <w:tc>
          <w:tcPr>
            <w:tcW w:type="dxa" w:w="35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v6.1 Deep Dive (this document)</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Programme baseline</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v5.0 packages of 5 September 2026</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v6.1 packages (SPR-AIR-PPP-006, STR-AIR-PPP-003, AGA-PRC-061)</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Fleet quantities analysed</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One reference fleet (170 aircraft)</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Seventeen fleet sizes per element, 10 to 72, with quantity-specific pricing</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Savings bridge</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C$17.13B fixed</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C$18.18B to C$22.23B by fleet size</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Northern Horizon employment</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16,646 total jobs (single fleet)</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6,447 to 9,691 total (NH scope); 11,353 to 23,470 including the Gripen E account</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GCAP acquisition pricing</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Not priced; entry tranche only</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17 fleet sizes priced at a C$175M / C$225M / C$300M unit band with a 95 percent curve sensitivity</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GCAP employment</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13,000 to 21,000 total at peak (phase ranges)</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Adds the fleet-scaled Tempest account: 3,028 to 8,506 direct, 7,359 to 20,670 total, reconciled regionally</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Funding verdict</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C$3.5B tranche inside the bridge</w:t>
            </w:r>
          </w:p>
        </w:tc>
        <w:tc>
          <w:tcPr>
            <w:tcW w:type="dxa" w:w="3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Entry plus base-price fleet fully funded through fleet size 60; 65 to 72 funded at the low anchor</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Observer status</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Reported as anticipated</w:t>
            </w:r>
          </w:p>
        </w:tc>
        <w:tc>
          <w:tcPr>
            <w:tcW w:type="dxa" w:w="3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Secured 21 July 2026 (VERIFIED), first expansion nation</w:t>
            </w:r>
          </w:p>
        </w:tc>
      </w:tr>
    </w:tbl>
    <w:p>
      <w:pPr>
        <w:pStyle w:val="Heading2"/>
        <w:spacing w:after="140" w:before="280"/>
      </w:pPr>
      <w:r>
        <w:rPr>
          <w:rFonts w:ascii="Georgia" w:cs="Georgia" w:eastAsia="SimSun" w:hAnsi="Georgia"/>
          <w:b/>
          <w:bCs/>
          <w:color w:val="1F3A5F"/>
          <w:sz w:val="26"/>
          <w:szCs w:val="26"/>
        </w:rPr>
        <w:t xml:space="preserve">1.4 Methodology, Conventions and Verification Tags</w:t>
      </w:r>
    </w:p>
    <w:p>
      <w:pPr>
        <w:spacing w:after="140" w:line="300"/>
        <w:ind w:firstLine="431"/>
      </w:pPr>
      <w:r>
        <w:rPr>
          <w:rFonts w:ascii="Georgia" w:cs="Georgia" w:eastAsia="SimSun" w:hAnsi="Georgia"/>
          <w:sz w:val="22"/>
          <w:szCs w:val="22"/>
        </w:rPr>
        <w:t xml:space="preserve">Northern Horizon figures trace to the v6.1 packages and the companion Outlook without remainder: combined acquisition, Canadian capture, employment, GDP, tax and lifecycle at each of the seventeen fleet sizes. GCAP programme facts cite published 2026 sources (Appendix B). GCAP-side projections carry ESTIMATE tags with named closing events, because Canada's workshare remains unnegotiated; where this document builds a fleet-scaled figure, it states the formula in Appendix A and tags the result CALCULATED on ESTIMATE.</w:t>
      </w:r>
    </w:p>
    <w:p>
      <w:pPr>
        <w:spacing w:after="140" w:line="300"/>
        <w:ind w:firstLine="431"/>
      </w:pPr>
      <w:r>
        <w:rPr>
          <w:rFonts w:ascii="Georgia" w:cs="Georgia" w:eastAsia="SimSun" w:hAnsi="Georgia"/>
          <w:sz w:val="22"/>
          <w:szCs w:val="22"/>
        </w:rPr>
        <w:t xml:space="preserve">Conventions. Currency is 2026 CAD; planning exchange rates stand at US$1 = C$1.35, EUR 1 = C$1.60, GBP 1 = C$1.85. The fleet-size axis runs N = 10, 15, 20, 25, 28, 30, 35, 38, 40, 45, 50, 55, 58, 60, 65, 70, 72, matching the companion Outlook. Each row pairs a Northern Horizon fleet of N elements of each type with a sixth-generation fleet of N Tempest aircraft, one coherent quantity decision per row. Employment multipliers follow ISED 2024: indirect 0.88x, induced 0.55x, total 2.43x; GDP follows 1.00x direct, 0.72x indirect, 0.47x induced, total 2.19x.</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II. The Integration Pathway: From Observer to Partner</w:t>
      </w:r>
    </w:p>
    <w:p>
      <w:pPr>
        <w:spacing w:after="140" w:line="300"/>
        <w:ind w:firstLine="431"/>
      </w:pPr>
      <w:r>
        <w:rPr>
          <w:rFonts w:ascii="Georgia" w:cs="Georgia" w:eastAsia="SimSun" w:hAnsi="Georgia"/>
          <w:sz w:val="22"/>
          <w:szCs w:val="22"/>
        </w:rPr>
        <w:t xml:space="preserve">This part specifies how Canada converts a seat in the gallery into a share of the programme: the accession phases, the work packages Canada bids for, the institutions Canadians occupy, the intellectual-property terms that make participation sovereign rather than decorative, and the milestone calendar against which the C$3.5B tranche releases. Japan's schedule concern shapes the whole design: every Canadian deliverable accelerates the programme rather than burdening it.</w:t>
      </w:r>
    </w:p>
    <w:p>
      <w:pPr>
        <w:pStyle w:val="Heading2"/>
        <w:spacing w:after="140" w:before="280"/>
      </w:pPr>
      <w:r>
        <w:rPr>
          <w:rFonts w:ascii="Georgia" w:cs="Georgia" w:eastAsia="SimSun" w:hAnsi="Georgia"/>
          <w:b/>
          <w:bCs/>
          <w:color w:val="1F3A5F"/>
          <w:sz w:val="26"/>
          <w:szCs w:val="26"/>
        </w:rPr>
        <w:t xml:space="preserve">2.1 The Phased Accession Model</w:t>
      </w:r>
    </w:p>
    <w:p>
      <w:pPr>
        <w:spacing w:after="100" w:before="120"/>
        <w:jc w:val="center"/>
      </w:pPr>
      <w:r>
        <w:rPr>
          <w:rFonts w:ascii="Georgia" w:cs="Georgia" w:eastAsia="SimSun" w:hAnsi="Georgia"/>
          <w:i/>
          <w:iCs/>
          <w:color w:val="6B7F94"/>
          <w:sz w:val="18"/>
          <w:szCs w:val="18"/>
        </w:rPr>
        <w:t xml:space="preserve">Table II-1. Phased accession model (ESTIMATE; closing event: accession workshare agreement)</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700"/>
        <w:gridCol w:w="2553"/>
        <w:gridCol w:w="2553"/>
        <w:gridCol w:w="2554"/>
      </w:tblGrid>
      <w:tr>
        <w:trPr>
          <w:tblHeader/>
        </w:trPr>
        <w:tc>
          <w:tcPr>
            <w:tcW w:type="dxa" w:w="17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Phase</w:t>
            </w:r>
          </w:p>
        </w:tc>
        <w:tc>
          <w:tcPr>
            <w:tcW w:type="dxa" w:w="2553"/>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Status and period</w:t>
            </w:r>
          </w:p>
        </w:tc>
        <w:tc>
          <w:tcPr>
            <w:tcW w:type="dxa" w:w="2553"/>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Canadian deliverables</w:t>
            </w:r>
          </w:p>
        </w:tc>
        <w:tc>
          <w:tcPr>
            <w:tcW w:type="dxa" w:w="2554"/>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Entry conditions and cost</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Phase 0, Observer</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Secured 21 July 2026; 2026 to 2027</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Liaison staff in GIGO; CAE simulation deliverables; requirements and security working groups</w:t>
            </w:r>
          </w:p>
        </w:tc>
        <w:tc>
          <w:tcPr>
            <w:tcW w:type="dxa" w:w="25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No financial commitment; about 150 to 250 positions (in place)</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Phase 1, Industrial associate</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Negotiate at the 2027 review; 2027 to 2031</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Defined work packages (WP-A to WP-D) executed under associate terms</w:t>
            </w:r>
          </w:p>
        </w:tc>
        <w:tc>
          <w:tcPr>
            <w:tcW w:type="dxa" w:w="25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First tranche C$0.9B, milestone-gated on demonstrator progress</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Phase 2, Partner-tier workshare</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Target before design freeze, 2028 to 2031</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8 to 12 percent programme workshare with design authority inside Canadian packages</w:t>
            </w:r>
          </w:p>
        </w:tc>
        <w:tc>
          <w:tcPr>
            <w:tcW w:type="dxa" w:w="25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Second tranche C$2.6B, committed only after demonstrator flight test</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Phase 3, Production and sustainment</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2036 to 2060</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Series-production content for the roughly 350-aircraft partner run plus Canadian fleet assembly and sustainment</w:t>
            </w:r>
          </w:p>
        </w:tc>
        <w:tc>
          <w:tcPr>
            <w:tcW w:type="dxa" w:w="25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Funded from programme revenue, not from the tranche</w:t>
            </w:r>
          </w:p>
        </w:tc>
      </w:tr>
    </w:tbl>
    <w:p>
      <w:pPr>
        <w:spacing w:after="140" w:line="300"/>
        <w:ind w:firstLine="431"/>
      </w:pPr>
      <w:r>
        <w:rPr>
          <w:rFonts w:ascii="Georgia" w:cs="Georgia" w:eastAsia="SimSun" w:hAnsi="Georgia"/>
          <w:sz w:val="22"/>
          <w:szCs w:val="22"/>
        </w:rPr>
        <w:t xml:space="preserve">The phasing is the risk management. Canada's exposure at any moment caps at work actually performed; the interim fleet remains credible through 2040 and beyond, so no phase gate ever becomes a cliff edge. The GCAP Convention contains no observer category and routes non-party engagement through exploratory discussions under its accession chapter; Canada's July 2026 arrangement sits in that space, and the phased model converts it into contract.</w:t>
      </w:r>
    </w:p>
    <w:p>
      <w:pPr>
        <w:pStyle w:val="Heading2"/>
        <w:spacing w:after="140" w:before="280"/>
      </w:pPr>
      <w:r>
        <w:rPr>
          <w:rFonts w:ascii="Georgia" w:cs="Georgia" w:eastAsia="SimSun" w:hAnsi="Georgia"/>
          <w:b/>
          <w:bCs/>
          <w:color w:val="1F3A5F"/>
          <w:sz w:val="26"/>
          <w:szCs w:val="26"/>
        </w:rPr>
        <w:t xml:space="preserve">2.2 The Six-Work-Package Bid Portfolio</w:t>
      </w:r>
    </w:p>
    <w:p>
      <w:pPr>
        <w:spacing w:after="140" w:line="300"/>
        <w:ind w:firstLine="431"/>
      </w:pPr>
      <w:r>
        <w:rPr>
          <w:rFonts w:ascii="Georgia" w:cs="Georgia" w:eastAsia="SimSun" w:hAnsi="Georgia"/>
          <w:sz w:val="22"/>
          <w:szCs w:val="22"/>
        </w:rPr>
        <w:t xml:space="preserve">Nations win workshare package by package, not in the aggregate. Six candidate work packages align GCAP's published needs with capabilities Canada has already priced, contracted or fielded under the v6.1 baselines. The portfolio deliberately weights the fastest-growing segments of the sixth-generation market, adjunct aircraft and synthetic training, rather than prestige airframe content the founding partners defend hardest.</w:t>
      </w:r>
    </w:p>
    <w:p>
      <w:pPr>
        <w:spacing w:after="100" w:before="120"/>
        <w:jc w:val="center"/>
      </w:pPr>
      <w:r>
        <w:rPr>
          <w:rFonts w:ascii="Georgia" w:cs="Georgia" w:eastAsia="SimSun" w:hAnsi="Georgia"/>
          <w:i/>
          <w:iCs/>
          <w:color w:val="6B7F94"/>
          <w:sz w:val="18"/>
          <w:szCs w:val="18"/>
        </w:rPr>
        <w:t xml:space="preserve">Table II-2. Six-work-package bid portfolio (anchors named; values estimated in Parts V to VII)</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900"/>
        <w:gridCol w:w="2486"/>
        <w:gridCol w:w="2486"/>
        <w:gridCol w:w="2488"/>
      </w:tblGrid>
      <w:tr>
        <w:trPr>
          <w:tblHeader/>
        </w:trPr>
        <w:tc>
          <w:tcPr>
            <w:tcW w:type="dxa" w:w="19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Work package</w:t>
            </w:r>
          </w:p>
        </w:tc>
        <w:tc>
          <w:tcPr>
            <w:tcW w:type="dxa" w:w="2486"/>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GCAP need</w:t>
            </w:r>
          </w:p>
        </w:tc>
        <w:tc>
          <w:tcPr>
            <w:tcW w:type="dxa" w:w="2486"/>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Canadian bid and anchor firms</w:t>
            </w:r>
          </w:p>
        </w:tc>
        <w:tc>
          <w:tcPr>
            <w:tcW w:type="dxa" w:w="248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v6.1 proof point</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WP-A: Simulation and synthetic environments</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Every sixth-generation operator trains synthetically</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CAE-led national team; the contribution partners themselves expect</w:t>
            </w:r>
          </w:p>
        </w:tc>
        <w:tc>
          <w:tcPr>
            <w:tcW w:type="dxa" w:w="24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CAE anchors the Northern Horizon training workshare at v6.1</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WP-B: Adjunct and collaborative combat aircraft</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Fastest-growing segment; GCAP needs attritable and survivable adjuncts</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Sprinter-class attritable and Striker-class survivable designs</w:t>
            </w:r>
          </w:p>
        </w:tc>
        <w:tc>
          <w:tcPr>
            <w:tcW w:type="dxa" w:w="248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CDR-maturity portfolio: Sprinter at C$11.85M unit price at the 72-aircraft rate (SPR-AIR-PPP-006); Striker at C$24.30M at the 48-aircraft rate (STR-AIR-PPP-003)</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WP-C: Cold-weather test and qualification</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Tempest needs North-Flank and Arctic qualification</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Cold Lake range and climatic test infrastructure</w:t>
            </w:r>
          </w:p>
        </w:tc>
        <w:tc>
          <w:tcPr>
            <w:tcW w:type="dxa" w:w="24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AGA-PRC-061 augmentation line: cold-soak, 24-zone ice protection, 860 m landing credentials</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WP-D: ISANKE &amp; ICS participation</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Sensor and communications suites are G2E's core</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MDA, GDMS Canada, CMC, NovAtel secure communications and navigation</w:t>
            </w:r>
          </w:p>
        </w:tc>
        <w:tc>
          <w:tcPr>
            <w:tcW w:type="dxa" w:w="248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Priced v6.1 lines: CRPA anti-jam, controlled reception patterns, secure datalinks</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WP-E: Propulsion participation</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Engine consortium seeks workload beyond the founders</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Pratt &amp; Whitney Canada; Magellan precision components</w:t>
            </w:r>
          </w:p>
        </w:tc>
        <w:tc>
          <w:tcPr>
            <w:tcW w:type="dxa" w:w="24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Shared engine inventory pooling across the augmented Gripen fleet at v6.1</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WP-F: North American sustainment node</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 roughly 350-aircraft partner fleet needs a western-hemisphere depot</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L3Harris MAS Mirabel depot extended to sixth-generation readiness</w:t>
            </w:r>
          </w:p>
        </w:tc>
        <w:tc>
          <w:tcPr>
            <w:tcW w:type="dxa" w:w="248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Mirabel depot stood up at 1,200 flight-hour, 4-year inductions under v6.1</w:t>
            </w:r>
          </w:p>
        </w:tc>
      </w:tr>
    </w:tbl>
    <w:p>
      <w:pPr>
        <w:spacing w:after="140" w:line="300"/>
        <w:ind w:firstLine="431"/>
      </w:pPr>
      <w:r>
        <w:rPr>
          <w:rFonts w:ascii="Georgia" w:cs="Georgia" w:eastAsia="SimSun" w:hAnsi="Georgia"/>
          <w:sz w:val="22"/>
          <w:szCs w:val="22"/>
        </w:rPr>
        <w:t xml:space="preserve">The sequencing matters. WP-A and WP-C are observer-phase deliverables requiring no accession; WP-B and WP-D are associate-tier packages biddable at the 2027 review; WP-E and WP-F are partner-tier positions negotiated against design freeze. Each package won early becomes evidence for the next.</w:t>
      </w:r>
    </w:p>
    <w:p>
      <w:pPr>
        <w:pStyle w:val="Heading2"/>
        <w:spacing w:after="140" w:before="280"/>
      </w:pPr>
      <w:r>
        <w:rPr>
          <w:rFonts w:ascii="Georgia" w:cs="Georgia" w:eastAsia="SimSun" w:hAnsi="Georgia"/>
          <w:b/>
          <w:bCs/>
          <w:color w:val="1F3A5F"/>
          <w:sz w:val="26"/>
          <w:szCs w:val="26"/>
        </w:rPr>
        <w:t xml:space="preserve">2.3 Institutional Integration</w:t>
      </w:r>
    </w:p>
    <w:p>
      <w:pPr>
        <w:spacing w:after="140" w:line="300"/>
        <w:ind w:firstLine="431"/>
      </w:pPr>
      <w:r>
        <w:rPr>
          <w:rFonts w:ascii="Georgia" w:cs="Georgia" w:eastAsia="SimSun" w:hAnsi="Georgia"/>
          <w:sz w:val="22"/>
          <w:szCs w:val="22"/>
        </w:rPr>
        <w:t xml:space="preserve">Observer status is a seat, not a presence. Conversion places Canadians inside four institutions, in ascending order of commitment: the GIGO, where the observer delegation grows from liaison into requirements and security working groups; Edgewing, where a Canadian technical liaison office, collocated with the detailed-design teams through the December 2027 contract horizon, converts access into influence over interface definitions; G2E, where associate membership for a Canadian sensor and communications team forms the natural WP-D vehicle; and a Canadian GCAP office within ISED to hold the workshare target, coordinate the bid portfolio and publish the annual return statement of Recommendation R8. Domestic institutional depth is what the partners audit; it also survives a change of government on either side.</w:t>
      </w:r>
    </w:p>
    <w:p>
      <w:pPr>
        <w:pStyle w:val="Heading2"/>
        <w:spacing w:after="140" w:before="280"/>
      </w:pPr>
      <w:r>
        <w:rPr>
          <w:rFonts w:ascii="Georgia" w:cs="Georgia" w:eastAsia="SimSun" w:hAnsi="Georgia"/>
          <w:b/>
          <w:bCs/>
          <w:color w:val="1F3A5F"/>
          <w:sz w:val="26"/>
          <w:szCs w:val="26"/>
        </w:rPr>
        <w:t xml:space="preserve">2.4 Intellectual Property and Design Authority</w:t>
      </w:r>
    </w:p>
    <w:p>
      <w:pPr>
        <w:spacing w:after="140" w:line="300"/>
        <w:ind w:firstLine="431"/>
      </w:pPr>
      <w:r>
        <w:rPr>
          <w:rFonts w:ascii="Georgia" w:cs="Georgia" w:eastAsia="SimSun" w:hAnsi="Georgia"/>
          <w:sz w:val="22"/>
          <w:szCs w:val="22"/>
        </w:rPr>
        <w:t xml:space="preserve">The IP framework marks the difference between partnership and licensed production. Canada's accession terms target four positions, each consistent with what the v6.1 interim fleet already practices: source-code access within Canadian workshare packages (the Gripen precedent: full code access on the manned fleet); Canadian modification and integration rights over Canadian-delivered content (the Sprinter precedent: a programme-owned autonomy stack); export authority over Canadian-content subsystems, with partner concurrence procedures defined in advance (the Striker precedent: honest ITAR and EAR declarations, boundaries known before signature); and a background and foreground IP register that keeps Canadian-developed technology, simulation databases, cold-weather qualification methods, adjunct-aircraft designs, as Canadian property licensed into the programme, not surrendered to it. These terms are negotiable precisely because Canada asks for them within its own workshare rather than demanding programme-wide rights.</w:t>
      </w:r>
    </w:p>
    <w:p>
      <w:pPr>
        <w:pStyle w:val="Heading2"/>
        <w:spacing w:after="140" w:before="280"/>
      </w:pPr>
      <w:r>
        <w:rPr>
          <w:rFonts w:ascii="Georgia" w:cs="Georgia" w:eastAsia="SimSun" w:hAnsi="Georgia"/>
          <w:b/>
          <w:bCs/>
          <w:color w:val="1F3A5F"/>
          <w:sz w:val="26"/>
          <w:szCs w:val="26"/>
        </w:rPr>
        <w:t xml:space="preserve">2.5 Security, Interoperability and the NORAD Question</w:t>
      </w:r>
    </w:p>
    <w:p>
      <w:pPr>
        <w:spacing w:after="140" w:line="300"/>
        <w:ind w:firstLine="431"/>
      </w:pPr>
      <w:r>
        <w:rPr>
          <w:rFonts w:ascii="Georgia" w:cs="Georgia" w:eastAsia="SimSun" w:hAnsi="Georgia"/>
          <w:sz w:val="22"/>
          <w:szCs w:val="22"/>
        </w:rPr>
        <w:t xml:space="preserve">GCAP participation presents in Washington as addition, not defection, and the v6.1 fleet already embodies that framing. The Striker package funds an F-35 cross-network gateway so the Canadian fleet interoperates with allied F-35s; NORAD infrastructure accounts ride openly in the fleet's full-scope costing; and the uncrewed aircraft honestly carry their US content under declared export-control discipline. The same posture serves the GCAP negotiation: Canadian GCAP content stays substantially ITAR-free by design, while Canada's Five Eyes and NORAD commitments remain fully funded. The F-35 exclusion is framed, accurately, as affordability, the Auditor General's own arithmetic, not estrangement.</w:t>
      </w:r>
    </w:p>
    <w:p>
      <w:pPr>
        <w:pStyle w:val="Heading2"/>
        <w:spacing w:after="140" w:before="280"/>
      </w:pPr>
      <w:r>
        <w:rPr>
          <w:rFonts w:ascii="Georgia" w:cs="Georgia" w:eastAsia="SimSun" w:hAnsi="Georgia"/>
          <w:b/>
          <w:bCs/>
          <w:color w:val="1F3A5F"/>
          <w:sz w:val="26"/>
          <w:szCs w:val="26"/>
        </w:rPr>
        <w:t xml:space="preserve">2.6 Accession Timeline and Milestones</w:t>
      </w:r>
    </w:p>
    <w:p>
      <w:pPr>
        <w:spacing w:after="100" w:before="120"/>
        <w:jc w:val="center"/>
      </w:pPr>
      <w:r>
        <w:rPr>
          <w:rFonts w:ascii="Georgia" w:cs="Georgia" w:eastAsia="SimSun" w:hAnsi="Georgia"/>
          <w:i/>
          <w:iCs/>
          <w:color w:val="6B7F94"/>
          <w:sz w:val="18"/>
          <w:szCs w:val="18"/>
        </w:rPr>
        <w:t xml:space="preserve">Table II-3. Accession timeline (ESTIMATE; dates track verified programme reporting of 2026)</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700"/>
        <w:gridCol w:w="3830"/>
        <w:gridCol w:w="3830"/>
      </w:tblGrid>
      <w:tr>
        <w:trPr>
          <w:tblHeader/>
        </w:trPr>
        <w:tc>
          <w:tcPr>
            <w:tcW w:type="dxa" w:w="17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Window</w:t>
            </w:r>
          </w:p>
        </w:tc>
        <w:tc>
          <w:tcPr>
            <w:tcW w:type="dxa" w:w="383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Programme milestone</w:t>
            </w:r>
          </w:p>
        </w:tc>
        <w:tc>
          <w:tcPr>
            <w:tcW w:type="dxa" w:w="383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Canadian action</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2026 H2</w:t>
            </w:r>
          </w:p>
        </w:tc>
        <w:tc>
          <w:tcPr>
            <w:tcW w:type="dxa" w:w="383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Observer workstreams stand up; detailed design under contract to December 2027</w:t>
            </w:r>
          </w:p>
        </w:tc>
        <w:tc>
          <w:tcPr>
            <w:tcW w:type="dxa" w:w="383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Deploy WP-A simulation deliverables; open Edgewing technical liaison office</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2027</w:t>
            </w:r>
          </w:p>
        </w:tc>
        <w:tc>
          <w:tcPr>
            <w:tcW w:type="dxa" w:w="383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Demonstrator power-on (mid-2027); aircraft ready end-2027</w:t>
            </w:r>
          </w:p>
        </w:tc>
        <w:tc>
          <w:tcPr>
            <w:tcW w:type="dxa" w:w="383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Table associate-tier accession with WP-B and WP-D bids at the programme review</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2028</w:t>
            </w:r>
          </w:p>
        </w:tc>
        <w:tc>
          <w:tcPr>
            <w:tcW w:type="dxa" w:w="383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Demonstrator flight test from early 2028; design-authority decisions ahead of freeze</w:t>
            </w:r>
          </w:p>
        </w:tc>
        <w:tc>
          <w:tcPr>
            <w:tcW w:type="dxa" w:w="383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Negotiate partner-tier workshare at 8 to 12 percent; release gated tranche increments</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2029 to 2031</w:t>
            </w:r>
          </w:p>
        </w:tc>
        <w:tc>
          <w:tcPr>
            <w:tcW w:type="dxa" w:w="383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Prototype production; Canadian design authority inside Canadian packages</w:t>
            </w:r>
          </w:p>
        </w:tc>
        <w:tc>
          <w:tcPr>
            <w:tcW w:type="dxa" w:w="383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Release second tranche C$2.6B milestone-phased; Mirabel sixth-generation extension begins</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2032 to 2035</w:t>
            </w:r>
          </w:p>
        </w:tc>
        <w:tc>
          <w:tcPr>
            <w:tcW w:type="dxa" w:w="383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Series production ramp; IOC 2035 with possible acceleration to 2033</w:t>
            </w:r>
          </w:p>
        </w:tc>
        <w:tc>
          <w:tcPr>
            <w:tcW w:type="dxa" w:w="383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Production workshare at rate; sustainment node certification; Canadian fleet deliveries begin</w:t>
            </w:r>
          </w:p>
        </w:tc>
      </w:tr>
    </w:tbl>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III. The Funding Bridge</w:t>
      </w:r>
    </w:p>
    <w:p>
      <w:pPr>
        <w:pStyle w:val="Heading2"/>
        <w:spacing w:after="140" w:before="280"/>
      </w:pPr>
      <w:r>
        <w:rPr>
          <w:rFonts w:ascii="Georgia" w:cs="Georgia" w:eastAsia="SimSun" w:hAnsi="Georgia"/>
          <w:b/>
          <w:bCs/>
          <w:color w:val="1F3A5F"/>
          <w:sz w:val="26"/>
          <w:szCs w:val="26"/>
        </w:rPr>
        <w:t xml:space="preserve">3.1 Bridge Arithmetic at Seventeen Fleet Sizes</w:t>
      </w:r>
    </w:p>
    <w:p>
      <w:pPr>
        <w:spacing w:after="140" w:line="300"/>
        <w:ind w:firstLine="431"/>
      </w:pPr>
      <w:r>
        <w:rPr>
          <w:rFonts w:ascii="Georgia" w:cs="Georgia" w:eastAsia="SimSun" w:hAnsi="Georgia"/>
          <w:sz w:val="22"/>
          <w:szCs w:val="22"/>
        </w:rPr>
        <w:t xml:space="preserve">The defunct editions computed the savings bridge once, at a single reference fleet: C$9.24B in June 2026, widened to C$17.13B on the v5.0 baseline. The v6.1 packages price seventeen fleet sizes, so this edition computes the bridge seventeen times. At each fleet size N, the bridge equals the Auditor General's C$27.7B F-35 acquisition line minus the v6.1 combined acquisition (Sprinter, Striker and Arctic Gripen augmentation at quantity-specific prices, all in CAD). The bridge widens as the fleet shrinks: C$22.23B at fleet size 10, C$18.18B at fleet size 72, and larger than the v5.0 figure at every quantity.</w:t>
      </w:r>
    </w:p>
    <w:p>
      <w:pPr>
        <w:spacing w:after="100" w:before="120"/>
        <w:jc w:val="center"/>
      </w:pPr>
      <w:r>
        <w:rPr>
          <w:rFonts w:ascii="Georgia" w:cs="Georgia" w:eastAsia="SimSun" w:hAnsi="Georgia"/>
          <w:i/>
          <w:iCs/>
          <w:color w:val="6B7F94"/>
          <w:sz w:val="18"/>
          <w:szCs w:val="18"/>
        </w:rPr>
        <w:t xml:space="preserve">Table III-1. The savings bridge and the GCAP funding test at every fleet size (C$ million; bridge CALCULATED from PACKAGE and VERIFIED inputs)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640"/>
        <w:gridCol w:w="1240"/>
        <w:gridCol w:w="1150"/>
        <w:gridCol w:w="1050"/>
        <w:gridCol w:w="1060"/>
        <w:gridCol w:w="1060"/>
        <w:gridCol w:w="1060"/>
        <w:gridCol w:w="1100"/>
        <w:gridCol w:w="1000"/>
      </w:tblGrid>
      <w:tr>
        <w:trPr>
          <w:tblHeader/>
        </w:trPr>
        <w:tc>
          <w:tcPr>
            <w:tcW w:type="dxa" w:w="64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Fleet size N</w:t>
            </w:r>
          </w:p>
        </w:tc>
        <w:tc>
          <w:tcPr>
            <w:tcW w:type="dxa" w:w="124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NH combined acquisition (C$M)</w:t>
            </w:r>
          </w:p>
        </w:tc>
        <w:tc>
          <w:tcPr>
            <w:tcW w:type="dxa" w:w="115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F-35 acquisition line (C$M)</w:t>
            </w:r>
          </w:p>
        </w:tc>
        <w:tc>
          <w:tcPr>
            <w:tcW w:type="dxa" w:w="105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Savings bridge (C$M)</w:t>
            </w:r>
          </w:p>
        </w:tc>
        <w:tc>
          <w:tcPr>
            <w:tcW w:type="dxa" w:w="10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Tempest acquisition low (C$M)</w:t>
            </w:r>
          </w:p>
        </w:tc>
        <w:tc>
          <w:tcPr>
            <w:tcW w:type="dxa" w:w="10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Tempest acquisition base (C$M)</w:t>
            </w:r>
          </w:p>
        </w:tc>
        <w:tc>
          <w:tcPr>
            <w:tcW w:type="dxa" w:w="10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Tempest acquisition high (C$M)</w:t>
            </w:r>
          </w:p>
        </w:tc>
        <w:tc>
          <w:tcPr>
            <w:tcW w:type="dxa" w:w="11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Headroom after entry + base fleet (C$M)</w:t>
            </w:r>
          </w:p>
        </w:tc>
        <w:tc>
          <w:tcPr>
            <w:tcW w:type="dxa" w:w="10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Funding verdict</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24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5,466.9</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22,233.1</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2,550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3,050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3,800</w:t>
            </w:r>
          </w:p>
        </w:tc>
        <w:tc>
          <w:tcPr>
            <w:tcW w:type="dxa" w:w="11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15,683</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24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5,815.9</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21,884.1</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3,425</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4,175</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5,300</w:t>
            </w:r>
          </w:p>
        </w:tc>
        <w:tc>
          <w:tcPr>
            <w:tcW w:type="dxa" w:w="11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14,209</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24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6,170.0</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21,530.0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4,300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5,300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6,800</w:t>
            </w:r>
          </w:p>
        </w:tc>
        <w:tc>
          <w:tcPr>
            <w:tcW w:type="dxa" w:w="11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12,730</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24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6,504.6</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21,195.4</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5,175</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6,425</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8,300</w:t>
            </w:r>
          </w:p>
        </w:tc>
        <w:tc>
          <w:tcPr>
            <w:tcW w:type="dxa" w:w="11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11,270</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24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6,703.1</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20,996.9</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5,700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7,100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9,200</w:t>
            </w:r>
          </w:p>
        </w:tc>
        <w:tc>
          <w:tcPr>
            <w:tcW w:type="dxa" w:w="11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10,397</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24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6,834.6</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20,865.4</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6,050</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7,550</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9,800</w:t>
            </w:r>
          </w:p>
        </w:tc>
        <w:tc>
          <w:tcPr>
            <w:tcW w:type="dxa" w:w="11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9,815</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24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7,160.7</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20,539.3</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6,925</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8,675</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11,300</w:t>
            </w:r>
          </w:p>
        </w:tc>
        <w:tc>
          <w:tcPr>
            <w:tcW w:type="dxa" w:w="11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8,364</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24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7,368.3</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20,331.7</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7,450</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9,350</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12,200</w:t>
            </w:r>
          </w:p>
        </w:tc>
        <w:tc>
          <w:tcPr>
            <w:tcW w:type="dxa" w:w="11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7,482</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24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7,497.2</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20,202.8</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7,800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9,800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12,800</w:t>
            </w:r>
          </w:p>
        </w:tc>
        <w:tc>
          <w:tcPr>
            <w:tcW w:type="dxa" w:w="11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6,903</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24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7,817.4</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19,882.6</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8,675</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10,925</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14,300</w:t>
            </w:r>
          </w:p>
        </w:tc>
        <w:tc>
          <w:tcPr>
            <w:tcW w:type="dxa" w:w="11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5,458</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24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8,135.2</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19,564.8</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9,550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12,050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15,800</w:t>
            </w:r>
          </w:p>
        </w:tc>
        <w:tc>
          <w:tcPr>
            <w:tcW w:type="dxa" w:w="11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4,015</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24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8,464.4</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19,235.6</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10,425</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13,175</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17,300</w:t>
            </w:r>
          </w:p>
        </w:tc>
        <w:tc>
          <w:tcPr>
            <w:tcW w:type="dxa" w:w="11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2,561</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24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8,652.9</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19,047.1</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10,950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13,850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18,200</w:t>
            </w:r>
          </w:p>
        </w:tc>
        <w:tc>
          <w:tcPr>
            <w:tcW w:type="dxa" w:w="11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1,697</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24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8,778.2</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18,921.8</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11,300</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14,300</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18,800</w:t>
            </w:r>
          </w:p>
        </w:tc>
        <w:tc>
          <w:tcPr>
            <w:tcW w:type="dxa" w:w="11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1,122</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Fully funded at base price</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24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9,090.2</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18,609.8</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12,175</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15,425</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20,300</w:t>
            </w:r>
          </w:p>
        </w:tc>
        <w:tc>
          <w:tcPr>
            <w:tcW w:type="dxa" w:w="11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-315</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Funded within low-price band</w:t>
            </w:r>
          </w:p>
        </w:tc>
      </w:tr>
      <w:tr>
        <w:trPr>
          <w:tblHeader w:val="false"/>
        </w:trPr>
        <w:tc>
          <w:tcPr>
            <w:tcW w:type="dxa" w:w="6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24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9,400.7</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18,299.3</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13,050</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16,550</w:t>
            </w:r>
          </w:p>
        </w:tc>
        <w:tc>
          <w:tcPr>
            <w:tcW w:type="dxa" w:w="10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21,800</w:t>
            </w:r>
          </w:p>
        </w:tc>
        <w:tc>
          <w:tcPr>
            <w:tcW w:type="dxa" w:w="11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-1,751</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Funded within low-price band</w:t>
            </w:r>
          </w:p>
        </w:tc>
      </w:tr>
      <w:tr>
        <w:trPr>
          <w:tblHeader w:val="false"/>
        </w:trPr>
        <w:tc>
          <w:tcPr>
            <w:tcW w:type="dxa" w:w="6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24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9,524.5</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27,700.0</w:t>
            </w:r>
          </w:p>
        </w:tc>
        <w:tc>
          <w:tcPr>
            <w:tcW w:type="dxa" w:w="10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18,175.5</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13,400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17,000</w:t>
            </w:r>
          </w:p>
        </w:tc>
        <w:tc>
          <w:tcPr>
            <w:tcW w:type="dxa" w:w="10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22,400</w:t>
            </w:r>
          </w:p>
        </w:tc>
        <w:tc>
          <w:tcPr>
            <w:tcW w:type="dxa" w:w="11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-2,324</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Funded within low-price band</w:t>
            </w:r>
          </w:p>
        </w:tc>
      </w:tr>
    </w:tbl>
    <w:p>
      <w:pPr>
        <w:spacing w:after="160"/>
      </w:pPr>
      <w:r>
        <w:rPr>
          <w:rFonts w:ascii="Georgia" w:cs="Georgia" w:eastAsia="SimSun" w:hAnsi="Georgia"/>
          <w:color w:val="6B7F94"/>
          <w:sz w:val="18"/>
          <w:szCs w:val="18"/>
        </w:rPr>
        <w:t xml:space="preserve">Tempest acquisition at the low, base and high unit planning prices of Table V-1, plus C$800M of fixed Canadian integration and infrastructure. Headroom subtracts the C$3.5B entry tranche and the base-price fleet from the bridge. The funding verdict states the tightest condition each row meets.</w:t>
      </w:r>
    </w:p>
    <w:p>
      <w:pPr>
        <w:spacing w:after="6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00" w:before="120"/>
        <w:jc w:val="center"/>
      </w:pPr>
      <w:r>
        <w:rPr>
          <w:rFonts w:ascii="Georgia" w:cs="Georgia" w:eastAsia="SimSun" w:hAnsi="Georgia"/>
          <w:i/>
          <w:iCs/>
          <w:color w:val="6B7F94"/>
          <w:sz w:val="18"/>
          <w:szCs w:val="18"/>
        </w:rPr>
        <w:t xml:space="preserve">Figure 1. The savings bridge against the cost of GCAP entry plus a sixth-generation fleet, at all seventeen quantities.</w:t>
      </w:r>
    </w:p>
    <w:p>
      <w:pPr>
        <w:spacing w:after="140" w:line="300"/>
        <w:ind w:firstLine="431"/>
      </w:pPr>
      <w:r>
        <w:rPr>
          <w:rFonts w:ascii="Georgia" w:cs="Georgia" w:eastAsia="SimSun" w:hAnsi="Georgia"/>
          <w:sz w:val="22"/>
          <w:szCs w:val="22"/>
        </w:rPr>
        <w:t xml:space="preserve">The verdict column carries the strategic answer to the question this document exists to answer: the savings prove enough to purchase Canada's way in. Entry plus a base-price fleet of 60 Tempest aircraft costs C$17.8B against a bridge of C$18.92B; even the maximum pairing (72 of each element) needs C$20.5B against C$18.18B, a gap of C$2.3B that the low price anchor closes outright, and that the F-35 operating differential of roughly C$1.1B per year covers in about two years if the base price holds. The bridge is not a rhetorical device; it is arithmetic the Auditor General's numbers make conservative, because every further dollar of F-35 cost growth widens it.</w:t>
      </w:r>
    </w:p>
    <w:p>
      <w:pPr>
        <w:pStyle w:val="Heading2"/>
        <w:spacing w:after="140" w:before="280"/>
      </w:pPr>
      <w:r>
        <w:rPr>
          <w:rFonts w:ascii="Georgia" w:cs="Georgia" w:eastAsia="SimSun" w:hAnsi="Georgia"/>
          <w:b/>
          <w:bCs/>
          <w:color w:val="1F3A5F"/>
          <w:sz w:val="26"/>
          <w:szCs w:val="26"/>
        </w:rPr>
        <w:t xml:space="preserve">3.2 Allocation of the Savings</w:t>
      </w:r>
    </w:p>
    <w:p>
      <w:pPr>
        <w:spacing w:after="140" w:line="300"/>
        <w:ind w:firstLine="431"/>
      </w:pPr>
      <w:r>
        <w:rPr>
          <w:rFonts w:ascii="Georgia" w:cs="Georgia" w:eastAsia="SimSun" w:hAnsi="Georgia"/>
          <w:sz w:val="22"/>
          <w:szCs w:val="22"/>
        </w:rPr>
        <w:t xml:space="preserve">The allocation framework of the prior editions survives the restatement unchanged in structure: fund the entry, fund the munitions depth and NORAD modernization that keep the interim fleet credible, fund the R&amp;D base GCAP cares about, fund Arctic infrastructure, fund the workforce transition, and park the remainder in contingency. Table III-2 states the allocation at the 60-aircraft reference fleet, where the bridge totals C$18.92B; at other fleet sizes the contingency line absorbs the difference.</w:t>
      </w:r>
    </w:p>
    <w:p>
      <w:pPr>
        <w:spacing w:after="100" w:before="120"/>
        <w:jc w:val="center"/>
      </w:pPr>
      <w:r>
        <w:rPr>
          <w:rFonts w:ascii="Georgia" w:cs="Georgia" w:eastAsia="SimSun" w:hAnsi="Georgia"/>
          <w:i/>
          <w:iCs/>
          <w:color w:val="6B7F94"/>
          <w:sz w:val="18"/>
          <w:szCs w:val="18"/>
        </w:rPr>
        <w:t xml:space="preserve">Table III-2. Allocation of the savings bridge at the reference fleet (C$ billion)</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600"/>
        <w:gridCol w:w="3380"/>
        <w:gridCol w:w="3380"/>
      </w:tblGrid>
      <w:tr>
        <w:trPr>
          <w:tblHeader/>
        </w:trPr>
        <w:tc>
          <w:tcPr>
            <w:tcW w:type="dxa" w:w="26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Reinvestment area</w:t>
            </w:r>
          </w:p>
        </w:tc>
        <w:tc>
          <w:tcPr>
            <w:tcW w:type="dxa" w:w="33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Allocation (C$B)</w:t>
            </w:r>
          </w:p>
        </w:tc>
        <w:tc>
          <w:tcPr>
            <w:tcW w:type="dxa" w:w="33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GCAP-relevant purpose</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GCAP phased entry</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3.50</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C$0.9B associate tier (2027 to 2031) plus C$2.6B partner tier (2028 to 2035), milestone-gated</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Munitions depth and NORAD modernization</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3.00</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Interim fleet credibility through 2040+, the answer to schedule risk</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Domestic R&amp;D and innovation</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2.50</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Autonomy, AI, sensors; directly GCAP-aligned</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Arctic infrastructure and Northern operations</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2.00</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Basing any future fleet uses; anchors WP-C</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Auto-to-aero workforce transition</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1.00</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Feeds both programmes (Part IX)</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Fiscal contingency and debt reduction</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6.92</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Buffer against GCAP schedule, cost, or currency shock</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TOTAL (at the 60-aircraft Northern Horizon reference fleet)</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18.92</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Bridge rescales by fleet size: C$18.18B at 72 up to C$22.23B at 10</w:t>
            </w:r>
          </w:p>
        </w:tc>
      </w:tr>
    </w:tbl>
    <w:p>
      <w:pPr>
        <w:pStyle w:val="Heading2"/>
        <w:spacing w:after="140" w:before="280"/>
      </w:pPr>
      <w:r>
        <w:rPr>
          <w:rFonts w:ascii="Georgia" w:cs="Georgia" w:eastAsia="SimSun" w:hAnsi="Georgia"/>
          <w:b/>
          <w:bCs/>
          <w:color w:val="1F3A5F"/>
          <w:sz w:val="26"/>
          <w:szCs w:val="26"/>
        </w:rPr>
        <w:t xml:space="preserve">3.3 Headroom Reconciliation</w:t>
      </w:r>
    </w:p>
    <w:p>
      <w:pPr>
        <w:spacing w:after="100" w:before="120"/>
        <w:jc w:val="center"/>
      </w:pPr>
      <w:r>
        <w:rPr>
          <w:rFonts w:ascii="Georgia" w:cs="Georgia" w:eastAsia="SimSun" w:hAnsi="Georgia"/>
          <w:i/>
          <w:iCs/>
          <w:color w:val="6B7F94"/>
          <w:sz w:val="18"/>
          <w:szCs w:val="18"/>
        </w:rPr>
        <w:t xml:space="preserve">Table III-3. Headroom reconciliation at the reference pairing (N = 60)</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4200"/>
        <w:gridCol w:w="2580"/>
        <w:gridCol w:w="2580"/>
      </w:tblGrid>
      <w:tr>
        <w:trPr>
          <w:tblHeader/>
        </w:trPr>
        <w:tc>
          <w:tcPr>
            <w:tcW w:type="dxa" w:w="42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Line</w:t>
            </w:r>
          </w:p>
        </w:tc>
        <w:tc>
          <w:tcPr>
            <w:tcW w:type="dxa" w:w="25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C$B</w:t>
            </w:r>
          </w:p>
        </w:tc>
        <w:tc>
          <w:tcPr>
            <w:tcW w:type="dxa" w:w="25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Source</w:t>
            </w:r>
          </w:p>
        </w:tc>
      </w:tr>
      <w:tr>
        <w:trPr>
          <w:tblHeader w:val="false"/>
        </w:trPr>
        <w:tc>
          <w:tcPr>
            <w:tcW w:type="dxa" w:w="4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F-35 baseline acquisition (OAG 2025)</w:t>
            </w:r>
          </w:p>
        </w:tc>
        <w:tc>
          <w:tcPr>
            <w:tcW w:type="dxa" w:w="2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27.70</w:t>
            </w:r>
          </w:p>
        </w:tc>
        <w:tc>
          <w:tcPr>
            <w:tcW w:type="dxa" w:w="2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Auditor General, June 2025 (VERIFIED)</w:t>
            </w:r>
          </w:p>
        </w:tc>
      </w:tr>
      <w:tr>
        <w:trPr>
          <w:tblHeader w:val="false"/>
        </w:trPr>
        <w:tc>
          <w:tcPr>
            <w:tcW w:type="dxa" w:w="4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Northern Horizon v6.1 combined acquisition, 60-aircraft reference</w:t>
            </w:r>
          </w:p>
        </w:tc>
        <w:tc>
          <w:tcPr>
            <w:tcW w:type="dxa" w:w="2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-8.78</w:t>
            </w:r>
          </w:p>
        </w:tc>
        <w:tc>
          <w:tcPr>
            <w:tcW w:type="dxa" w:w="2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v6.1 packages (PACKAGE)</w:t>
            </w:r>
          </w:p>
        </w:tc>
      </w:tr>
      <w:tr>
        <w:trPr>
          <w:tblHeader w:val="false"/>
        </w:trPr>
        <w:tc>
          <w:tcPr>
            <w:tcW w:type="dxa" w:w="4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GCAP entry tranche</w:t>
            </w:r>
          </w:p>
        </w:tc>
        <w:tc>
          <w:tcPr>
            <w:tcW w:type="dxa" w:w="2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-3.50</w:t>
            </w:r>
          </w:p>
        </w:tc>
        <w:tc>
          <w:tcPr>
            <w:tcW w:type="dxa" w:w="2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Part IV allocation (ESTIMATE)</w:t>
            </w:r>
          </w:p>
        </w:tc>
      </w:tr>
      <w:tr>
        <w:trPr>
          <w:tblHeader w:val="false"/>
        </w:trPr>
        <w:tc>
          <w:tcPr>
            <w:tcW w:type="dxa" w:w="4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Tempest fleet acquisition, 60 aircraft at base price</w:t>
            </w:r>
          </w:p>
        </w:tc>
        <w:tc>
          <w:tcPr>
            <w:tcW w:type="dxa" w:w="2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-14.30</w:t>
            </w:r>
          </w:p>
        </w:tc>
        <w:tc>
          <w:tcPr>
            <w:tcW w:type="dxa" w:w="25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Part V (CALCULATED on ESTIMATE)</w:t>
            </w:r>
          </w:p>
        </w:tc>
      </w:tr>
      <w:tr>
        <w:trPr>
          <w:tblHeader w:val="false"/>
        </w:trPr>
        <w:tc>
          <w:tcPr>
            <w:tcW w:type="dxa" w:w="4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Remaining headroom at the reference pairing</w:t>
            </w:r>
          </w:p>
        </w:tc>
        <w:tc>
          <w:tcPr>
            <w:tcW w:type="dxa" w:w="2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about 1.12</w:t>
            </w:r>
          </w:p>
        </w:tc>
        <w:tc>
          <w:tcPr>
            <w:tcW w:type="dxa" w:w="25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Arithmetic of the above; C$15.68B at fleet size 10</w:t>
            </w:r>
          </w:p>
        </w:tc>
      </w:tr>
    </w:tbl>
    <w:p>
      <w:pPr>
        <w:spacing w:after="140" w:line="300"/>
        <w:ind w:firstLine="431"/>
      </w:pPr>
      <w:r>
        <w:rPr>
          <w:rFonts w:ascii="Georgia" w:cs="Georgia" w:eastAsia="SimSun" w:hAnsi="Georgia"/>
          <w:sz w:val="22"/>
          <w:szCs w:val="22"/>
        </w:rPr>
        <w:t xml:space="preserve">At the smallest pairing the headroom reaches C$15.68B; at the largest it narrows to a C$2.3B shortfall at base price, which the low anchor or two years of operating differential closes. The recommended path fits inside the F-35 acquisition line across the entire fleet-size range. Affordability no longer decides the GCAP question: the bridge answers it at every fleet size. The real risk is wasting the only savings stream that makes membership fiscally free.</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IV. GCAP Entry Cost and the Tier 2 Question</w:t>
      </w:r>
    </w:p>
    <w:p>
      <w:pPr>
        <w:pStyle w:val="Heading2"/>
        <w:spacing w:after="140" w:before="280"/>
      </w:pPr>
      <w:r>
        <w:rPr>
          <w:rFonts w:ascii="Georgia" w:cs="Georgia" w:eastAsia="SimSun" w:hAnsi="Georgia"/>
          <w:b/>
          <w:bCs/>
          <w:color w:val="1F3A5F"/>
          <w:sz w:val="26"/>
          <w:szCs w:val="26"/>
        </w:rPr>
        <w:t xml:space="preserve">4.1 What Entry Costs: Three Anchors</w:t>
      </w:r>
    </w:p>
    <w:p>
      <w:pPr>
        <w:spacing w:after="140" w:line="300"/>
        <w:ind w:firstLine="431"/>
      </w:pPr>
      <w:r>
        <w:rPr>
          <w:rFonts w:ascii="Georgia" w:cs="Georgia" w:eastAsia="SimSun" w:hAnsi="Georgia"/>
          <w:sz w:val="22"/>
          <w:szCs w:val="22"/>
        </w:rPr>
        <w:t xml:space="preserve">No published price exists for joining GCAP; the founders have admitted no new partner and set no fee schedule. This document therefore prices entry from three anchors and carries the middle one. Anchor one, the workshare proportion: 8 to 12 percent of the roughly EUR 45B development earmark implies EUR 3.6B to 5.4B (C$5.8B to 8.6B), but a late entrant buys none of the sunk concept work, so the true figure lands well below proportionality. Anchor two, the F-35 Tier 2 precedent: Italy and the Netherlands bought development participation at US$1.0B and US$0.8B in 2002 dollars, roughly C$2.3B to 2.8B in 2026 currency for programmes where the entrants then bought aircraft. Anchor three, the v5.0 planning figure: C$3.5B, phased and milestone-gated, which this edition retains as the base case and stress-tests at C$2.6B low and C$4.5B high.</w:t>
      </w:r>
    </w:p>
    <w:p>
      <w:pPr>
        <w:pStyle w:val="ListParagraph"/>
        <w:numPr>
          <w:ilvl w:val="0"/>
          <w:numId w:val="2"/>
        </w:numPr>
        <w:spacing w:after="80" w:line="290"/>
      </w:pPr>
      <w:r>
        <w:rPr>
          <w:rFonts w:ascii="Georgia" w:cs="Georgia" w:eastAsia="SimSun" w:hAnsi="Georgia"/>
          <w:sz w:val="22"/>
          <w:szCs w:val="22"/>
        </w:rPr>
        <w:t xml:space="preserve">Low case C$2.6B: associate-plus entry, workshare nearer 8 percent, F-35 Tier 2 precedent updated for inflation.</w:t>
      </w:r>
    </w:p>
    <w:p>
      <w:pPr>
        <w:pStyle w:val="ListParagraph"/>
        <w:numPr>
          <w:ilvl w:val="0"/>
          <w:numId w:val="2"/>
        </w:numPr>
        <w:spacing w:after="80" w:line="290"/>
      </w:pPr>
      <w:r>
        <w:rPr>
          <w:rFonts w:ascii="Georgia" w:cs="Georgia" w:eastAsia="SimSun" w:hAnsi="Georgia"/>
          <w:sz w:val="22"/>
          <w:szCs w:val="22"/>
        </w:rPr>
        <w:t xml:space="preserve">Base case C$3.5B: phased C$0.9B associate tranche (2027 to 2031) plus C$2.6B partner tranche (2028 to 2035), CARRIED from the v5.0 Pathway and recalibrated against the anchors.</w:t>
      </w:r>
    </w:p>
    <w:p>
      <w:pPr>
        <w:pStyle w:val="ListParagraph"/>
        <w:numPr>
          <w:ilvl w:val="0"/>
          <w:numId w:val="2"/>
        </w:numPr>
        <w:spacing w:after="80" w:line="290"/>
      </w:pPr>
      <w:r>
        <w:rPr>
          <w:rFonts w:ascii="Georgia" w:cs="Georgia" w:eastAsia="SimSun" w:hAnsi="Georgia"/>
          <w:sz w:val="22"/>
          <w:szCs w:val="22"/>
        </w:rPr>
        <w:t xml:space="preserve">High case C$4.5B: accelerated buy-in toward 12 percent workshare, including a contribution to G2E sensor work.</w:t>
      </w:r>
    </w:p>
    <w:p>
      <w:pPr>
        <w:spacing w:after="140" w:line="300"/>
        <w:ind w:firstLine="431"/>
      </w:pPr>
      <w:r>
        <w:rPr>
          <w:rFonts w:ascii="Georgia" w:cs="Georgia" w:eastAsia="SimSun" w:hAnsi="Georgia"/>
          <w:sz w:val="22"/>
          <w:szCs w:val="22"/>
        </w:rPr>
        <w:t xml:space="preserve">Every scenario leaves the bridge intact: even the high case plus a base-price fleet of 72 costs C$21.7B against the C$18.18B bridge at that size, a gap the low unit-price anchor closes. Entry cost is a bounded, plannable quantity, not a risk.</w:t>
      </w:r>
    </w:p>
    <w:p>
      <w:pPr>
        <w:pStyle w:val="Heading2"/>
        <w:spacing w:after="140" w:before="280"/>
      </w:pPr>
      <w:r>
        <w:rPr>
          <w:rFonts w:ascii="Georgia" w:cs="Georgia" w:eastAsia="SimSun" w:hAnsi="Georgia"/>
          <w:b/>
          <w:bCs/>
          <w:color w:val="1F3A5F"/>
          <w:sz w:val="26"/>
          <w:szCs w:val="26"/>
        </w:rPr>
        <w:t xml:space="preserve">4.2 The Tranche Design</w:t>
      </w:r>
    </w:p>
    <w:p>
      <w:pPr>
        <w:spacing w:after="140" w:line="300"/>
        <w:ind w:firstLine="431"/>
      </w:pPr>
      <w:r>
        <w:rPr>
          <w:rFonts w:ascii="Georgia" w:cs="Georgia" w:eastAsia="SimSun" w:hAnsi="Georgia"/>
          <w:sz w:val="22"/>
          <w:szCs w:val="22"/>
        </w:rPr>
        <w:t xml:space="preserve">The tranche design protects the taxpayer against the two failure modes that matter: accession stalls, or the programme slips. The associate tranche (C$0.9B) releases only against defined work-package contracts executed under observer and associate terms. The partner tranche (C$2.6B) commits only after demonstrator flight test, the milestone that converts GCAP from a funded design exercise into a flying programme. Canada's exposure at any moment equals money already turned into contracted deliverables, and every deliverable doubles as evidence for the next phase gate.</w:t>
      </w:r>
    </w:p>
    <w:p>
      <w:pPr>
        <w:pStyle w:val="Heading2"/>
        <w:spacing w:after="140" w:before="280"/>
      </w:pPr>
      <w:r>
        <w:rPr>
          <w:rFonts w:ascii="Georgia" w:cs="Georgia" w:eastAsia="SimSun" w:hAnsi="Georgia"/>
          <w:b/>
          <w:bCs/>
          <w:color w:val="1F3A5F"/>
          <w:sz w:val="26"/>
          <w:szCs w:val="26"/>
        </w:rPr>
        <w:t xml:space="preserve">4.3 Return on the Entry Investment</w:t>
      </w:r>
    </w:p>
    <w:p>
      <w:pPr>
        <w:spacing w:after="140" w:line="300"/>
        <w:ind w:firstLine="431"/>
      </w:pPr>
      <w:r>
        <w:rPr>
          <w:rFonts w:ascii="Georgia" w:cs="Georgia" w:eastAsia="SimSun" w:hAnsi="Georgia"/>
          <w:sz w:val="22"/>
          <w:szCs w:val="22"/>
        </w:rPr>
        <w:t xml:space="preserve">A C$3.5B phased entry generating C$8.0B to 12.0B of programme-side Canadian industry revenue yields a conservative ROI of 2.3x and a moderate ROI of 3.4x, before the fleet account enters the ledger. The fleet account adds C$1.8B to C$10.2B of Canadian content capture by fleet size (Part V), lifting total Canadian industry revenue to C$9.8B to 22.2B. The comprehensive return exceeds 5x once the GDP cascade, export potential and retained design authority join the count.</w:t>
      </w:r>
    </w:p>
    <w:p>
      <w:pPr>
        <w:spacing w:after="100" w:before="120"/>
        <w:jc w:val="center"/>
      </w:pPr>
      <w:r>
        <w:rPr>
          <w:rFonts w:ascii="Georgia" w:cs="Georgia" w:eastAsia="SimSun" w:hAnsi="Georgia"/>
          <w:i/>
          <w:iCs/>
          <w:color w:val="6B7F94"/>
          <w:sz w:val="18"/>
          <w:szCs w:val="18"/>
        </w:rPr>
        <w:t xml:space="preserve">Table IV-1. Canadian industry revenue by source (C$ billion)</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3400"/>
        <w:gridCol w:w="2980"/>
        <w:gridCol w:w="2980"/>
      </w:tblGrid>
      <w:tr>
        <w:trPr>
          <w:tblHeader/>
        </w:trPr>
        <w:tc>
          <w:tcPr>
            <w:tcW w:type="dxa" w:w="34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Category</w:t>
            </w:r>
          </w:p>
        </w:tc>
        <w:tc>
          <w:tcPr>
            <w:tcW w:type="dxa" w:w="29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Est. value (C$B)</w:t>
            </w:r>
          </w:p>
        </w:tc>
        <w:tc>
          <w:tcPr>
            <w:tcW w:type="dxa" w:w="29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Period</w:t>
            </w:r>
          </w:p>
        </w:tc>
      </w:tr>
      <w:tr>
        <w:trPr>
          <w:tblHeader w:val="false"/>
        </w:trPr>
        <w:tc>
          <w:tcPr>
            <w:tcW w:type="dxa" w:w="3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R&amp;D and associate-tier contribution</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1.5 to 2.5</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2027 to 2035</w:t>
            </w:r>
          </w:p>
        </w:tc>
      </w:tr>
      <w:tr>
        <w:trPr>
          <w:tblHeader w:val="false"/>
        </w:trPr>
        <w:tc>
          <w:tcPr>
            <w:tcW w:type="dxa" w:w="3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Production workshare</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4.0 to 6.0</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2035 to 2050</w:t>
            </w:r>
          </w:p>
        </w:tc>
      </w:tr>
      <w:tr>
        <w:trPr>
          <w:tblHeader w:val="false"/>
        </w:trPr>
        <w:tc>
          <w:tcPr>
            <w:tcW w:type="dxa" w:w="3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Sustainment, MRO, upgrades</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2.5 to 3.5</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2040 to 2065</w:t>
            </w:r>
          </w:p>
        </w:tc>
      </w:tr>
      <w:tr>
        <w:trPr>
          <w:tblHeader w:val="false"/>
        </w:trPr>
        <w:tc>
          <w:tcPr>
            <w:tcW w:type="dxa" w:w="3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Canadian fleet account content (60 percent capture of base acquisition)</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1.8 to 10.2 by fleet size</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2033 to 2045</w:t>
            </w:r>
          </w:p>
        </w:tc>
      </w:tr>
      <w:tr>
        <w:trPr>
          <w:tblHeader w:val="false"/>
        </w:trPr>
        <w:tc>
          <w:tcPr>
            <w:tcW w:type="dxa" w:w="3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TOTAL CANADIAN INDUSTRY REVENUE</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9.8 to 22.2 depending on fleet size</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2027 to 2065</w:t>
            </w:r>
          </w:p>
        </w:tc>
      </w:tr>
    </w:tbl>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V. Tempest Fleet Acquisition at Seventeen Fleet Sizes</w:t>
      </w:r>
    </w:p>
    <w:p>
      <w:pPr>
        <w:pStyle w:val="Heading2"/>
        <w:spacing w:after="140" w:before="280"/>
      </w:pPr>
      <w:r>
        <w:rPr>
          <w:rFonts w:ascii="Georgia" w:cs="Georgia" w:eastAsia="SimSun" w:hAnsi="Georgia"/>
          <w:b/>
          <w:bCs/>
          <w:color w:val="1F3A5F"/>
          <w:sz w:val="26"/>
          <w:szCs w:val="26"/>
        </w:rPr>
        <w:t xml:space="preserve">5.1 Unit Price Anchors</w:t>
      </w:r>
    </w:p>
    <w:p>
      <w:pPr>
        <w:spacing w:after="140" w:line="300"/>
        <w:ind w:firstLine="431"/>
      </w:pPr>
      <w:r>
        <w:rPr>
          <w:rFonts w:ascii="Georgia" w:cs="Georgia" w:eastAsia="SimSun" w:hAnsi="Georgia"/>
          <w:sz w:val="22"/>
          <w:szCs w:val="22"/>
        </w:rPr>
        <w:t xml:space="preserve">No partner has published a Tempest unit price, and Edgewing declines to quote total programme cost. This document prices the aircraft from four external anchors and adopts a planning band of C$175M low, C$225M base and C$300M high per aircraft, flyaway basis, with the whole programme's honesty rule applied: the figure carries an ESTIMATE tag and a named closing event, the partner pricing and workshare agreement.</w:t>
      </w:r>
    </w:p>
    <w:p>
      <w:pPr>
        <w:spacing w:after="100" w:before="120"/>
        <w:jc w:val="center"/>
      </w:pPr>
      <w:r>
        <w:rPr>
          <w:rFonts w:ascii="Georgia" w:cs="Georgia" w:eastAsia="SimSun" w:hAnsi="Georgia"/>
          <w:i/>
          <w:iCs/>
          <w:color w:val="6B7F94"/>
          <w:sz w:val="18"/>
          <w:szCs w:val="18"/>
        </w:rPr>
        <w:t xml:space="preserve">Table V-1. Unit price anchors for the sixth-generation fighter (ESTIMATE)</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3400"/>
        <w:gridCol w:w="2980"/>
        <w:gridCol w:w="2980"/>
      </w:tblGrid>
      <w:tr>
        <w:trPr>
          <w:tblHeader/>
        </w:trPr>
        <w:tc>
          <w:tcPr>
            <w:tcW w:type="dxa" w:w="34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Anchor</w:t>
            </w:r>
          </w:p>
        </w:tc>
        <w:tc>
          <w:tcPr>
            <w:tcW w:type="dxa" w:w="29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Implied unit value (C$M)</w:t>
            </w:r>
          </w:p>
        </w:tc>
        <w:tc>
          <w:tcPr>
            <w:tcW w:type="dxa" w:w="29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Reading</w:t>
            </w:r>
          </w:p>
        </w:tc>
      </w:tr>
      <w:tr>
        <w:trPr>
          <w:tblHeader w:val="false"/>
        </w:trPr>
        <w:tc>
          <w:tcPr>
            <w:tcW w:type="dxa" w:w="3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RUSI half-Typhoon derivation (production share of about GBP 50B across roughly 350 aircraft)</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130 to 170</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Optimistic floor; digital-design cost discipline holds</w:t>
            </w:r>
          </w:p>
        </w:tc>
      </w:tr>
      <w:tr>
        <w:trPr>
          <w:tblHeader w:val="false"/>
        </w:trPr>
        <w:tc>
          <w:tcPr>
            <w:tcW w:type="dxa" w:w="3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F-22-class twin-engine heavyweight, 2026 dollars</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200 to 250</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Base planning band centre; large twin-engine sixth-generation airframe</w:t>
            </w:r>
          </w:p>
        </w:tc>
      </w:tr>
      <w:tr>
        <w:trPr>
          <w:tblHeader w:val="false"/>
        </w:trPr>
        <w:tc>
          <w:tcPr>
            <w:tcW w:type="dxa" w:w="3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US F-47-class estimates reported for NGAD</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280 to 320</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Pessimistic band; unilateral programme economics</w:t>
            </w:r>
          </w:p>
        </w:tc>
      </w:tr>
      <w:tr>
        <w:trPr>
          <w:tblHeader w:val="false"/>
        </w:trPr>
        <w:tc>
          <w:tcPr>
            <w:tcW w:type="dxa" w:w="3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F-35A for contrast (OAG 2025 full programme basis, 88 aircraft)</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about 315 all-in</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What Canada already declined to pay</w:t>
            </w:r>
          </w:p>
        </w:tc>
      </w:tr>
      <w:tr>
        <w:trPr>
          <w:tblHeader w:val="false"/>
        </w:trPr>
        <w:tc>
          <w:tcPr>
            <w:tcW w:type="dxa" w:w="3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v6.1 planning band adopted</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175 / 225 / 300 (low / base / high)</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ESTIMATE; closing event: partner pricing and workshare agreement</w:t>
            </w:r>
          </w:p>
        </w:tc>
      </w:tr>
    </w:tbl>
    <w:p>
      <w:pPr>
        <w:pStyle w:val="Heading2"/>
        <w:spacing w:after="140" w:before="280"/>
      </w:pPr>
      <w:r>
        <w:rPr>
          <w:rFonts w:ascii="Georgia" w:cs="Georgia" w:eastAsia="SimSun" w:hAnsi="Georgia"/>
          <w:b/>
          <w:bCs/>
          <w:color w:val="1F3A5F"/>
          <w:sz w:val="26"/>
          <w:szCs w:val="26"/>
        </w:rPr>
        <w:t xml:space="preserve">5.2 Acquisition Cost by Fleet Size</w:t>
      </w:r>
    </w:p>
    <w:p>
      <w:pPr>
        <w:spacing w:after="140" w:line="300"/>
        <w:ind w:firstLine="431"/>
      </w:pPr>
      <w:r>
        <w:rPr>
          <w:rFonts w:ascii="Georgia" w:cs="Georgia" w:eastAsia="SimSun" w:hAnsi="Georgia"/>
          <w:sz w:val="22"/>
          <w:szCs w:val="22"/>
        </w:rPr>
        <w:t xml:space="preserve">Acquisition at fleet size N equals C$800M of fixed Canadian integration and infrastructure (the Mirabel sixth-generation extension, training devices, initial spares provisioning) plus N times the unit price. Table III-1 carries the resulting low, base and high acquisition lines at all seventeen quantities alongside the funding test. At base price the fleet costs C$3.05B at 10 aircraft, C$11.6B at 48, and C$17.0B at 72; a 95 percent learning-curve sensitivity referenced to the 48-aircraft midpoint trims roughly C$0.5B from the 72-aircraft base figure and adds roughly C$0.2B at 20 aircraft, leaving every funding verdict unchanged.</w:t>
      </w:r>
    </w:p>
    <w:p>
      <w:pPr>
        <w:pStyle w:val="Heading2"/>
        <w:spacing w:after="140" w:before="280"/>
      </w:pPr>
      <w:r>
        <w:rPr>
          <w:rFonts w:ascii="Georgia" w:cs="Georgia" w:eastAsia="SimSun" w:hAnsi="Georgia"/>
          <w:b/>
          <w:bCs/>
          <w:color w:val="1F3A5F"/>
          <w:sz w:val="26"/>
          <w:szCs w:val="26"/>
        </w:rPr>
        <w:t xml:space="preserve">5.3 Sustainment and Lifecycle</w:t>
      </w:r>
    </w:p>
    <w:p>
      <w:pPr>
        <w:spacing w:after="140" w:line="300"/>
        <w:ind w:firstLine="431"/>
      </w:pPr>
      <w:r>
        <w:rPr>
          <w:rFonts w:ascii="Georgia" w:cs="Georgia" w:eastAsia="SimSun" w:hAnsi="Georgia"/>
          <w:sz w:val="22"/>
          <w:szCs w:val="22"/>
        </w:rPr>
        <w:t xml:space="preserve">Sustainment planning uses C$11M per aircraft per year (ESTIMATE), roughly a third below the F-35's implied C$17M per aircraft per year on the OAG operating estimate, reflecting open-architecture upgrade economics, the absence of US-depot queue costs, and the Mirabel depot's retention of sustainment value in Canada. Table V-2 assembles the lifecycle.</w:t>
      </w:r>
    </w:p>
    <w:p>
      <w:pPr>
        <w:spacing w:after="100" w:before="120"/>
        <w:jc w:val="center"/>
      </w:pPr>
      <w:r>
        <w:rPr>
          <w:rFonts w:ascii="Georgia" w:cs="Georgia" w:eastAsia="SimSun" w:hAnsi="Georgia"/>
          <w:i/>
          <w:iCs/>
          <w:color w:val="6B7F94"/>
          <w:sz w:val="18"/>
          <w:szCs w:val="18"/>
        </w:rPr>
        <w:t xml:space="preserve">Table V-2. Tempest fleet lifecycle at base price (C$ million; CALCULATED on ESTIMATE unit and sustainment figures)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300"/>
        <w:gridCol w:w="1612"/>
        <w:gridCol w:w="1612"/>
        <w:gridCol w:w="1612"/>
        <w:gridCol w:w="1612"/>
        <w:gridCol w:w="1612"/>
      </w:tblGrid>
      <w:tr>
        <w:trPr>
          <w:tblHeader/>
        </w:trPr>
        <w:tc>
          <w:tcPr>
            <w:tcW w:type="dxa" w:w="13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Fleet size N</w:t>
            </w:r>
          </w:p>
        </w:tc>
        <w:tc>
          <w:tcPr>
            <w:tcW w:type="dxa" w:w="161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Acquisition, base (C$M)</w:t>
            </w:r>
          </w:p>
        </w:tc>
        <w:tc>
          <w:tcPr>
            <w:tcW w:type="dxa" w:w="161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Annual sustainment (C$M)</w:t>
            </w:r>
          </w:p>
        </w:tc>
        <w:tc>
          <w:tcPr>
            <w:tcW w:type="dxa" w:w="161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10-year lifecycle (C$M)</w:t>
            </w:r>
          </w:p>
        </w:tc>
        <w:tc>
          <w:tcPr>
            <w:tcW w:type="dxa" w:w="161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20-year lifecycle (C$M)</w:t>
            </w:r>
          </w:p>
        </w:tc>
        <w:tc>
          <w:tcPr>
            <w:tcW w:type="dxa" w:w="161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30-year lifecycle (C$M)</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3,050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4,150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5,250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6,350</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5,825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9,125</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5,300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7,500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9,700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11,900</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6,425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9,175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11,925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14,675</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7,100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10,180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13,260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16,340</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7,550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10,850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14,150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17,450</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12,525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16,375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20,225</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9,350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418</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13,530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17,710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21,890</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9,800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14,200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18,600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23,000</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10,925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15,875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20,825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25,775</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12,050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17,550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23,050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28,550</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13,175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19,225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25,275</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31,325</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13,850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638</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20,230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26,610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32,990</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14,300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660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20,900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27,500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34,100</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15,425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22,575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29,725</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36,875</w:t>
            </w:r>
          </w:p>
        </w:tc>
      </w:tr>
      <w:tr>
        <w:trPr>
          <w:tblHeader w:val="false"/>
        </w:trPr>
        <w:tc>
          <w:tcPr>
            <w:tcW w:type="dxa" w:w="13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16,550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24,250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31,950</w:t>
            </w:r>
          </w:p>
        </w:tc>
        <w:tc>
          <w:tcPr>
            <w:tcW w:type="dxa" w:w="161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39,650</w:t>
            </w:r>
          </w:p>
        </w:tc>
      </w:tr>
      <w:tr>
        <w:trPr>
          <w:tblHeader w:val="false"/>
        </w:trPr>
        <w:tc>
          <w:tcPr>
            <w:tcW w:type="dxa" w:w="13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17,000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792</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24,920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32,840</w:t>
            </w:r>
          </w:p>
        </w:tc>
        <w:tc>
          <w:tcPr>
            <w:tcW w:type="dxa" w:w="161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40,760</w:t>
            </w:r>
          </w:p>
        </w:tc>
      </w:tr>
    </w:tbl>
    <w:p>
      <w:pPr>
        <w:spacing w:after="160"/>
      </w:pPr>
      <w:r>
        <w:rPr>
          <w:rFonts w:ascii="Georgia" w:cs="Georgia" w:eastAsia="SimSun" w:hAnsi="Georgia"/>
          <w:color w:val="6B7F94"/>
          <w:sz w:val="18"/>
          <w:szCs w:val="18"/>
        </w:rPr>
        <w:t xml:space="preserve">The 30-year figure excludes mid-life upgrades and munitions. At N = 60 the 30-year lifecycle totals C$34.1B, against the OAG's C$48.4B ten-year cost of ownership for the F-35 fleet: the sixth-generation path delivers three decades for less than the F-35's first one.</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VI. Job Gains: The Tempest Fleet Account</w:t>
      </w:r>
    </w:p>
    <w:p>
      <w:pPr>
        <w:spacing w:after="140" w:line="300"/>
        <w:ind w:firstLine="431"/>
      </w:pPr>
      <w:r>
        <w:rPr>
          <w:rFonts w:ascii="Georgia" w:cs="Georgia" w:eastAsia="SimSun" w:hAnsi="Georgia"/>
          <w:sz w:val="22"/>
          <w:szCs w:val="22"/>
        </w:rPr>
        <w:t xml:space="preserve">The defunct editions priced only the programme side of GCAP employment and left the Canadian fleet's own industrial content unmodelled. This edition closes that gap with the same bottom-up discipline the companion Outlook applied to Gripen E assembly: an activity-by-activity build, a fixed establishment plus a per-aircraft rate for each line, calibrated to the Gripen E account and scaled 1.5x for the sixth-generation fighter's content depth. The result is a fleet-scaled employment account that answers the question the earlier documents could not: how many jobs does assembling and sustaining Tempest aircraft in Canada actually produce, at every fleet size.</w:t>
      </w:r>
    </w:p>
    <w:p>
      <w:pPr>
        <w:pStyle w:val="Heading2"/>
        <w:spacing w:after="140" w:before="280"/>
      </w:pPr>
      <w:r>
        <w:rPr>
          <w:rFonts w:ascii="Georgia" w:cs="Georgia" w:eastAsia="SimSun" w:hAnsi="Georgia"/>
          <w:b/>
          <w:bCs/>
          <w:color w:val="1F3A5F"/>
          <w:sz w:val="26"/>
          <w:szCs w:val="26"/>
        </w:rPr>
        <w:t xml:space="preserve">6.1 The Activity Build</w:t>
      </w:r>
    </w:p>
    <w:p>
      <w:pPr>
        <w:spacing w:after="100" w:before="120"/>
        <w:jc w:val="center"/>
      </w:pPr>
      <w:r>
        <w:rPr>
          <w:rFonts w:ascii="Georgia" w:cs="Georgia" w:eastAsia="SimSun" w:hAnsi="Georgia"/>
          <w:i/>
          <w:iCs/>
          <w:color w:val="6B7F94"/>
          <w:sz w:val="18"/>
          <w:szCs w:val="18"/>
        </w:rPr>
        <w:t xml:space="preserve">Table VI-1. Tempest fleet account employment build by activity line (direct jobs; CALCULATED from the ESTIMATE build of Appendix A)</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140"/>
        <w:gridCol w:w="1000"/>
        <w:gridCol w:w="1000"/>
        <w:gridCol w:w="870"/>
        <w:gridCol w:w="870"/>
        <w:gridCol w:w="870"/>
        <w:gridCol w:w="870"/>
        <w:gridCol w:w="870"/>
        <w:gridCol w:w="870"/>
      </w:tblGrid>
      <w:tr>
        <w:trPr>
          <w:tblHeader/>
        </w:trPr>
        <w:tc>
          <w:tcPr>
            <w:tcW w:type="dxa" w:w="214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Activity line</w:t>
            </w:r>
          </w:p>
        </w:tc>
        <w:tc>
          <w:tcPr>
            <w:tcW w:type="dxa" w:w="10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Fixed establishment</w:t>
            </w:r>
          </w:p>
        </w:tc>
        <w:tc>
          <w:tcPr>
            <w:tcW w:type="dxa" w:w="10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Per-aircraft rate</w:t>
            </w:r>
          </w:p>
        </w:tc>
        <w:tc>
          <w:tcPr>
            <w:tcW w:type="dxa" w:w="87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10</w:t>
            </w:r>
          </w:p>
        </w:tc>
        <w:tc>
          <w:tcPr>
            <w:tcW w:type="dxa" w:w="87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28</w:t>
            </w:r>
          </w:p>
        </w:tc>
        <w:tc>
          <w:tcPr>
            <w:tcW w:type="dxa" w:w="87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40</w:t>
            </w:r>
          </w:p>
        </w:tc>
        <w:tc>
          <w:tcPr>
            <w:tcW w:type="dxa" w:w="87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48</w:t>
            </w:r>
          </w:p>
        </w:tc>
        <w:tc>
          <w:tcPr>
            <w:tcW w:type="dxa" w:w="87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60</w:t>
            </w:r>
          </w:p>
        </w:tc>
        <w:tc>
          <w:tcPr>
            <w:tcW w:type="dxa" w:w="87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72</w:t>
            </w:r>
          </w:p>
        </w:tc>
      </w:tr>
      <w:tr>
        <w:trPr>
          <w:tblHeader w:val="false"/>
        </w:trPr>
        <w:tc>
          <w:tcPr>
            <w:tcW w:type="dxa" w:w="21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Final assembly &amp; test (Mirabel)</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900</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37.50</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1,275</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1,950</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2,400</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2,700</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3,150</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3,600</w:t>
            </w:r>
          </w:p>
        </w:tc>
      </w:tr>
      <w:tr>
        <w:trPr>
          <w:tblHeader w:val="false"/>
        </w:trPr>
        <w:tc>
          <w:tcPr>
            <w:tcW w:type="dxa" w:w="21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Propulsion integration &amp; test</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225</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7.80</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303</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443</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537</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599</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693</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787</w:t>
            </w:r>
          </w:p>
        </w:tc>
      </w:tr>
      <w:tr>
        <w:trPr>
          <w:tblHeader w:val="false"/>
        </w:trPr>
        <w:tc>
          <w:tcPr>
            <w:tcW w:type="dxa" w:w="21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Mission systems &amp; sensors</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4.05</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160</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233</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282</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314</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363</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412</w:t>
            </w:r>
          </w:p>
        </w:tc>
      </w:tr>
      <w:tr>
        <w:trPr>
          <w:tblHeader w:val="false"/>
        </w:trPr>
        <w:tc>
          <w:tcPr>
            <w:tcW w:type="dxa" w:w="21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Training &amp; simulation (CAE-led)</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150</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4.65</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196</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280</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336</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373</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429</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485</w:t>
            </w:r>
          </w:p>
        </w:tc>
      </w:tr>
      <w:tr>
        <w:trPr>
          <w:tblHeader w:val="false"/>
        </w:trPr>
        <w:tc>
          <w:tcPr>
            <w:tcW w:type="dxa" w:w="21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Supplier network</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225</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10.95</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334</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532</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663</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751</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882</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1,013</w:t>
            </w:r>
          </w:p>
        </w:tc>
      </w:tr>
      <w:tr>
        <w:trPr>
          <w:tblHeader w:val="false"/>
        </w:trPr>
        <w:tc>
          <w:tcPr>
            <w:tcW w:type="dxa" w:w="214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Enduring sustainment &amp; MRO</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525</w:t>
            </w:r>
          </w:p>
        </w:tc>
        <w:tc>
          <w:tcPr>
            <w:tcW w:type="dxa" w:w="10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23.40</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759</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1,180</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1,461</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1,648</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1,929</w:t>
            </w:r>
          </w:p>
        </w:tc>
        <w:tc>
          <w:tcPr>
            <w:tcW w:type="dxa" w:w="87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2,210</w:t>
            </w:r>
          </w:p>
        </w:tc>
      </w:tr>
      <w:tr>
        <w:trPr>
          <w:tblHeader w:val="false"/>
        </w:trPr>
        <w:tc>
          <w:tcPr>
            <w:tcW w:type="dxa" w:w="214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ACCOUNT TOTAL (direct)</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2,145</w:t>
            </w:r>
          </w:p>
        </w:tc>
        <w:tc>
          <w:tcPr>
            <w:tcW w:type="dxa" w:w="10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88.35</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3,028</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4,619</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5,679</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6,386</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7,446</w:t>
            </w:r>
          </w:p>
        </w:tc>
        <w:tc>
          <w:tcPr>
            <w:tcW w:type="dxa" w:w="87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8,506</w:t>
            </w:r>
          </w:p>
        </w:tc>
      </w:tr>
    </w:tbl>
    <w:p>
      <w:pPr>
        <w:spacing w:after="160"/>
      </w:pPr>
      <w:r>
        <w:rPr>
          <w:rFonts w:ascii="Georgia" w:cs="Georgia" w:eastAsia="SimSun" w:hAnsi="Georgia"/>
          <w:color w:val="6B7F94"/>
          <w:sz w:val="18"/>
          <w:szCs w:val="18"/>
        </w:rPr>
        <w:t xml:space="preserve">Fixed establishment and per-aircraft rates scale the Gripen E account of the companion Outlook (600 plus 25.0N assembly; 350 plus 15.6N sustainment; and so on) by a content factor of 1.5x, the midpoint between labour-parity (1.0x) and full cost proportionality (1.96x at the base unit price against the Gripen E reference of C$114.75M). Anchor columns show the build at six fleet sizes; Table VI-2 carries all seventeen.</w:t>
      </w:r>
    </w:p>
    <w:p>
      <w:pPr>
        <w:pStyle w:val="Heading2"/>
        <w:spacing w:after="140" w:before="280"/>
      </w:pPr>
      <w:r>
        <w:rPr>
          <w:rFonts w:ascii="Georgia" w:cs="Georgia" w:eastAsia="SimSun" w:hAnsi="Georgia"/>
          <w:b/>
          <w:bCs/>
          <w:color w:val="1F3A5F"/>
          <w:sz w:val="26"/>
          <w:szCs w:val="26"/>
        </w:rPr>
        <w:t xml:space="preserve">6.2 Employment by Fleet Size</w:t>
      </w:r>
    </w:p>
    <w:p>
      <w:pPr>
        <w:spacing w:after="6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00" w:before="120"/>
        <w:jc w:val="center"/>
      </w:pPr>
      <w:r>
        <w:rPr>
          <w:rFonts w:ascii="Georgia" w:cs="Georgia" w:eastAsia="SimSun" w:hAnsi="Georgia"/>
          <w:i/>
          <w:iCs/>
          <w:color w:val="6B7F94"/>
          <w:sz w:val="18"/>
          <w:szCs w:val="18"/>
        </w:rPr>
        <w:t xml:space="preserve">Figure 2. Tempest fleet account employment across the seventeen fleet sizes, floor and base builds.</w:t>
      </w:r>
    </w:p>
    <w:p>
      <w:pPr>
        <w:spacing w:after="100" w:before="120"/>
        <w:jc w:val="center"/>
      </w:pPr>
      <w:r>
        <w:rPr>
          <w:rFonts w:ascii="Georgia" w:cs="Georgia" w:eastAsia="SimSun" w:hAnsi="Georgia"/>
          <w:i/>
          <w:iCs/>
          <w:color w:val="6B7F94"/>
          <w:sz w:val="18"/>
          <w:szCs w:val="18"/>
        </w:rPr>
        <w:t xml:space="preserve">Table VI-2. Tempest fleet account employment by fleet size (CALCULATED; ISED 2024 multipliers)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500"/>
        <w:gridCol w:w="1572"/>
        <w:gridCol w:w="1572"/>
        <w:gridCol w:w="1572"/>
        <w:gridCol w:w="1572"/>
        <w:gridCol w:w="1572"/>
      </w:tblGrid>
      <w:tr>
        <w:trPr>
          <w:tblHeader/>
        </w:trPr>
        <w:tc>
          <w:tcPr>
            <w:tcW w:type="dxa" w:w="15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Fleet size N</w:t>
            </w:r>
          </w:p>
        </w:tc>
        <w:tc>
          <w:tcPr>
            <w:tcW w:type="dxa" w:w="157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Direct, floor build (1.0x Gripen E rates)</w:t>
            </w:r>
          </w:p>
        </w:tc>
        <w:tc>
          <w:tcPr>
            <w:tcW w:type="dxa" w:w="157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Direct, base build (1.5x content scaling)</w:t>
            </w:r>
          </w:p>
        </w:tc>
        <w:tc>
          <w:tcPr>
            <w:tcW w:type="dxa" w:w="157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Indirect (0.88x)</w:t>
            </w:r>
          </w:p>
        </w:tc>
        <w:tc>
          <w:tcPr>
            <w:tcW w:type="dxa" w:w="157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Induced (0.55x)</w:t>
            </w:r>
          </w:p>
        </w:tc>
        <w:tc>
          <w:tcPr>
            <w:tcW w:type="dxa" w:w="1572"/>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Total jobs, base build (2.43x)</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2,019</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3,028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2,665</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1,665</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7,358</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2,314</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3,470</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3,054</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1,909</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8,433</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2,608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3,912</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3,443</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2,152</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9,507</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2,902</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4,354</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3,832</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2,395</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10,581</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3,079</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4,619</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4,065</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2,540</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11,224</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3,197</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4,796</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4,220</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2,638</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11,654</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3,492</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5,237</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4,609</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2,880</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12,726</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3,668</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5,502</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4,842</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3,026</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13,370</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3,786</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5,679</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4,998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3,123</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13,800</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4,080</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6,121</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5,386</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3,367</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14,874</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4,375</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6,562</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5,775</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3,609</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15,946</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4,670</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7,004</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6,164</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3,852</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17,020</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4,846</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7,269</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6,397</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3,998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17,664</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4,964</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7,446</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6,552</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4,095</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18,093</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5,258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7,888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6,941</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4,338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19,167</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5,553</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8,330</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7,330</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4,582</w:t>
            </w:r>
          </w:p>
        </w:tc>
        <w:tc>
          <w:tcPr>
            <w:tcW w:type="dxa" w:w="1572"/>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20,242</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5,671</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8,506</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7,485</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4,678</w:t>
            </w:r>
          </w:p>
        </w:tc>
        <w:tc>
          <w:tcPr>
            <w:tcW w:type="dxa" w:w="1572"/>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20,669</w:t>
            </w:r>
          </w:p>
        </w:tc>
      </w:tr>
    </w:tbl>
    <w:p>
      <w:pPr>
        <w:spacing w:after="160"/>
      </w:pPr>
      <w:r>
        <w:rPr>
          <w:rFonts w:ascii="Georgia" w:cs="Georgia" w:eastAsia="SimSun" w:hAnsi="Georgia"/>
          <w:color w:val="6B7F94"/>
          <w:sz w:val="18"/>
          <w:szCs w:val="18"/>
        </w:rPr>
        <w:t xml:space="preserve">The floor build applies the Gripen E account rates unchanged; the base build applies the 1.5x content scaling. Indirect and induced layers follow the ISED 2024 aerospace multipliers of 0.88x and 0.55x on the base build. Direct jobs span 3,028 at fleet size 10 to 8,506 at fleet size 72; total jobs span 7,359 to 20,670.</w:t>
      </w:r>
    </w:p>
    <w:p>
      <w:pPr>
        <w:spacing w:after="140" w:line="300"/>
        <w:ind w:firstLine="431"/>
      </w:pPr>
      <w:r>
        <w:rPr>
          <w:rFonts w:ascii="Georgia" w:cs="Georgia" w:eastAsia="SimSun" w:hAnsi="Georgia"/>
          <w:sz w:val="22"/>
          <w:szCs w:val="22"/>
        </w:rPr>
        <w:t xml:space="preserve">Three features deserve emphasis. First, the floor alone, no sixth-generation premium at all, matches the Gripen E account job for job: 2,019 to 5,671 direct. Assembling crewed fighters in Canada produces employment an order of magnitude beyond the roughly 200 positions an F-35-only path supports, because the work happens here. Second, the enduring sustainment and MRO line (525 plus 23.4N direct) outlasts every production phase: it persists for the fleet's life and lands principally at Mirabel, Halifax and Cold Lake. Third, the account stacks on the Northern Horizon workforce rather than competing with it, as Part VII's ramp shows.</w:t>
      </w:r>
    </w:p>
    <w:p>
      <w:pPr>
        <w:pStyle w:val="Heading2"/>
        <w:spacing w:after="140" w:before="280"/>
      </w:pPr>
      <w:r>
        <w:rPr>
          <w:rFonts w:ascii="Georgia" w:cs="Georgia" w:eastAsia="SimSun" w:hAnsi="Georgia"/>
          <w:b/>
          <w:bCs/>
          <w:color w:val="1F3A5F"/>
          <w:sz w:val="26"/>
          <w:szCs w:val="26"/>
        </w:rPr>
        <w:t xml:space="preserve">6.3 Regional Distribution</w:t>
      </w:r>
    </w:p>
    <w:p>
      <w:pPr>
        <w:spacing w:after="100" w:before="120"/>
        <w:jc w:val="center"/>
      </w:pPr>
      <w:r>
        <w:rPr>
          <w:rFonts w:ascii="Georgia" w:cs="Georgia" w:eastAsia="SimSun" w:hAnsi="Georgia"/>
          <w:i/>
          <w:iCs/>
          <w:color w:val="6B7F94"/>
          <w:sz w:val="18"/>
          <w:szCs w:val="18"/>
        </w:rPr>
        <w:t xml:space="preserve">Table VI-3. Tempest fleet account direct employment by region at anchor fleet sizes (CALCULATED from the Table VI-1 build)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700"/>
        <w:gridCol w:w="1276"/>
        <w:gridCol w:w="1276"/>
        <w:gridCol w:w="1276"/>
        <w:gridCol w:w="1276"/>
        <w:gridCol w:w="1276"/>
        <w:gridCol w:w="1280"/>
      </w:tblGrid>
      <w:tr>
        <w:trPr>
          <w:tblHeader/>
        </w:trPr>
        <w:tc>
          <w:tcPr>
            <w:tcW w:type="dxa" w:w="17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Region</w:t>
            </w:r>
          </w:p>
        </w:tc>
        <w:tc>
          <w:tcPr>
            <w:tcW w:type="dxa" w:w="127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10</w:t>
            </w:r>
          </w:p>
        </w:tc>
        <w:tc>
          <w:tcPr>
            <w:tcW w:type="dxa" w:w="127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28</w:t>
            </w:r>
          </w:p>
        </w:tc>
        <w:tc>
          <w:tcPr>
            <w:tcW w:type="dxa" w:w="127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40</w:t>
            </w:r>
          </w:p>
        </w:tc>
        <w:tc>
          <w:tcPr>
            <w:tcW w:type="dxa" w:w="127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48</w:t>
            </w:r>
          </w:p>
        </w:tc>
        <w:tc>
          <w:tcPr>
            <w:tcW w:type="dxa" w:w="1276"/>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60</w:t>
            </w:r>
          </w:p>
        </w:tc>
        <w:tc>
          <w:tcPr>
            <w:tcW w:type="dxa" w:w="128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 = 72</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Quebec</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1,810</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2,747</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3,371</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3,788</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4,412</w:t>
            </w:r>
          </w:p>
        </w:tc>
        <w:tc>
          <w:tcPr>
            <w:tcW w:type="dxa" w:w="128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5,037</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Ontario</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430</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649</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796</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893</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1,040</w:t>
            </w:r>
          </w:p>
        </w:tc>
        <w:tc>
          <w:tcPr>
            <w:tcW w:type="dxa" w:w="128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1,186</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Western Canada</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250</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389</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482</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543</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636</w:t>
            </w:r>
          </w:p>
        </w:tc>
        <w:tc>
          <w:tcPr>
            <w:tcW w:type="dxa" w:w="128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729</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Atlantic &amp; Northern</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411</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637</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788</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888</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1,039</w:t>
            </w:r>
          </w:p>
        </w:tc>
        <w:tc>
          <w:tcPr>
            <w:tcW w:type="dxa" w:w="128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1,190</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Pan-Canadian</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128</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197</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243</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274</w:t>
            </w:r>
          </w:p>
        </w:tc>
        <w:tc>
          <w:tcPr>
            <w:tcW w:type="dxa" w:w="1276"/>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320</w:t>
            </w:r>
          </w:p>
        </w:tc>
        <w:tc>
          <w:tcPr>
            <w:tcW w:type="dxa" w:w="128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365</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ACCOUNT TOTAL (direct)</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3,028</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4,619</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5,679</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6,386</w:t>
            </w:r>
          </w:p>
        </w:tc>
        <w:tc>
          <w:tcPr>
            <w:tcW w:type="dxa" w:w="1276"/>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7,446</w:t>
            </w:r>
          </w:p>
        </w:tc>
        <w:tc>
          <w:tcPr>
            <w:tcW w:type="dxa" w:w="128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8,506</w:t>
            </w:r>
          </w:p>
        </w:tc>
      </w:tr>
    </w:tbl>
    <w:p>
      <w:pPr>
        <w:spacing w:after="160"/>
      </w:pPr>
      <w:r>
        <w:rPr>
          <w:rFonts w:ascii="Georgia" w:cs="Georgia" w:eastAsia="SimSun" w:hAnsi="Georgia"/>
          <w:color w:val="6B7F94"/>
          <w:sz w:val="18"/>
          <w:szCs w:val="18"/>
        </w:rPr>
        <w:t xml:space="preserve">Assembly, training and most propulsion work land in Quebec; mission systems split toward Ontario; the enduring sustainment line lands principally in Atlantic Canada (IMP Halifax) and Western Canada (Cold Lake). The account's regional balance tilts less toward Quebec than the drone accounts do as fleets grow.</w:t>
      </w:r>
    </w:p>
    <w:p>
      <w:pPr>
        <w:pStyle w:val="Heading2"/>
        <w:spacing w:after="140" w:before="280"/>
      </w:pPr>
      <w:r>
        <w:rPr>
          <w:rFonts w:ascii="Georgia" w:cs="Georgia" w:eastAsia="SimSun" w:hAnsi="Georgia"/>
          <w:b/>
          <w:bCs/>
          <w:color w:val="1F3A5F"/>
          <w:sz w:val="26"/>
          <w:szCs w:val="26"/>
        </w:rPr>
        <w:t xml:space="preserve">6.4 Floor and Base: The Content-Scaling Choice</w:t>
      </w:r>
    </w:p>
    <w:p>
      <w:pPr>
        <w:spacing w:after="140" w:line="300"/>
        <w:ind w:firstLine="431"/>
      </w:pPr>
      <w:r>
        <w:rPr>
          <w:rFonts w:ascii="Georgia" w:cs="Georgia" w:eastAsia="SimSun" w:hAnsi="Georgia"/>
          <w:sz w:val="22"/>
          <w:szCs w:val="22"/>
        </w:rPr>
        <w:t xml:space="preserve">The 1.5x factor is a deliberate conservative midpoint. Cost proportionality (C$225M against the Gripen E reference of C$114.75M) argues for 1.96x; labour parity argues for 1.0x. Sixth-generation airframes carry more software, sensor and low-observable content per aircraft, and Canadian workshare concentrates in exactly those content-heavy packages (WP-B, WP-D), while the heaviest capital plant, engine hot-section work, remains with the engine consortium. The base build therefore adopts 1.5x, reports the floor beside every figure, and leaves the sensitivity to Part XV.</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VII. Job Gains: The Programme Side</w:t>
      </w:r>
    </w:p>
    <w:p>
      <w:pPr>
        <w:pStyle w:val="Heading2"/>
        <w:spacing w:after="140" w:before="280"/>
      </w:pPr>
      <w:r>
        <w:rPr>
          <w:rFonts w:ascii="Georgia" w:cs="Georgia" w:eastAsia="SimSun" w:hAnsi="Georgia"/>
          <w:b/>
          <w:bCs/>
          <w:color w:val="1F3A5F"/>
          <w:sz w:val="26"/>
          <w:szCs w:val="26"/>
        </w:rPr>
        <w:t xml:space="preserve">7.1 Employment by Phase</w:t>
      </w:r>
    </w:p>
    <w:p>
      <w:pPr>
        <w:spacing w:after="140" w:line="300"/>
        <w:ind w:firstLine="431"/>
      </w:pPr>
      <w:r>
        <w:rPr>
          <w:rFonts w:ascii="Georgia" w:cs="Georgia" w:eastAsia="SimSun" w:hAnsi="Georgia"/>
          <w:sz w:val="22"/>
          <w:szCs w:val="22"/>
        </w:rPr>
        <w:t xml:space="preserve">Programme-side employment, the jobs flowing from Canada's GCAP workshare rather than from the Canadian fleet itself, follows the phased accession model. The phase ranges below carry over from the v5.0 Pathway with one recalibration: production workshare on the partner fleet now derives from the roughly 350-aircraft partner demand verified in 2025 to 2026 reporting, at 8 to 12 percent Canadian share and the v6.1 production-line rates, yielding 1,700 to 2,500 direct jobs rather than a top-down guess.</w:t>
      </w:r>
    </w:p>
    <w:p>
      <w:pPr>
        <w:spacing w:after="100" w:before="120"/>
        <w:jc w:val="center"/>
      </w:pPr>
      <w:r>
        <w:rPr>
          <w:rFonts w:ascii="Georgia" w:cs="Georgia" w:eastAsia="SimSun" w:hAnsi="Georgia"/>
          <w:i/>
          <w:iCs/>
          <w:color w:val="6B7F94"/>
          <w:sz w:val="18"/>
          <w:szCs w:val="18"/>
        </w:rPr>
        <w:t xml:space="preserve">Table VII-1. Canadian GCAP employment by phase (ESTIMATE; closing event: accession workshare agreement)</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200"/>
        <w:gridCol w:w="1790"/>
        <w:gridCol w:w="1790"/>
        <w:gridCol w:w="1790"/>
        <w:gridCol w:w="1790"/>
      </w:tblGrid>
      <w:tr>
        <w:trPr>
          <w:tblHeader/>
        </w:trPr>
        <w:tc>
          <w:tcPr>
            <w:tcW w:type="dxa" w:w="22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Phase</w:t>
            </w:r>
          </w:p>
        </w:tc>
        <w:tc>
          <w:tcPr>
            <w:tcW w:type="dxa" w:w="179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Direct jobs</w:t>
            </w:r>
          </w:p>
        </w:tc>
        <w:tc>
          <w:tcPr>
            <w:tcW w:type="dxa" w:w="179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Indirect + induced</w:t>
            </w:r>
          </w:p>
        </w:tc>
        <w:tc>
          <w:tcPr>
            <w:tcW w:type="dxa" w:w="179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Total jobs</w:t>
            </w:r>
          </w:p>
        </w:tc>
        <w:tc>
          <w:tcPr>
            <w:tcW w:type="dxa" w:w="179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Period</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Phase 0, Observer (secured)</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150 to 250</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250 to 400</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400 to 650</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2026 to 2027 (in place)</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Phase 1, Industrial associate</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400 to 800</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600 to 1,200</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1,000 to 2,000</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2027 to 2031</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Phase 2, Partner-tier development</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2,000 to 3,000</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3,000 to 5,000</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5,000 to 8,000</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2028 to 2035</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Production workshare on partner fleets</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1,700 to 2,500</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2,400 to 3,600</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4,100 to 6,100</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2033 to 2050</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Canadian fleet account (this document, Table VI-2)</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3,028 to 8,506</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4,331 to 12,163</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7,359 to 20,670</w:t>
            </w:r>
          </w:p>
        </w:tc>
        <w:tc>
          <w:tcPr>
            <w:tcW w:type="dxa" w:w="179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2033 onward, by fleet size</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Peak overlap (phased, not simultaneous)</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see Part VIII stack</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see Part VIII stack</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22,843 to 50,215 by fleet size</w:t>
            </w:r>
          </w:p>
        </w:tc>
        <w:tc>
          <w:tcPr>
            <w:tcW w:type="dxa" w:w="179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2035 to 2045 window</w:t>
            </w:r>
          </w:p>
        </w:tc>
      </w:tr>
    </w:tbl>
    <w:p>
      <w:pPr>
        <w:pStyle w:val="Heading2"/>
        <w:spacing w:after="140" w:before="280"/>
      </w:pPr>
      <w:r>
        <w:rPr>
          <w:rFonts w:ascii="Georgia" w:cs="Georgia" w:eastAsia="SimSun" w:hAnsi="Georgia"/>
          <w:b/>
          <w:bCs/>
          <w:color w:val="1F3A5F"/>
          <w:sz w:val="26"/>
          <w:szCs w:val="26"/>
        </w:rPr>
        <w:t xml:space="preserve">7.2 The Ramp and the Handoff</w:t>
      </w:r>
    </w:p>
    <w:p>
      <w:pPr>
        <w:spacing w:after="140" w:line="300"/>
        <w:ind w:firstLine="431"/>
      </w:pPr>
      <w:r>
        <w:rPr>
          <w:rFonts w:ascii="Georgia" w:cs="Georgia" w:eastAsia="SimSun" w:hAnsi="Georgia"/>
          <w:sz w:val="22"/>
          <w:szCs w:val="22"/>
        </w:rPr>
        <w:t xml:space="preserve">GCAP employment does not arrive as a step function; it follows the programme's engineering cadence. The ramp below stacks on the Northern Horizon ramp, which peaks in 2029 to 2032 and hands its trained workforce to GCAP rather than dispersing it. Without GCAP, the 2030s boom becomes a bust. With it, the composite cell, the depot and the training enterprise the fleet paid for become GCAP's Canadian infrastructure instead of stranded capital.</w:t>
      </w:r>
    </w:p>
    <w:p>
      <w:pPr>
        <w:spacing w:after="100" w:before="120"/>
        <w:jc w:val="center"/>
      </w:pPr>
      <w:r>
        <w:rPr>
          <w:rFonts w:ascii="Georgia" w:cs="Georgia" w:eastAsia="SimSun" w:hAnsi="Georgia"/>
          <w:i/>
          <w:iCs/>
          <w:color w:val="6B7F94"/>
          <w:sz w:val="18"/>
          <w:szCs w:val="18"/>
        </w:rPr>
        <w:t xml:space="preserve">Table VII-2. Direct-employment ramp at the reference pairing (ESTIMATE)</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500"/>
        <w:gridCol w:w="2620"/>
        <w:gridCol w:w="2620"/>
        <w:gridCol w:w="2620"/>
      </w:tblGrid>
      <w:tr>
        <w:trPr>
          <w:tblHeader/>
        </w:trPr>
        <w:tc>
          <w:tcPr>
            <w:tcW w:type="dxa" w:w="15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Years</w:t>
            </w:r>
          </w:p>
        </w:tc>
        <w:tc>
          <w:tcPr>
            <w:tcW w:type="dxa" w:w="26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GCAP phase</w:t>
            </w:r>
          </w:p>
        </w:tc>
        <w:tc>
          <w:tcPr>
            <w:tcW w:type="dxa" w:w="26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GCAP direct jobs (reference fleet N = 48)</w:t>
            </w:r>
          </w:p>
        </w:tc>
        <w:tc>
          <w:tcPr>
            <w:tcW w:type="dxa" w:w="26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Programme milestone</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2026 to 2027</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Phase 0, Observer</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150 to 250</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CAE simulation workshare; Edgewing liaison office opens</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2028 to 2030</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Phase 1, Associate</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400 to 800</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Flight test from early 2028; WP-B and WP-D bids</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2031 to 2033</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Phase 2, Partner development</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2,000 to 3,000</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Detailed design complete; design authority inside Canadian packages</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2033 to 2036</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Production workshare + fleet assembly start</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4,500 to 6,000</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Series production ramp; first Canadian aircraft on the Mirabel line</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2036 to 2040</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Full production + sustainment build-up</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7,400 to 8,900</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Fleet account at N = 48 (6,386 direct) plus workshare band</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2040 onward</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Enduring sustainment + workshare tail</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4,800 to 6,200</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MRO anchor 2,145 + 23.4N; upgrades and partner-fleet content</w:t>
            </w:r>
          </w:p>
        </w:tc>
      </w:tr>
    </w:tbl>
    <w:p>
      <w:pPr>
        <w:spacing w:after="6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00" w:before="120"/>
        <w:jc w:val="center"/>
      </w:pPr>
      <w:r>
        <w:rPr>
          <w:rFonts w:ascii="Georgia" w:cs="Georgia" w:eastAsia="SimSun" w:hAnsi="Georgia"/>
          <w:i/>
          <w:iCs/>
          <w:color w:val="6B7F94"/>
          <w:sz w:val="18"/>
          <w:szCs w:val="18"/>
        </w:rPr>
        <w:t xml:space="preserve">Figure 3. The employment handoff between the v6.1 fleet and GCAP, reference pairing.</w:t>
      </w:r>
    </w:p>
    <w:p>
      <w:pPr>
        <w:pStyle w:val="Heading2"/>
        <w:spacing w:after="140" w:before="280"/>
      </w:pPr>
      <w:r>
        <w:rPr>
          <w:rFonts w:ascii="Georgia" w:cs="Georgia" w:eastAsia="SimSun" w:hAnsi="Georgia"/>
          <w:b/>
          <w:bCs/>
          <w:color w:val="1F3A5F"/>
          <w:sz w:val="26"/>
          <w:szCs w:val="26"/>
        </w:rPr>
        <w:t xml:space="preserve">7.3 Occupational Mix</w:t>
      </w:r>
    </w:p>
    <w:p>
      <w:pPr>
        <w:spacing w:after="100" w:before="120"/>
        <w:jc w:val="center"/>
      </w:pPr>
      <w:r>
        <w:rPr>
          <w:rFonts w:ascii="Georgia" w:cs="Georgia" w:eastAsia="SimSun" w:hAnsi="Georgia"/>
          <w:i/>
          <w:iCs/>
          <w:color w:val="6B7F94"/>
          <w:sz w:val="18"/>
          <w:szCs w:val="18"/>
        </w:rPr>
        <w:t xml:space="preserve">Table VII-3. GCAP occupational mix (ESTIMATE, derived from partner design-phase staffing profiles)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600"/>
        <w:gridCol w:w="2253"/>
        <w:gridCol w:w="2253"/>
        <w:gridCol w:w="2254"/>
      </w:tblGrid>
      <w:tr>
        <w:trPr>
          <w:tblHeader/>
        </w:trPr>
        <w:tc>
          <w:tcPr>
            <w:tcW w:type="dxa" w:w="26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Occupational family</w:t>
            </w:r>
          </w:p>
        </w:tc>
        <w:tc>
          <w:tcPr>
            <w:tcW w:type="dxa" w:w="2253"/>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Share of GCAP direct jobs</w:t>
            </w:r>
          </w:p>
        </w:tc>
        <w:tc>
          <w:tcPr>
            <w:tcW w:type="dxa" w:w="2253"/>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Primary locations</w:t>
            </w:r>
          </w:p>
        </w:tc>
        <w:tc>
          <w:tcPr>
            <w:tcW w:type="dxa" w:w="2254"/>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Northern Horizon fleet overlap</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Systems and software engineering</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34 percent</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Ottawa, Toronto, Montreal</w:t>
            </w:r>
          </w:p>
        </w:tc>
        <w:tc>
          <w:tcPr>
            <w:tcW w:type="dxa" w:w="22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Low; different seniority profile</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Simulation and training specialists</w:t>
            </w:r>
          </w:p>
        </w:tc>
        <w:tc>
          <w:tcPr>
            <w:tcW w:type="dxa" w:w="22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18 percent</w:t>
            </w:r>
          </w:p>
        </w:tc>
        <w:tc>
          <w:tcPr>
            <w:tcW w:type="dxa" w:w="22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Montreal (CAE anchor)</w:t>
            </w:r>
          </w:p>
        </w:tc>
        <w:tc>
          <w:tcPr>
            <w:tcW w:type="dxa" w:w="22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Direct continuity from NH training workshare</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Airframe and propulsion engineering</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16 percent</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Montreal, Winnipeg</w:t>
            </w:r>
          </w:p>
        </w:tc>
        <w:tc>
          <w:tcPr>
            <w:tcW w:type="dxa" w:w="22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Medium; transferable from Gripen NRE</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Autonomy and AI engineering</w:t>
            </w:r>
          </w:p>
        </w:tc>
        <w:tc>
          <w:tcPr>
            <w:tcW w:type="dxa" w:w="22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14 percent</w:t>
            </w:r>
          </w:p>
        </w:tc>
        <w:tc>
          <w:tcPr>
            <w:tcW w:type="dxa" w:w="22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Ottawa, Waterloo, Quebec City</w:t>
            </w:r>
          </w:p>
        </w:tc>
        <w:tc>
          <w:tcPr>
            <w:tcW w:type="dxa" w:w="22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Direct continuity from Sprinter stack</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Skilled trades (prototype and production)</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12 percent</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Montreal, Halifax</w:t>
            </w:r>
          </w:p>
        </w:tc>
        <w:tc>
          <w:tcPr>
            <w:tcW w:type="dxa" w:w="22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High; shared apprenticeship pipeline</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Programme management and support</w:t>
            </w:r>
          </w:p>
        </w:tc>
        <w:tc>
          <w:tcPr>
            <w:tcW w:type="dxa" w:w="22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6 percent</w:t>
            </w:r>
          </w:p>
        </w:tc>
        <w:tc>
          <w:tcPr>
            <w:tcW w:type="dxa" w:w="22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National</w:t>
            </w:r>
          </w:p>
        </w:tc>
        <w:tc>
          <w:tcPr>
            <w:tcW w:type="dxa" w:w="22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Shared PMO practices from NH delivery</w:t>
            </w:r>
          </w:p>
        </w:tc>
      </w:tr>
    </w:tbl>
    <w:p>
      <w:pPr>
        <w:spacing w:after="140" w:line="300"/>
        <w:ind w:firstLine="431"/>
      </w:pPr>
      <w:r>
        <w:rPr>
          <w:rFonts w:ascii="Georgia" w:cs="Georgia" w:eastAsia="SimSun" w:hAnsi="Georgia"/>
          <w:sz w:val="22"/>
          <w:szCs w:val="22"/>
        </w:rPr>
        <w:t xml:space="preserve">The occupational mix differs deliberately from the Northern Horizon fleet: where the fleet peaks in skilled-trades assembly and maintenance occupations, GCAP peaks in engineering and software. The labour demands complement rather than compete, and the auto-to-aero pipeline of Part XII feeds the trades side while the universities feed the engineering side.</w:t>
      </w:r>
    </w:p>
    <w:p>
      <w:pPr>
        <w:pStyle w:val="Heading2"/>
        <w:spacing w:after="140" w:before="280"/>
      </w:pPr>
      <w:r>
        <w:rPr>
          <w:rFonts w:ascii="Georgia" w:cs="Georgia" w:eastAsia="SimSun" w:hAnsi="Georgia"/>
          <w:b/>
          <w:bCs/>
          <w:color w:val="1F3A5F"/>
          <w:sz w:val="26"/>
          <w:szCs w:val="26"/>
        </w:rPr>
        <w:t xml:space="preserve">7.4 Comparison to Alternative Paths</w:t>
      </w:r>
    </w:p>
    <w:p>
      <w:pPr>
        <w:spacing w:after="100" w:before="120"/>
        <w:jc w:val="center"/>
      </w:pPr>
      <w:r>
        <w:rPr>
          <w:rFonts w:ascii="Georgia" w:cs="Georgia" w:eastAsia="SimSun" w:hAnsi="Georgia"/>
          <w:i/>
          <w:iCs/>
          <w:color w:val="6B7F94"/>
          <w:sz w:val="18"/>
          <w:szCs w:val="18"/>
        </w:rPr>
        <w:t xml:space="preserve">Table VII-4. Employment by strategic path</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500"/>
        <w:gridCol w:w="2286"/>
        <w:gridCol w:w="2286"/>
        <w:gridCol w:w="2288"/>
      </w:tblGrid>
      <w:tr>
        <w:trPr>
          <w:tblHeader/>
        </w:trPr>
        <w:tc>
          <w:tcPr>
            <w:tcW w:type="dxa" w:w="25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Path</w:t>
            </w:r>
          </w:p>
        </w:tc>
        <w:tc>
          <w:tcPr>
            <w:tcW w:type="dxa" w:w="2286"/>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Canadian jobs created</w:t>
            </w:r>
          </w:p>
        </w:tc>
        <w:tc>
          <w:tcPr>
            <w:tcW w:type="dxa" w:w="2286"/>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Sovereign control</w:t>
            </w:r>
          </w:p>
        </w:tc>
        <w:tc>
          <w:tcPr>
            <w:tcW w:type="dxa" w:w="228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Sixth-generation position</w:t>
            </w:r>
          </w:p>
        </w:tc>
      </w:tr>
      <w:tr>
        <w:trPr>
          <w:tblHeader w:val="false"/>
        </w:trPr>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F-35 only</w:t>
            </w:r>
          </w:p>
        </w:tc>
        <w:tc>
          <w:tcPr>
            <w:tcW w:type="dxa" w:w="22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about 200 (base support)</w:t>
            </w:r>
          </w:p>
        </w:tc>
        <w:tc>
          <w:tcPr>
            <w:tcW w:type="dxa" w:w="22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Limited; US-controlled platform</w:t>
            </w:r>
          </w:p>
        </w:tc>
        <w:tc>
          <w:tcPr>
            <w:tcW w:type="dxa" w:w="22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None; perpetual customer</w:t>
            </w:r>
          </w:p>
        </w:tc>
      </w:tr>
      <w:tr>
        <w:trPr>
          <w:tblHeader w:val="false"/>
        </w:trPr>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Northern Horizon v6.1, no GCAP</w:t>
            </w:r>
          </w:p>
        </w:tc>
        <w:tc>
          <w:tcPr>
            <w:tcW w:type="dxa" w:w="22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11,353 to 23,470 total, declining after 2036</w:t>
            </w:r>
          </w:p>
        </w:tc>
        <w:tc>
          <w:tcPr>
            <w:tcW w:type="dxa" w:w="22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High on the manned fleet</w:t>
            </w:r>
          </w:p>
        </w:tc>
        <w:tc>
          <w:tcPr>
            <w:tcW w:type="dxa" w:w="228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None; gap after about 2045</w:t>
            </w:r>
          </w:p>
        </w:tc>
      </w:tr>
      <w:tr>
        <w:trPr>
          <w:tblHeader w:val="false"/>
        </w:trPr>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Northern Horizon v6.1 + GCAP phased entry</w:t>
            </w:r>
          </w:p>
        </w:tc>
        <w:tc>
          <w:tcPr>
            <w:tcW w:type="dxa" w:w="22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22,843 to 50,215 total at peak overlap</w:t>
            </w:r>
          </w:p>
        </w:tc>
        <w:tc>
          <w:tcPr>
            <w:tcW w:type="dxa" w:w="22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High, growing to design authority</w:t>
            </w:r>
          </w:p>
        </w:tc>
        <w:tc>
          <w:tcPr>
            <w:tcW w:type="dxa" w:w="22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Partner in the only accessible programme</w:t>
            </w:r>
          </w:p>
        </w:tc>
      </w:tr>
    </w:tbl>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VIII. The Whole Stack: Combined Employment</w:t>
      </w:r>
    </w:p>
    <w:p>
      <w:pPr>
        <w:spacing w:after="140" w:line="300"/>
        <w:ind w:firstLine="431"/>
      </w:pPr>
      <w:r>
        <w:rPr>
          <w:rFonts w:ascii="Georgia" w:cs="Georgia" w:eastAsia="SimSun" w:hAnsi="Georgia"/>
          <w:sz w:val="22"/>
          <w:szCs w:val="22"/>
        </w:rPr>
        <w:t xml:space="preserve">Three layers stack at every fleet size: the Northern Horizon whole programme (the three v6.1 packages plus the Gripen E account of the companion Outlook), the Tempest fleet account of Part VI, and the partner-fleet production workshare of Part VII. The layers phase apart in time, so the stack column reads as a peak-overlap figure for the 2035 to 2045 window, not a single-year headcount; the ramp of Table VII-2 keeps the running total honest.</w:t>
      </w:r>
    </w:p>
    <w:p>
      <w:pPr>
        <w:spacing w:after="100" w:before="120"/>
        <w:jc w:val="center"/>
      </w:pPr>
      <w:r>
        <w:rPr>
          <w:rFonts w:ascii="Georgia" w:cs="Georgia" w:eastAsia="SimSun" w:hAnsi="Georgia"/>
          <w:i/>
          <w:iCs/>
          <w:color w:val="6B7F94"/>
          <w:sz w:val="18"/>
          <w:szCs w:val="18"/>
        </w:rPr>
        <w:t xml:space="preserve">Table VIII-1. Whole-stack peak employment by fleet size (CALCULATED; layers tagged in Appendices A and C)</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250"/>
        <w:gridCol w:w="2027"/>
        <w:gridCol w:w="2027"/>
        <w:gridCol w:w="2027"/>
        <w:gridCol w:w="2029"/>
      </w:tblGrid>
      <w:tr>
        <w:trPr>
          <w:tblHeader/>
        </w:trPr>
        <w:tc>
          <w:tcPr>
            <w:tcW w:type="dxa" w:w="125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Fleet size N</w:t>
            </w:r>
          </w:p>
        </w:tc>
        <w:tc>
          <w:tcPr>
            <w:tcW w:type="dxa" w:w="2027"/>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Northern Horizon whole programme (total jobs)</w:t>
            </w:r>
          </w:p>
        </w:tc>
        <w:tc>
          <w:tcPr>
            <w:tcW w:type="dxa" w:w="2027"/>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Tempest fleet account (total jobs)</w:t>
            </w:r>
          </w:p>
        </w:tc>
        <w:tc>
          <w:tcPr>
            <w:tcW w:type="dxa" w:w="2027"/>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GCAP partner-fleet workshare (total jobs)</w:t>
            </w:r>
          </w:p>
        </w:tc>
        <w:tc>
          <w:tcPr>
            <w:tcW w:type="dxa" w:w="2029"/>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WHOLE-STACK PEAK (total jobs)</w:t>
            </w:r>
          </w:p>
        </w:tc>
      </w:tr>
      <w:tr>
        <w:trPr>
          <w:tblHeader w:val="false"/>
        </w:trPr>
        <w:tc>
          <w:tcPr>
            <w:tcW w:type="dxa" w:w="12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11,353</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7,359</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22,843 to 24,787</w:t>
            </w:r>
          </w:p>
        </w:tc>
      </w:tr>
      <w:tr>
        <w:trPr>
          <w:tblHeader w:val="false"/>
        </w:trPr>
        <w:tc>
          <w:tcPr>
            <w:tcW w:type="dxa" w:w="12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12,709</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8,433</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25,273 to 27,217</w:t>
            </w:r>
          </w:p>
        </w:tc>
      </w:tr>
      <w:tr>
        <w:trPr>
          <w:tblHeader w:val="false"/>
        </w:trPr>
        <w:tc>
          <w:tcPr>
            <w:tcW w:type="dxa" w:w="12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14,084</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9,506</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27,721 to 29,665</w:t>
            </w:r>
          </w:p>
        </w:tc>
      </w:tr>
      <w:tr>
        <w:trPr>
          <w:tblHeader w:val="false"/>
        </w:trPr>
        <w:tc>
          <w:tcPr>
            <w:tcW w:type="dxa" w:w="12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15,336</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10,580</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30,047 to 31,991</w:t>
            </w:r>
          </w:p>
        </w:tc>
      </w:tr>
      <w:tr>
        <w:trPr>
          <w:tblHeader w:val="false"/>
        </w:trPr>
        <w:tc>
          <w:tcPr>
            <w:tcW w:type="dxa" w:w="12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15,842</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11,224</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31,197 to 33,141</w:t>
            </w:r>
          </w:p>
        </w:tc>
      </w:tr>
      <w:tr>
        <w:trPr>
          <w:tblHeader w:val="false"/>
        </w:trPr>
        <w:tc>
          <w:tcPr>
            <w:tcW w:type="dxa" w:w="12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16,179</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11,653</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31,963 to 33,907</w:t>
            </w:r>
          </w:p>
        </w:tc>
      </w:tr>
      <w:tr>
        <w:trPr>
          <w:tblHeader w:val="false"/>
        </w:trPr>
        <w:tc>
          <w:tcPr>
            <w:tcW w:type="dxa" w:w="12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17,031</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12,727</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33,889 to 35,833</w:t>
            </w:r>
          </w:p>
        </w:tc>
      </w:tr>
      <w:tr>
        <w:trPr>
          <w:tblHeader w:val="false"/>
        </w:trPr>
        <w:tc>
          <w:tcPr>
            <w:tcW w:type="dxa" w:w="12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17,569</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13,371</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35,071 to 37,015</w:t>
            </w:r>
          </w:p>
        </w:tc>
      </w:tr>
      <w:tr>
        <w:trPr>
          <w:tblHeader w:val="false"/>
        </w:trPr>
        <w:tc>
          <w:tcPr>
            <w:tcW w:type="dxa" w:w="12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17,910</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13,800</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35,841 to 37,785</w:t>
            </w:r>
          </w:p>
        </w:tc>
      </w:tr>
      <w:tr>
        <w:trPr>
          <w:tblHeader w:val="false"/>
        </w:trPr>
        <w:tc>
          <w:tcPr>
            <w:tcW w:type="dxa" w:w="12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18,772</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14,873</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37,776 to 39,720</w:t>
            </w:r>
          </w:p>
        </w:tc>
      </w:tr>
      <w:tr>
        <w:trPr>
          <w:tblHeader w:val="false"/>
        </w:trPr>
        <w:tc>
          <w:tcPr>
            <w:tcW w:type="dxa" w:w="12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19,633</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15,947</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39,711 to 41,655</w:t>
            </w:r>
          </w:p>
        </w:tc>
      </w:tr>
      <w:tr>
        <w:trPr>
          <w:tblHeader w:val="false"/>
        </w:trPr>
        <w:tc>
          <w:tcPr>
            <w:tcW w:type="dxa" w:w="12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20,518</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17,020</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41,669 to 43,613</w:t>
            </w:r>
          </w:p>
        </w:tc>
      </w:tr>
      <w:tr>
        <w:trPr>
          <w:tblHeader w:val="false"/>
        </w:trPr>
        <w:tc>
          <w:tcPr>
            <w:tcW w:type="dxa" w:w="12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21,040</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17,664</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42,835 to 44,779</w:t>
            </w:r>
          </w:p>
        </w:tc>
      </w:tr>
      <w:tr>
        <w:trPr>
          <w:tblHeader w:val="false"/>
        </w:trPr>
        <w:tc>
          <w:tcPr>
            <w:tcW w:type="dxa" w:w="12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21,385</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18,094</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43,610 to 45,554</w:t>
            </w:r>
          </w:p>
        </w:tc>
      </w:tr>
      <w:tr>
        <w:trPr>
          <w:tblHeader w:val="false"/>
        </w:trPr>
        <w:tc>
          <w:tcPr>
            <w:tcW w:type="dxa" w:w="12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22,254</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19,167</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45,552 to 47,496</w:t>
            </w:r>
          </w:p>
        </w:tc>
      </w:tr>
      <w:tr>
        <w:trPr>
          <w:tblHeader w:val="false"/>
        </w:trPr>
        <w:tc>
          <w:tcPr>
            <w:tcW w:type="dxa" w:w="125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23,123</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20,241</w:t>
            </w:r>
          </w:p>
        </w:tc>
        <w:tc>
          <w:tcPr>
            <w:tcW w:type="dxa" w:w="2027"/>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47,495 to 49,439</w:t>
            </w:r>
          </w:p>
        </w:tc>
      </w:tr>
      <w:tr>
        <w:trPr>
          <w:tblHeader w:val="false"/>
        </w:trPr>
        <w:tc>
          <w:tcPr>
            <w:tcW w:type="dxa" w:w="125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23,470</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20,670</w:t>
            </w:r>
          </w:p>
        </w:tc>
        <w:tc>
          <w:tcPr>
            <w:tcW w:type="dxa" w:w="2027"/>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4,131 to 6,075</w:t>
            </w:r>
          </w:p>
        </w:tc>
        <w:tc>
          <w:tcPr>
            <w:tcW w:type="dxa" w:w="2029"/>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48,271 to 50,215</w:t>
            </w:r>
          </w:p>
        </w:tc>
      </w:tr>
    </w:tbl>
    <w:p>
      <w:pPr>
        <w:spacing w:after="160"/>
      </w:pPr>
      <w:r>
        <w:rPr>
          <w:rFonts w:ascii="Georgia" w:cs="Georgia" w:eastAsia="SimSun" w:hAnsi="Georgia"/>
          <w:color w:val="6B7F94"/>
          <w:sz w:val="18"/>
          <w:szCs w:val="18"/>
        </w:rPr>
        <w:t xml:space="preserve">Northern Horizon whole programme: 11,353 to 23,470 total jobs across the fleet sizes. Tempest fleet account: 7,359 to 20,670. Partner-fleet workshare: 4,131 to 6,075. The whole stack spans 22,843 to 24,787 total jobs at fleet size 10 and 48,271 to 50,215 at fleet size 72.</w:t>
      </w:r>
    </w:p>
    <w:p>
      <w:pPr>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100" w:before="120"/>
        <w:jc w:val="center"/>
      </w:pPr>
      <w:r>
        <w:rPr>
          <w:rFonts w:ascii="Georgia" w:cs="Georgia" w:eastAsia="SimSun" w:hAnsi="Georgia"/>
          <w:i/>
          <w:iCs/>
          <w:color w:val="6B7F94"/>
          <w:sz w:val="18"/>
          <w:szCs w:val="18"/>
        </w:rPr>
        <w:t xml:space="preserve">Figure 4. Whole-stack peak employment at the seventeen fleet sizes against the reference document's single-fleet total.</w:t>
      </w:r>
    </w:p>
    <w:p>
      <w:pPr>
        <w:spacing w:after="140" w:line="300"/>
        <w:ind w:firstLine="431"/>
      </w:pPr>
      <w:r>
        <w:rPr>
          <w:rFonts w:ascii="Georgia" w:cs="Georgia" w:eastAsia="SimSun" w:hAnsi="Georgia"/>
          <w:sz w:val="22"/>
          <w:szCs w:val="22"/>
        </w:rPr>
        <w:t xml:space="preserve">The stack overtakes the reference document's 20,630-job single-fleet total even at the smallest pairing, and more than doubles it from fleet size 38 upward. The comparison flatters the new analysis for an honest reason: the reference document counted one fleet at one quantity, while this document counts a programme at seventeen. Every layer carries its own verification tag, and the ESTIMATE layers name their closing events.</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IX. GDP Contribution and Economic Growth</w:t>
      </w:r>
    </w:p>
    <w:p>
      <w:pPr>
        <w:spacing w:after="140" w:line="300"/>
        <w:ind w:firstLine="431"/>
      </w:pPr>
      <w:r>
        <w:rPr>
          <w:rFonts w:ascii="Georgia" w:cs="Georgia" w:eastAsia="SimSun" w:hAnsi="Georgia"/>
          <w:sz w:val="22"/>
          <w:szCs w:val="22"/>
        </w:rPr>
        <w:t xml:space="preserve">GCAP-side GDP arrives through two channels. The programme-side channel, R&amp;D contribution, production workshare and sustainment on partner fleets, yields C$6.6B to C$9.9B over 25 years at the ISED 2024 multiplier structure (direct 1.00x, indirect 0.72x, induced 0.47x), a figure CARRIED from the v5.0 Pathway whose basis, 8 to 12 percent workshare of the partner-disclosed programme value, remains valid against September 2026 disclosures. PwC's Eurofighter analysis found partner-nation multipliers of 2.8x to 3.2x, implying upside if Canadian supply-chain localization pursues the Northern Horizon SME base aggressively.</w:t>
      </w:r>
    </w:p>
    <w:p>
      <w:pPr>
        <w:spacing w:after="140" w:line="300"/>
        <w:ind w:firstLine="431"/>
      </w:pPr>
      <w:r>
        <w:rPr>
          <w:rFonts w:ascii="Georgia" w:cs="Georgia" w:eastAsia="SimSun" w:hAnsi="Georgia"/>
          <w:sz w:val="22"/>
          <w:szCs w:val="22"/>
        </w:rPr>
        <w:t xml:space="preserve">The fleet-account channel is new in this edition. Canadian capture of 60 percent of base acquisition (assembly model) plus 80 percent retention of sustainment spending produces a Canadian injection of C$2.71B at fleet size 10 rising to C$16.54B at fleet size 72, generating C$5.9B to C$36.2B of GDP at 2.19x over the production and sustainment eras. Combined with the Northern Horizon programme's own C$12.5B to C$21.7B ten-year contribution, the stacked strategy converts a procurement event into an industrial era: the 2036 to 2045 decade, empty under an F-35-only strategy, becomes the strongest.</w:t>
      </w:r>
    </w:p>
    <w:p>
      <w:pPr>
        <w:spacing w:after="100" w:before="120"/>
        <w:jc w:val="center"/>
      </w:pPr>
      <w:r>
        <w:rPr>
          <w:rFonts w:ascii="Georgia" w:cs="Georgia" w:eastAsia="SimSun" w:hAnsi="Georgia"/>
          <w:i/>
          <w:iCs/>
          <w:color w:val="6B7F94"/>
          <w:sz w:val="18"/>
          <w:szCs w:val="18"/>
        </w:rPr>
        <w:t xml:space="preserve">Table IX-1. Tempest fleet account GDP by fleet size (C$ million; CALCULATED on ESTIMATE capture shares)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800"/>
        <w:gridCol w:w="1500"/>
        <w:gridCol w:w="1700"/>
        <w:gridCol w:w="1350"/>
        <w:gridCol w:w="1500"/>
        <w:gridCol w:w="1300"/>
        <w:gridCol w:w="1210"/>
      </w:tblGrid>
      <w:tr>
        <w:trPr>
          <w:tblHeader/>
        </w:trPr>
        <w:tc>
          <w:tcPr>
            <w:tcW w:type="dxa" w:w="8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Fleet size N</w:t>
            </w:r>
          </w:p>
        </w:tc>
        <w:tc>
          <w:tcPr>
            <w:tcW w:type="dxa" w:w="15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Fleet acquisition, base (C$M)</w:t>
            </w:r>
          </w:p>
        </w:tc>
        <w:tc>
          <w:tcPr>
            <w:tcW w:type="dxa" w:w="17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Canadian capture of acquisition (60%) (C$M)</w:t>
            </w:r>
          </w:p>
        </w:tc>
        <w:tc>
          <w:tcPr>
            <w:tcW w:type="dxa" w:w="135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10-yr sustainment (C$M)</w:t>
            </w:r>
          </w:p>
        </w:tc>
        <w:tc>
          <w:tcPr>
            <w:tcW w:type="dxa" w:w="15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Retained sustainment (80%) (C$M)</w:t>
            </w:r>
          </w:p>
        </w:tc>
        <w:tc>
          <w:tcPr>
            <w:tcW w:type="dxa" w:w="13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Canadian injection (C$M)</w:t>
            </w:r>
          </w:p>
        </w:tc>
        <w:tc>
          <w:tcPr>
            <w:tcW w:type="dxa" w:w="121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GDP contribution at 2.19x (C$M)</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3,050</w:t>
            </w:r>
          </w:p>
        </w:tc>
        <w:tc>
          <w:tcPr>
            <w:tcW w:type="dxa" w:w="17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1,830</w:t>
            </w:r>
          </w:p>
        </w:tc>
        <w:tc>
          <w:tcPr>
            <w:tcW w:type="dxa" w:w="13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1,100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880</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2,710</w:t>
            </w:r>
          </w:p>
        </w:tc>
        <w:tc>
          <w:tcPr>
            <w:tcW w:type="dxa" w:w="12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5,935</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4,175</w:t>
            </w:r>
          </w:p>
        </w:tc>
        <w:tc>
          <w:tcPr>
            <w:tcW w:type="dxa" w:w="17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2,505</w:t>
            </w:r>
          </w:p>
        </w:tc>
        <w:tc>
          <w:tcPr>
            <w:tcW w:type="dxa" w:w="13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1,650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1,320</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3,825</w:t>
            </w:r>
          </w:p>
        </w:tc>
        <w:tc>
          <w:tcPr>
            <w:tcW w:type="dxa" w:w="12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8,377</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5,300</w:t>
            </w:r>
          </w:p>
        </w:tc>
        <w:tc>
          <w:tcPr>
            <w:tcW w:type="dxa" w:w="17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3,180</w:t>
            </w:r>
          </w:p>
        </w:tc>
        <w:tc>
          <w:tcPr>
            <w:tcW w:type="dxa" w:w="13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2,200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1,760</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4,940</w:t>
            </w:r>
          </w:p>
        </w:tc>
        <w:tc>
          <w:tcPr>
            <w:tcW w:type="dxa" w:w="12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10,819</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6,425</w:t>
            </w:r>
          </w:p>
        </w:tc>
        <w:tc>
          <w:tcPr>
            <w:tcW w:type="dxa" w:w="17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3,855</w:t>
            </w:r>
          </w:p>
        </w:tc>
        <w:tc>
          <w:tcPr>
            <w:tcW w:type="dxa" w:w="13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2,750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2,200</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6,055</w:t>
            </w:r>
          </w:p>
        </w:tc>
        <w:tc>
          <w:tcPr>
            <w:tcW w:type="dxa" w:w="12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13,260</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7,100</w:t>
            </w:r>
          </w:p>
        </w:tc>
        <w:tc>
          <w:tcPr>
            <w:tcW w:type="dxa" w:w="17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4,260</w:t>
            </w:r>
          </w:p>
        </w:tc>
        <w:tc>
          <w:tcPr>
            <w:tcW w:type="dxa" w:w="13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3,080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2,464</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6,724</w:t>
            </w:r>
          </w:p>
        </w:tc>
        <w:tc>
          <w:tcPr>
            <w:tcW w:type="dxa" w:w="12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14,726</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7,550</w:t>
            </w:r>
          </w:p>
        </w:tc>
        <w:tc>
          <w:tcPr>
            <w:tcW w:type="dxa" w:w="17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4,530</w:t>
            </w:r>
          </w:p>
        </w:tc>
        <w:tc>
          <w:tcPr>
            <w:tcW w:type="dxa" w:w="13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3,300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2,640</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7,170</w:t>
            </w:r>
          </w:p>
        </w:tc>
        <w:tc>
          <w:tcPr>
            <w:tcW w:type="dxa" w:w="12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15,702</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8,675</w:t>
            </w:r>
          </w:p>
        </w:tc>
        <w:tc>
          <w:tcPr>
            <w:tcW w:type="dxa" w:w="17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5,205</w:t>
            </w:r>
          </w:p>
        </w:tc>
        <w:tc>
          <w:tcPr>
            <w:tcW w:type="dxa" w:w="13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3,850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3,080</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8,285</w:t>
            </w:r>
          </w:p>
        </w:tc>
        <w:tc>
          <w:tcPr>
            <w:tcW w:type="dxa" w:w="12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18,144</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9,350</w:t>
            </w:r>
          </w:p>
        </w:tc>
        <w:tc>
          <w:tcPr>
            <w:tcW w:type="dxa" w:w="17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5,610</w:t>
            </w:r>
          </w:p>
        </w:tc>
        <w:tc>
          <w:tcPr>
            <w:tcW w:type="dxa" w:w="13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4,180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3,344</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8,954</w:t>
            </w:r>
          </w:p>
        </w:tc>
        <w:tc>
          <w:tcPr>
            <w:tcW w:type="dxa" w:w="12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19,609</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9,800</w:t>
            </w:r>
          </w:p>
        </w:tc>
        <w:tc>
          <w:tcPr>
            <w:tcW w:type="dxa" w:w="17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5,880</w:t>
            </w:r>
          </w:p>
        </w:tc>
        <w:tc>
          <w:tcPr>
            <w:tcW w:type="dxa" w:w="13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4,400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3,520</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9,400</w:t>
            </w:r>
          </w:p>
        </w:tc>
        <w:tc>
          <w:tcPr>
            <w:tcW w:type="dxa" w:w="12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20,586</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10,925</w:t>
            </w:r>
          </w:p>
        </w:tc>
        <w:tc>
          <w:tcPr>
            <w:tcW w:type="dxa" w:w="17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6,555</w:t>
            </w:r>
          </w:p>
        </w:tc>
        <w:tc>
          <w:tcPr>
            <w:tcW w:type="dxa" w:w="13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4,950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3,960</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10,515</w:t>
            </w:r>
          </w:p>
        </w:tc>
        <w:tc>
          <w:tcPr>
            <w:tcW w:type="dxa" w:w="12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23,028</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12,050</w:t>
            </w:r>
          </w:p>
        </w:tc>
        <w:tc>
          <w:tcPr>
            <w:tcW w:type="dxa" w:w="17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7,230</w:t>
            </w:r>
          </w:p>
        </w:tc>
        <w:tc>
          <w:tcPr>
            <w:tcW w:type="dxa" w:w="13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5,500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4,400</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11,630</w:t>
            </w:r>
          </w:p>
        </w:tc>
        <w:tc>
          <w:tcPr>
            <w:tcW w:type="dxa" w:w="12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25,470</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13,175</w:t>
            </w:r>
          </w:p>
        </w:tc>
        <w:tc>
          <w:tcPr>
            <w:tcW w:type="dxa" w:w="17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7,905</w:t>
            </w:r>
          </w:p>
        </w:tc>
        <w:tc>
          <w:tcPr>
            <w:tcW w:type="dxa" w:w="13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6,050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4,840</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12,745</w:t>
            </w:r>
          </w:p>
        </w:tc>
        <w:tc>
          <w:tcPr>
            <w:tcW w:type="dxa" w:w="12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27,912</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13,850</w:t>
            </w:r>
          </w:p>
        </w:tc>
        <w:tc>
          <w:tcPr>
            <w:tcW w:type="dxa" w:w="17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8,310</w:t>
            </w:r>
          </w:p>
        </w:tc>
        <w:tc>
          <w:tcPr>
            <w:tcW w:type="dxa" w:w="13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6,380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5,104</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13,414</w:t>
            </w:r>
          </w:p>
        </w:tc>
        <w:tc>
          <w:tcPr>
            <w:tcW w:type="dxa" w:w="12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29,377</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14,300</w:t>
            </w:r>
          </w:p>
        </w:tc>
        <w:tc>
          <w:tcPr>
            <w:tcW w:type="dxa" w:w="17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8,580</w:t>
            </w:r>
          </w:p>
        </w:tc>
        <w:tc>
          <w:tcPr>
            <w:tcW w:type="dxa" w:w="13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6,600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5,280</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13,860</w:t>
            </w:r>
          </w:p>
        </w:tc>
        <w:tc>
          <w:tcPr>
            <w:tcW w:type="dxa" w:w="12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30,353</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15,425</w:t>
            </w:r>
          </w:p>
        </w:tc>
        <w:tc>
          <w:tcPr>
            <w:tcW w:type="dxa" w:w="17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9,255</w:t>
            </w:r>
          </w:p>
        </w:tc>
        <w:tc>
          <w:tcPr>
            <w:tcW w:type="dxa" w:w="13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7,150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5,720</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14,975</w:t>
            </w:r>
          </w:p>
        </w:tc>
        <w:tc>
          <w:tcPr>
            <w:tcW w:type="dxa" w:w="12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32,795</w:t>
            </w:r>
          </w:p>
        </w:tc>
      </w:tr>
      <w:tr>
        <w:trPr>
          <w:tblHeader w:val="false"/>
        </w:trPr>
        <w:tc>
          <w:tcPr>
            <w:tcW w:type="dxa" w:w="8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16,550</w:t>
            </w:r>
          </w:p>
        </w:tc>
        <w:tc>
          <w:tcPr>
            <w:tcW w:type="dxa" w:w="17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9,930</w:t>
            </w:r>
          </w:p>
        </w:tc>
        <w:tc>
          <w:tcPr>
            <w:tcW w:type="dxa" w:w="13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7,700</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6,160</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16,090</w:t>
            </w:r>
          </w:p>
        </w:tc>
        <w:tc>
          <w:tcPr>
            <w:tcW w:type="dxa" w:w="121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35,237</w:t>
            </w:r>
          </w:p>
        </w:tc>
      </w:tr>
      <w:tr>
        <w:trPr>
          <w:tblHeader w:val="false"/>
        </w:trPr>
        <w:tc>
          <w:tcPr>
            <w:tcW w:type="dxa" w:w="8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17,000</w:t>
            </w:r>
          </w:p>
        </w:tc>
        <w:tc>
          <w:tcPr>
            <w:tcW w:type="dxa" w:w="17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10,200</w:t>
            </w:r>
          </w:p>
        </w:tc>
        <w:tc>
          <w:tcPr>
            <w:tcW w:type="dxa" w:w="13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7,920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6,336</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16,536</w:t>
            </w:r>
          </w:p>
        </w:tc>
        <w:tc>
          <w:tcPr>
            <w:tcW w:type="dxa" w:w="121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36,214</w:t>
            </w:r>
          </w:p>
        </w:tc>
      </w:tr>
    </w:tbl>
    <w:p>
      <w:pPr>
        <w:spacing w:after="160"/>
      </w:pPr>
      <w:r>
        <w:rPr>
          <w:rFonts w:ascii="Georgia" w:cs="Georgia" w:eastAsia="SimSun" w:hAnsi="Georgia"/>
          <w:color w:val="6B7F94"/>
          <w:sz w:val="18"/>
          <w:szCs w:val="18"/>
        </w:rPr>
        <w:t xml:space="preserve">Capture shares of 60 percent (acquisition) and 80 percent (sustainment) follow the assembly-model industrial structure of Part VI. GDP applies the ISED 2024 multiplier of 2.19x to the injection.</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 Supply Chain, SMEs and Spillover</w:t>
      </w:r>
    </w:p>
    <w:p>
      <w:pPr>
        <w:spacing w:after="140" w:line="300"/>
        <w:ind w:firstLine="431"/>
      </w:pPr>
      <w:r>
        <w:rPr>
          <w:rFonts w:ascii="Georgia" w:cs="Georgia" w:eastAsia="SimSun" w:hAnsi="Georgia"/>
          <w:sz w:val="22"/>
          <w:szCs w:val="22"/>
        </w:rPr>
        <w:t xml:space="preserve">GCAP's supply chain mirrors the Eurofighter model of more than 400 suppliers across partner nations. Canada enters with an unusual advantage: its candidate suppliers are not paper names but priced, lead-time-qualified vendors already under contract discipline in the v6.1 packages, with measured Canadian capture of 74 to 80 percent across the seventeen fleet sizes.</w:t>
      </w:r>
    </w:p>
    <w:p>
      <w:pPr>
        <w:spacing w:after="100" w:before="120"/>
        <w:jc w:val="center"/>
      </w:pPr>
      <w:r>
        <w:rPr>
          <w:rFonts w:ascii="Georgia" w:cs="Georgia" w:eastAsia="SimSun" w:hAnsi="Georgia"/>
          <w:i/>
          <w:iCs/>
          <w:color w:val="6B7F94"/>
          <w:sz w:val="18"/>
          <w:szCs w:val="18"/>
        </w:rPr>
        <w:t xml:space="preserve">Table X-1. Canadian GCAP candidate base (v6.1-verified)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500"/>
        <w:gridCol w:w="2620"/>
        <w:gridCol w:w="2620"/>
        <w:gridCol w:w="2620"/>
      </w:tblGrid>
      <w:tr>
        <w:trPr>
          <w:tblHeader/>
        </w:trPr>
        <w:tc>
          <w:tcPr>
            <w:tcW w:type="dxa" w:w="15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Tier</w:t>
            </w:r>
          </w:p>
        </w:tc>
        <w:tc>
          <w:tcPr>
            <w:tcW w:type="dxa" w:w="26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GCAP role</w:t>
            </w:r>
          </w:p>
        </w:tc>
        <w:tc>
          <w:tcPr>
            <w:tcW w:type="dxa" w:w="26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Candidate suppliers</w:t>
            </w:r>
          </w:p>
        </w:tc>
        <w:tc>
          <w:tcPr>
            <w:tcW w:type="dxa" w:w="26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Northern Horizon v6.1 proof point</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Simulation and training</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Canada's expected observer contribution (programme reporting)</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CAE</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Fleet training workshare anchored by CAE at v6.1</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Tier 1 subsystems</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Aerostructures, mission systems, MRO</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Bombardier, L3Harris MAS, MDA, Pratt &amp; Whitney Canada</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Mirabel assembly and depot plant already under v6.1 contract discipline</w:t>
            </w:r>
          </w:p>
        </w:tc>
      </w:tr>
      <w:tr>
        <w:trPr>
          <w:tblHeader w:val="false"/>
        </w:trPr>
        <w:tc>
          <w:tcPr>
            <w:tcW w:type="dxa" w:w="15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Tier 2 components</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Landing gear, navigation, communications, ice protection</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Heroux-Devtek, NovAtel, GDMS Canada, CMC</w:t>
            </w:r>
          </w:p>
        </w:tc>
        <w:tc>
          <w:tcPr>
            <w:tcW w:type="dxa" w:w="26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Priced v6.1 lines across all three packages</w:t>
            </w:r>
          </w:p>
        </w:tc>
      </w:tr>
      <w:tr>
        <w:trPr>
          <w:tblHeader w:val="false"/>
        </w:trPr>
        <w:tc>
          <w:tcPr>
            <w:tcW w:type="dxa" w:w="15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Tier 3 SMEs</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Fasteners, coatings, covers, test services</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350+ firm national base</w:t>
            </w:r>
          </w:p>
        </w:tc>
        <w:tc>
          <w:tcPr>
            <w:tcW w:type="dxa" w:w="26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Canadian capture of 74 to 80 percent measured across the v6.1 fleet sizes</w:t>
            </w:r>
          </w:p>
        </w:tc>
      </w:tr>
    </w:tbl>
    <w:p>
      <w:pPr>
        <w:spacing w:after="140" w:line="300"/>
        <w:ind w:firstLine="431"/>
      </w:pPr>
      <w:r>
        <w:rPr>
          <w:rFonts w:ascii="Georgia" w:cs="Georgia" w:eastAsia="SimSun" w:hAnsi="Georgia"/>
          <w:sz w:val="22"/>
          <w:szCs w:val="22"/>
        </w:rPr>
        <w:t xml:space="preserve">Between 200 and 300 Canadian SMEs stand to participate in the GCAP supply chain, capturing C$1.5B to C$2.5B of contract value distributed roughly 55 percent Quebec, 25 percent Ontario, 10 percent Atlantic and 10 percent Western. Workshare agreements allocate value to nations, not to firms; SME participation takes deliberate instruments, and the four below cost under C$200M against that ten-times-larger pool.</w:t>
      </w:r>
    </w:p>
    <w:p>
      <w:pPr>
        <w:spacing w:after="100" w:before="120"/>
        <w:jc w:val="center"/>
      </w:pPr>
      <w:r>
        <w:rPr>
          <w:rFonts w:ascii="Georgia" w:cs="Georgia" w:eastAsia="SimSun" w:hAnsi="Georgia"/>
          <w:i/>
          <w:iCs/>
          <w:color w:val="6B7F94"/>
          <w:sz w:val="18"/>
          <w:szCs w:val="18"/>
        </w:rPr>
        <w:t xml:space="preserve">Table X-2. SME capture instruments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100"/>
        <w:gridCol w:w="2420"/>
        <w:gridCol w:w="2420"/>
        <w:gridCol w:w="2420"/>
      </w:tblGrid>
      <w:tr>
        <w:trPr>
          <w:tblHeader/>
        </w:trPr>
        <w:tc>
          <w:tcPr>
            <w:tcW w:type="dxa" w:w="21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Instrument</w:t>
            </w:r>
          </w:p>
        </w:tc>
        <w:tc>
          <w:tcPr>
            <w:tcW w:type="dxa" w:w="24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Mechanism</w:t>
            </w:r>
          </w:p>
        </w:tc>
        <w:tc>
          <w:tcPr>
            <w:tcW w:type="dxa" w:w="24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Target</w:t>
            </w:r>
          </w:p>
        </w:tc>
        <w:tc>
          <w:tcPr>
            <w:tcW w:type="dxa" w:w="242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Cost</w:t>
            </w:r>
          </w:p>
        </w:tc>
      </w:tr>
      <w:tr>
        <w:trPr>
          <w:tblHeader w:val="false"/>
        </w:trPr>
        <w:tc>
          <w:tcPr>
            <w:tcW w:type="dxa" w:w="2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GCAP supplier readiness fund</w:t>
            </w:r>
          </w:p>
        </w:tc>
        <w:tc>
          <w:tcPr>
            <w:tcW w:type="dxa" w:w="24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Cost-shared certification and quality upgrades</w:t>
            </w:r>
          </w:p>
        </w:tc>
        <w:tc>
          <w:tcPr>
            <w:tcW w:type="dxa" w:w="24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Qualification for Edgewing and G2E supply chains</w:t>
            </w:r>
          </w:p>
        </w:tc>
        <w:tc>
          <w:tcPr>
            <w:tcW w:type="dxa" w:w="24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C$45 to 60M (from bridge)</w:t>
            </w:r>
          </w:p>
        </w:tc>
      </w:tr>
      <w:tr>
        <w:trPr>
          <w:tblHeader w:val="false"/>
        </w:trPr>
        <w:tc>
          <w:tcPr>
            <w:tcW w:type="dxa" w:w="2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Workshare flow-down clauses</w:t>
            </w:r>
          </w:p>
        </w:tc>
        <w:tc>
          <w:tcPr>
            <w:tcW w:type="dxa" w:w="24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Anchor contracts (CAE, Heroux-Devtek, L3Harris MAS) carry SME quotas</w:t>
            </w:r>
          </w:p>
        </w:tc>
        <w:tc>
          <w:tcPr>
            <w:tcW w:type="dxa" w:w="24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Guaranteed SME pull-through</w:t>
            </w:r>
          </w:p>
        </w:tc>
        <w:tc>
          <w:tcPr>
            <w:tcW w:type="dxa" w:w="24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Nil; contractual</w:t>
            </w:r>
          </w:p>
        </w:tc>
      </w:tr>
      <w:tr>
        <w:trPr>
          <w:tblHeader w:val="false"/>
        </w:trPr>
        <w:tc>
          <w:tcPr>
            <w:tcW w:type="dxa" w:w="2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Regional agency co-funding</w:t>
            </w:r>
          </w:p>
        </w:tc>
        <w:tc>
          <w:tcPr>
            <w:tcW w:type="dxa" w:w="24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FedDev, PrairiesCan, ACOA matching for GCAP entrants</w:t>
            </w:r>
          </w:p>
        </w:tc>
        <w:tc>
          <w:tcPr>
            <w:tcW w:type="dxa" w:w="24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Geographic spread per Recommendation R4</w:t>
            </w:r>
          </w:p>
        </w:tc>
        <w:tc>
          <w:tcPr>
            <w:tcW w:type="dxa" w:w="24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C$60 to 90M (existing envelopes)</w:t>
            </w:r>
          </w:p>
        </w:tc>
      </w:tr>
      <w:tr>
        <w:trPr>
          <w:tblHeader w:val="false"/>
        </w:trPr>
        <w:tc>
          <w:tcPr>
            <w:tcW w:type="dxa" w:w="2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Dual-use technology vouchers</w:t>
            </w:r>
          </w:p>
        </w:tc>
        <w:tc>
          <w:tcPr>
            <w:tcW w:type="dxa" w:w="24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SMEs adapt GCAP-derived IP for civil markets</w:t>
            </w:r>
          </w:p>
        </w:tc>
        <w:tc>
          <w:tcPr>
            <w:tcW w:type="dxa" w:w="24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Spillover capture</w:t>
            </w:r>
          </w:p>
        </w:tc>
        <w:tc>
          <w:tcPr>
            <w:tcW w:type="dxa" w:w="242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C$25 to 35M</w:t>
            </w:r>
          </w:p>
        </w:tc>
      </w:tr>
      <w:tr>
        <w:trPr>
          <w:tblHeader w:val="false"/>
        </w:trPr>
        <w:tc>
          <w:tcPr>
            <w:tcW w:type="dxa" w:w="2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TOTAL</w:t>
            </w:r>
          </w:p>
        </w:tc>
        <w:tc>
          <w:tcPr>
            <w:tcW w:type="dxa" w:w="24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
            </w:r>
          </w:p>
        </w:tc>
        <w:tc>
          <w:tcPr>
            <w:tcW w:type="dxa" w:w="24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200 to 300 firms</w:t>
            </w:r>
          </w:p>
        </w:tc>
        <w:tc>
          <w:tcPr>
            <w:tcW w:type="dxa" w:w="242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C$130 to 185M, under 1 percent of the smallest bridge</w:t>
            </w:r>
          </w:p>
        </w:tc>
      </w:tr>
    </w:tbl>
    <w:p>
      <w:pPr>
        <w:spacing w:after="100" w:before="120"/>
        <w:jc w:val="center"/>
      </w:pPr>
      <w:r>
        <w:rPr>
          <w:rFonts w:ascii="Georgia" w:cs="Georgia" w:eastAsia="SimSun" w:hAnsi="Georgia"/>
          <w:i/>
          <w:iCs/>
          <w:color w:val="6B7F94"/>
          <w:sz w:val="18"/>
          <w:szCs w:val="18"/>
        </w:rPr>
        <w:t xml:space="preserve">Table X-3. Technology spillover map</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3000"/>
        <w:gridCol w:w="3180"/>
        <w:gridCol w:w="3180"/>
      </w:tblGrid>
      <w:tr>
        <w:trPr>
          <w:tblHeader/>
        </w:trPr>
        <w:tc>
          <w:tcPr>
            <w:tcW w:type="dxa" w:w="30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Technology</w:t>
            </w:r>
          </w:p>
        </w:tc>
        <w:tc>
          <w:tcPr>
            <w:tcW w:type="dxa" w:w="31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Military application</w:t>
            </w:r>
          </w:p>
        </w:tc>
        <w:tc>
          <w:tcPr>
            <w:tcW w:type="dxa" w:w="31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Civilian spin-off</w:t>
            </w:r>
          </w:p>
        </w:tc>
      </w:tr>
      <w:tr>
        <w:trPr>
          <w:tblHeader w:val="false"/>
        </w:trPr>
        <w:tc>
          <w:tcPr>
            <w:tcW w:type="dxa" w:w="3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Advanced composites and low-observable materials</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Tempest airframe</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Lightweight vehicles, wind, hydrogen storage</w:t>
            </w:r>
          </w:p>
        </w:tc>
      </w:tr>
      <w:tr>
        <w:trPr>
          <w:tblHeader w:val="false"/>
        </w:trPr>
        <w:tc>
          <w:tcPr>
            <w:tcW w:type="dxa" w:w="3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Autonomous systems and collaborative combat AI</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CCA teaming</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Autonomous mining, northern logistics, agriculture</w:t>
            </w:r>
          </w:p>
        </w:tc>
      </w:tr>
      <w:tr>
        <w:trPr>
          <w:tblHeader w:val="false"/>
        </w:trPr>
        <w:tc>
          <w:tcPr>
            <w:tcW w:type="dxa" w:w="3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AESA and ISANKE sensor fusion</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Sensing and electronic warfare</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Telecom, weather radar, remote sensing</w:t>
            </w:r>
          </w:p>
        </w:tc>
      </w:tr>
      <w:tr>
        <w:trPr>
          <w:tblHeader w:val="false"/>
        </w:trPr>
        <w:tc>
          <w:tcPr>
            <w:tcW w:type="dxa" w:w="3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Quantum-resistant communications</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Secure networks</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Financial and critical-infrastructure cyber</w:t>
            </w:r>
          </w:p>
        </w:tc>
      </w:tr>
      <w:tr>
        <w:trPr>
          <w:tblHeader w:val="false"/>
        </w:trPr>
        <w:tc>
          <w:tcPr>
            <w:tcW w:type="dxa" w:w="30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Digital-twin design and certification</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Demonstrator-to-production pipeline</w:t>
            </w:r>
          </w:p>
        </w:tc>
        <w:tc>
          <w:tcPr>
            <w:tcW w:type="dxa" w:w="31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Manufacturing optimization, simulation services</w:t>
            </w:r>
          </w:p>
        </w:tc>
      </w:tr>
      <w:tr>
        <w:trPr>
          <w:tblHeader w:val="false"/>
        </w:trPr>
        <w:tc>
          <w:tcPr>
            <w:tcW w:type="dxa" w:w="30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AI decision systems</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Combat management</w:t>
            </w:r>
          </w:p>
        </w:tc>
        <w:tc>
          <w:tcPr>
            <w:tcW w:type="dxa" w:w="31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Air traffic management, emergency response</w:t>
            </w:r>
          </w:p>
        </w:tc>
      </w:tr>
    </w:tbl>
    <w:p>
      <w:pPr>
        <w:spacing w:after="140" w:line="300"/>
        <w:ind w:firstLine="431"/>
      </w:pPr>
      <w:r>
        <w:rPr>
          <w:rFonts w:ascii="Georgia" w:cs="Georgia" w:eastAsia="SimSun" w:hAnsi="Georgia"/>
          <w:sz w:val="22"/>
          <w:szCs w:val="22"/>
        </w:rPr>
        <w:t xml:space="preserve">The two programmes share the same technologies. The Sprinter and Striker autonomy stack is a down payment on GCAP's collaborative-combat ambitions, and the engineers working it today form the workforce GCAP workshare employs tomorrow.</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XI. Export Market Potential</w:t>
      </w:r>
    </w:p>
    <w:p>
      <w:pPr>
        <w:spacing w:after="140" w:line="300"/>
        <w:ind w:firstLine="431"/>
      </w:pPr>
      <w:r>
        <w:rPr>
          <w:rFonts w:ascii="Georgia" w:cs="Georgia" w:eastAsia="SimSun" w:hAnsi="Georgia"/>
          <w:sz w:val="22"/>
          <w:szCs w:val="22"/>
        </w:rPr>
        <w:t xml:space="preserve">The fastest-growing segment of the sixth-generation market is the one where Canada holds operating, priced hardware. Published 2026 forecasts put the loyal-wingman and CCA segment at US$2.63B in 2026 growing to US$5.87B by 2034, and the wider unmanned combat aircraft market at US$7.10B in 2025 growing to US$16.09B by 2035. No other prospective GCAP partner brings a CDR-maturity, cost-disciplined CCA portfolio to the table; the Sprinter at C$11.85M unit price at the 72-aircraft rate and the Striker at C$24.30M at the 48-aircraft rate are the commercial expression of WP-B.</w:t>
      </w:r>
    </w:p>
    <w:p>
      <w:pPr>
        <w:spacing w:after="100" w:before="120"/>
        <w:jc w:val="center"/>
      </w:pPr>
      <w:r>
        <w:rPr>
          <w:rFonts w:ascii="Georgia" w:cs="Georgia" w:eastAsia="SimSun" w:hAnsi="Georgia"/>
          <w:i/>
          <w:iCs/>
          <w:color w:val="6B7F94"/>
          <w:sz w:val="18"/>
          <w:szCs w:val="18"/>
        </w:rPr>
        <w:t xml:space="preserve">Table XI-1. Addressable markets (published forecasts, 2026)</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400"/>
        <w:gridCol w:w="1740"/>
        <w:gridCol w:w="1740"/>
        <w:gridCol w:w="1740"/>
        <w:gridCol w:w="1740"/>
      </w:tblGrid>
      <w:tr>
        <w:trPr>
          <w:tblHeader/>
        </w:trPr>
        <w:tc>
          <w:tcPr>
            <w:tcW w:type="dxa" w:w="24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Segment</w:t>
            </w:r>
          </w:p>
        </w:tc>
        <w:tc>
          <w:tcPr>
            <w:tcW w:type="dxa" w:w="174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Base year</w:t>
            </w:r>
          </w:p>
        </w:tc>
        <w:tc>
          <w:tcPr>
            <w:tcW w:type="dxa" w:w="174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Forecast</w:t>
            </w:r>
          </w:p>
        </w:tc>
        <w:tc>
          <w:tcPr>
            <w:tcW w:type="dxa" w:w="174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CAGR</w:t>
            </w:r>
          </w:p>
        </w:tc>
        <w:tc>
          <w:tcPr>
            <w:tcW w:type="dxa" w:w="174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Source</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Loyal wingman / CCA</w:t>
            </w:r>
          </w:p>
        </w:tc>
        <w:tc>
          <w:tcPr>
            <w:tcW w:type="dxa" w:w="174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US$2.63B (2026)</w:t>
            </w:r>
          </w:p>
        </w:tc>
        <w:tc>
          <w:tcPr>
            <w:tcW w:type="dxa" w:w="174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US$5.87B (2034)</w:t>
            </w:r>
          </w:p>
        </w:tc>
        <w:tc>
          <w:tcPr>
            <w:tcW w:type="dxa" w:w="174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10.4 percent</w:t>
            </w:r>
          </w:p>
        </w:tc>
        <w:tc>
          <w:tcPr>
            <w:tcW w:type="dxa" w:w="174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IntelMarketResearch / Polaris, 2026</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Unmanned fighter / combat aircraft</w:t>
            </w:r>
          </w:p>
        </w:tc>
        <w:tc>
          <w:tcPr>
            <w:tcW w:type="dxa" w:w="174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US$7.10B (2025)</w:t>
            </w:r>
          </w:p>
        </w:tc>
        <w:tc>
          <w:tcPr>
            <w:tcW w:type="dxa" w:w="174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US$16.09B (2035)</w:t>
            </w:r>
          </w:p>
        </w:tc>
        <w:tc>
          <w:tcPr>
            <w:tcW w:type="dxa" w:w="174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8.5 percent</w:t>
            </w:r>
          </w:p>
        </w:tc>
        <w:tc>
          <w:tcPr>
            <w:tcW w:type="dxa" w:w="174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MarketResearchFuture, 2026</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Autonomous defence drones (all classes)</w:t>
            </w:r>
          </w:p>
        </w:tc>
        <w:tc>
          <w:tcPr>
            <w:tcW w:type="dxa" w:w="174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US$69.8B (2025)</w:t>
            </w:r>
          </w:p>
        </w:tc>
        <w:tc>
          <w:tcPr>
            <w:tcW w:type="dxa" w:w="174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US$232.4B (2034)</w:t>
            </w:r>
          </w:p>
        </w:tc>
        <w:tc>
          <w:tcPr>
            <w:tcW w:type="dxa" w:w="174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14.0 percent</w:t>
            </w:r>
          </w:p>
        </w:tc>
        <w:tc>
          <w:tcPr>
            <w:tcW w:type="dxa" w:w="174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Polaris, 2026</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Sixth-generation platforms and systems</w:t>
            </w:r>
          </w:p>
        </w:tc>
        <w:tc>
          <w:tcPr>
            <w:tcW w:type="dxa" w:w="174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about C$45 to 55B programme value</w:t>
            </w:r>
          </w:p>
        </w:tc>
        <w:tc>
          <w:tcPr>
            <w:tcW w:type="dxa" w:w="174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2035 to 2055 production</w:t>
            </w:r>
          </w:p>
        </w:tc>
        <w:tc>
          <w:tcPr>
            <w:tcW w:type="dxa" w:w="174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n/a</w:t>
            </w:r>
          </w:p>
        </w:tc>
        <w:tc>
          <w:tcPr>
            <w:tcW w:type="dxa" w:w="174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Partner disclosures, Part IV</w:t>
            </w:r>
          </w:p>
        </w:tc>
      </w:tr>
    </w:tbl>
    <w:p>
      <w:pPr>
        <w:spacing w:after="140" w:line="300"/>
        <w:ind w:firstLine="431"/>
      </w:pPr>
      <w:r>
        <w:rPr>
          <w:rFonts w:ascii="Georgia" w:cs="Georgia" w:eastAsia="SimSun" w:hAnsi="Georgia"/>
          <w:sz w:val="22"/>
          <w:szCs w:val="22"/>
        </w:rPr>
        <w:t xml:space="preserve">Canadian GCAP content stays substantially ITAR-free by design, because the programme operates outside US technology-transfer frameworks, a decisive commercial advantage with non-US allies. Canada's Arctic-optimization credentials open Nordic, Baltic and North-Flank markets; and the Tempest's open architecture lets Canadian industry develop and export subsystems and upgrade packages without a foreign prime's permission. (Canada's own Sprinter and Striker air vehicles remain subject to US authorization for their US engines and AI modules; the two facts stay separate throughout this analysis.)</w:t>
      </w:r>
    </w:p>
    <w:p>
      <w:pPr>
        <w:spacing w:after="100" w:before="120"/>
        <w:jc w:val="center"/>
      </w:pPr>
      <w:r>
        <w:rPr>
          <w:rFonts w:ascii="Georgia" w:cs="Georgia" w:eastAsia="SimSun" w:hAnsi="Georgia"/>
          <w:i/>
          <w:iCs/>
          <w:color w:val="6B7F94"/>
          <w:sz w:val="18"/>
          <w:szCs w:val="18"/>
        </w:rPr>
        <w:t xml:space="preserve">Table XI-2. Canadian GCAP-linked export scenarios, 2035 to 2055 (ESTIMATE; planning ranges, not bookings)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600"/>
        <w:gridCol w:w="2253"/>
        <w:gridCol w:w="2253"/>
        <w:gridCol w:w="2254"/>
      </w:tblGrid>
      <w:tr>
        <w:trPr>
          <w:tblHeader/>
        </w:trPr>
        <w:tc>
          <w:tcPr>
            <w:tcW w:type="dxa" w:w="26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Market</w:t>
            </w:r>
          </w:p>
        </w:tc>
        <w:tc>
          <w:tcPr>
            <w:tcW w:type="dxa" w:w="2253"/>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Est. demand</w:t>
            </w:r>
          </w:p>
        </w:tc>
        <w:tc>
          <w:tcPr>
            <w:tcW w:type="dxa" w:w="2253"/>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Canadian opportunity</w:t>
            </w:r>
          </w:p>
        </w:tc>
        <w:tc>
          <w:tcPr>
            <w:tcW w:type="dxa" w:w="2254"/>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Timeline</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Australia</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36 to 48 systems</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C$0.5 to 1.0B</w:t>
            </w:r>
          </w:p>
        </w:tc>
        <w:tc>
          <w:tcPr>
            <w:tcW w:type="dxa" w:w="22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2030 to 2040</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Poland and Central Europe</w:t>
            </w:r>
          </w:p>
        </w:tc>
        <w:tc>
          <w:tcPr>
            <w:tcW w:type="dxa" w:w="22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48 to 72 systems</w:t>
            </w:r>
          </w:p>
        </w:tc>
        <w:tc>
          <w:tcPr>
            <w:tcW w:type="dxa" w:w="22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C$0.5 to 1.0B</w:t>
            </w:r>
          </w:p>
        </w:tc>
        <w:tc>
          <w:tcPr>
            <w:tcW w:type="dxa" w:w="22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2030 to 2045</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Nordics (Norway, Finland, Denmark)</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24 to 36 systems</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C$0.5 to 1.0B</w:t>
            </w:r>
          </w:p>
        </w:tc>
        <w:tc>
          <w:tcPr>
            <w:tcW w:type="dxa" w:w="22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2035 to 2045</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Other NATO and Baltics</w:t>
            </w:r>
          </w:p>
        </w:tc>
        <w:tc>
          <w:tcPr>
            <w:tcW w:type="dxa" w:w="22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60 to 90 systems</w:t>
            </w:r>
          </w:p>
        </w:tc>
        <w:tc>
          <w:tcPr>
            <w:tcW w:type="dxa" w:w="22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C$1.0 to 1.5B</w:t>
            </w:r>
          </w:p>
        </w:tc>
        <w:tc>
          <w:tcPr>
            <w:tcW w:type="dxa" w:w="22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2035 to 2045</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TOTAL</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168 to 246 systems</w:t>
            </w:r>
          </w:p>
        </w:tc>
        <w:tc>
          <w:tcPr>
            <w:tcW w:type="dxa" w:w="22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C$2.5 to 4.5B</w:t>
            </w:r>
          </w:p>
        </w:tc>
        <w:tc>
          <w:tcPr>
            <w:tcW w:type="dxa" w:w="22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
            </w:r>
          </w:p>
        </w:tc>
      </w:tr>
    </w:tbl>
    <w:p>
      <w:pPr>
        <w:spacing w:after="160"/>
      </w:pPr>
      <w:r>
        <w:rPr>
          <w:rFonts w:ascii="Georgia" w:cs="Georgia" w:eastAsia="SimSun" w:hAnsi="Georgia"/>
          <w:color w:val="6B7F94"/>
          <w:sz w:val="18"/>
          <w:szCs w:val="18"/>
        </w:rPr>
        <w:t xml:space="preserve">Scenarios price Canadian subsystem and CCA workshare content, not whole-aircraft primacy. The range decomposes as workshare-embedded partner content C$1.2 to 2.0B, adjunct and CCA aircraft C$0.6 to 1.2B, simulation and training C$0.5 to 0.9B, and MRO services C$0.2 to 0.4B. No export revenue counts before a signed workshare.</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XII. Workforce Transition</w:t>
      </w:r>
    </w:p>
    <w:p>
      <w:pPr>
        <w:spacing w:after="140" w:line="300"/>
        <w:ind w:firstLine="431"/>
      </w:pPr>
      <w:r>
        <w:rPr>
          <w:rFonts w:ascii="Georgia" w:cs="Georgia" w:eastAsia="SimSun" w:hAnsi="Georgia"/>
          <w:sz w:val="22"/>
          <w:szCs w:val="22"/>
        </w:rPr>
        <w:t xml:space="preserve">GCAP's Phase 2 hiring ramp coincides with the projected peak of Canadian automotive displacement. Aerospace wages average roughly 25 percent above the manufacturing mean, so every transition is a household income gain. The C$1.0B auto-to-aero programme in the savings allocation (curriculum C$45M, delivery C$285M, stipends C$420M, placement C$35M, equipment C$145M) runs at about 910 transitions per year and clears roughly 6,400 workers over seven years, filling the interim programme's entry-level demand and then flowing directly into GCAP Phase 2.</w:t>
      </w:r>
    </w:p>
    <w:p>
      <w:pPr>
        <w:spacing w:after="100" w:before="120"/>
        <w:jc w:val="center"/>
      </w:pPr>
      <w:r>
        <w:rPr>
          <w:rFonts w:ascii="Georgia" w:cs="Georgia" w:eastAsia="SimSun" w:hAnsi="Georgia"/>
          <w:i/>
          <w:iCs/>
          <w:color w:val="6B7F94"/>
          <w:sz w:val="18"/>
          <w:szCs w:val="18"/>
        </w:rPr>
        <w:t xml:space="preserve">Table XII-1. Auto-to-aero skill transferability</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600"/>
        <w:gridCol w:w="3380"/>
        <w:gridCol w:w="3380"/>
      </w:tblGrid>
      <w:tr>
        <w:trPr>
          <w:tblHeader/>
        </w:trPr>
        <w:tc>
          <w:tcPr>
            <w:tcW w:type="dxa" w:w="26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Automotive skill</w:t>
            </w:r>
          </w:p>
        </w:tc>
        <w:tc>
          <w:tcPr>
            <w:tcW w:type="dxa" w:w="33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Aerospace and GCAP application</w:t>
            </w:r>
          </w:p>
        </w:tc>
        <w:tc>
          <w:tcPr>
            <w:tcW w:type="dxa" w:w="33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6"/>
                <w:szCs w:val="16"/>
              </w:rPr>
              <w:t xml:space="preserve">Retraining</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CNC machining</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Aircraft component fabrication (titanium, Inconel)</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 to 6 months</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Composite manufacturing</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Airframe structures; low-observable panels</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6 to 12 months</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Quality control and NDT</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Airworthiness inspection; spares acceptance</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6 months</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Assembly line work</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Final assembly and integration (Mirabel)</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 to 6 months</w:t>
            </w:r>
          </w:p>
        </w:tc>
      </w:tr>
      <w:tr>
        <w:trPr>
          <w:tblHeader w:val="false"/>
        </w:trPr>
        <w:tc>
          <w:tcPr>
            <w:tcW w:type="dxa" w:w="26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Electrical systems</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Avionics, sensor and heater-mat integration</w:t>
            </w:r>
          </w:p>
        </w:tc>
        <w:tc>
          <w:tcPr>
            <w:tcW w:type="dxa" w:w="33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6 to 12 months</w:t>
            </w:r>
          </w:p>
        </w:tc>
      </w:tr>
      <w:tr>
        <w:trPr>
          <w:tblHeader w:val="false"/>
        </w:trPr>
        <w:tc>
          <w:tcPr>
            <w:tcW w:type="dxa" w:w="26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6"/>
                <w:szCs w:val="16"/>
              </w:rPr>
              <w:t xml:space="preserve">Welding (aluminum and steel)</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Titanium and Inconel structures</w:t>
            </w:r>
          </w:p>
        </w:tc>
        <w:tc>
          <w:tcPr>
            <w:tcW w:type="dxa" w:w="33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6"/>
                <w:szCs w:val="16"/>
              </w:rPr>
              <w:t xml:space="preserve">3 to 6 months</w:t>
            </w:r>
          </w:p>
        </w:tc>
      </w:tr>
    </w:tbl>
    <w:p>
      <w:pPr>
        <w:spacing w:after="140" w:line="300"/>
        <w:ind w:firstLine="431"/>
      </w:pPr>
      <w:r>
        <w:rPr>
          <w:rFonts w:ascii="Georgia" w:cs="Georgia" w:eastAsia="SimSun" w:hAnsi="Georgia"/>
          <w:sz w:val="22"/>
          <w:szCs w:val="22"/>
        </w:rPr>
        <w:t xml:space="preserve">Beyond redeployment, GCAP demands a net-new pipeline the automotive transition cannot supply: 400 to 600 additional aerospace engineering graduates per year nationally, 250 to 350 autonomy and AI specialists per year (the Sprinter programme doubles as a live training platform), 800 to 1,000 skilled-trades additions, and 150 to 200 simulation engineers per year through an expanded CAE academy. The pipeline is the one element of the GCAP economics that money alone cannot compress; it takes a decade to build, which is the strongest argument for running Phase-0 activity at full intensity now.</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XIII. Tax Revenue and Fiscal Impact</w:t>
      </w:r>
    </w:p>
    <w:p>
      <w:pPr>
        <w:spacing w:after="140" w:line="300"/>
        <w:ind w:firstLine="431"/>
      </w:pPr>
      <w:r>
        <w:rPr>
          <w:rFonts w:ascii="Georgia" w:cs="Georgia" w:eastAsia="SimSun" w:hAnsi="Georgia"/>
          <w:sz w:val="22"/>
          <w:szCs w:val="22"/>
        </w:rPr>
        <w:t xml:space="preserve">The Eurofighter benchmark returns roughly 30 to 40 percent of partner-nation programme spending as tax revenue. Applied to the GCAP-side spend (the entry tranche plus Canadian capture of acquisition and retained sustainment), the fiscal return spans C$1.9B at fleet size 10 to C$8.0B at fleet size 72 over the acquisition and first-decade window. Against the C$3.5B entry tranche alone, the programme-side tax stream recovers 69 to 106 percent of the contribution over the horizon, before counting a dollar of the fleet's own C$2.1B to C$3.2B ten-year recovery.</w:t>
      </w:r>
    </w:p>
    <w:p>
      <w:pPr>
        <w:spacing w:after="100" w:before="120"/>
        <w:jc w:val="center"/>
      </w:pPr>
      <w:r>
        <w:rPr>
          <w:rFonts w:ascii="Georgia" w:cs="Georgia" w:eastAsia="SimSun" w:hAnsi="Georgia"/>
          <w:i/>
          <w:iCs/>
          <w:color w:val="6B7F94"/>
          <w:sz w:val="18"/>
          <w:szCs w:val="18"/>
        </w:rPr>
        <w:t xml:space="preserve">Table XIII-1. GCAP-side tax revenue by fleet size (C$ million; CALCULATED at the Eurofighter recapture band)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400"/>
        <w:gridCol w:w="2320"/>
        <w:gridCol w:w="2320"/>
        <w:gridCol w:w="2320"/>
      </w:tblGrid>
      <w:tr>
        <w:trPr>
          <w:tblHeader/>
        </w:trPr>
        <w:tc>
          <w:tcPr>
            <w:tcW w:type="dxa" w:w="24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Fleet size N</w:t>
            </w:r>
          </w:p>
        </w:tc>
        <w:tc>
          <w:tcPr>
            <w:tcW w:type="dxa" w:w="232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Taxable programme spend base (C$M)</w:t>
            </w:r>
          </w:p>
        </w:tc>
        <w:tc>
          <w:tcPr>
            <w:tcW w:type="dxa" w:w="232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Tax revenue at 30 percent (C$M)</w:t>
            </w:r>
          </w:p>
        </w:tc>
        <w:tc>
          <w:tcPr>
            <w:tcW w:type="dxa" w:w="232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5"/>
                <w:szCs w:val="15"/>
              </w:rPr>
              <w:t xml:space="preserve">Tax revenue at 40 percent (C$M)</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10</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6,210</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1,863</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2,484</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15</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7,325</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2,198</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2,930</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8,440</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2,532</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3,376</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25</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9,555</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2,866</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3,822</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28</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10,224</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3,067</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4,090</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30</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10,670</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3,201</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4,268</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35</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11,785</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3,536</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4,714</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38</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12,454</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3,736</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4,982</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40</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12,900</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3,870</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5,160</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45</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14,015</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4,204</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5,606</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50</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15,130</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4,539</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6,052</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55</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16,245</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4,874</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6,498</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58</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16,914</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5,074</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6,766</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60</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17,360</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5,208</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6,944</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65</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18,475</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5,542</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7,390</w:t>
            </w:r>
          </w:p>
        </w:tc>
      </w:tr>
      <w:tr>
        <w:trPr>
          <w:tblHeader w:val="false"/>
        </w:trPr>
        <w:tc>
          <w:tcPr>
            <w:tcW w:type="dxa" w:w="2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70</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19,590</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5,877</w:t>
            </w:r>
          </w:p>
        </w:tc>
        <w:tc>
          <w:tcPr>
            <w:tcW w:type="dxa" w:w="232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7,836</w:t>
            </w:r>
          </w:p>
        </w:tc>
      </w:tr>
      <w:tr>
        <w:trPr>
          <w:tblHeader w:val="false"/>
        </w:trPr>
        <w:tc>
          <w:tcPr>
            <w:tcW w:type="dxa" w:w="2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72</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20,036</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6,011</w:t>
            </w:r>
          </w:p>
        </w:tc>
        <w:tc>
          <w:tcPr>
            <w:tcW w:type="dxa" w:w="232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5"/>
                <w:szCs w:val="15"/>
              </w:rPr>
              <w:t xml:space="preserve">8,014</w:t>
            </w:r>
          </w:p>
        </w:tc>
      </w:tr>
    </w:tbl>
    <w:p>
      <w:pPr>
        <w:spacing w:after="160"/>
      </w:pPr>
      <w:r>
        <w:rPr>
          <w:rFonts w:ascii="Georgia" w:cs="Georgia" w:eastAsia="SimSun" w:hAnsi="Georgia"/>
          <w:color w:val="6B7F94"/>
          <w:sz w:val="18"/>
          <w:szCs w:val="18"/>
        </w:rPr>
        <w:t xml:space="preserve">The spend base comprises the C$3.5B entry tranche, 60 percent Canadian capture of base acquisition, and 80 percent retention of the first decade of sustainment. Recapture at 30 and 40 percent brackets the Eurofighter partner experience.</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XIV. Economic Sovereignty Benefits</w:t>
      </w:r>
    </w:p>
    <w:p>
      <w:pPr>
        <w:spacing w:after="140" w:line="300"/>
        <w:ind w:firstLine="431"/>
      </w:pPr>
      <w:r>
        <w:rPr>
          <w:rFonts w:ascii="Georgia" w:cs="Georgia" w:eastAsia="SimSun" w:hAnsi="Georgia"/>
          <w:sz w:val="22"/>
          <w:szCs w:val="22"/>
        </w:rPr>
        <w:t xml:space="preserve">The sovereignty case is now empirical rather than theoretical. Under F-35, Canada operates inside ITAR with denied source code and US-depot-only maintenance; the CF-18 experience, paying US contractors for modifications Canadian engineers could have performed, prices that dependency. The v6.1 interim fleet already restores design authority on the manned side (full Saab source-code access, Mirabel national depot) while honestly carrying declared US content on the uncrewed side. GCAP completes the structure: Canadian-controlled upgrades, full supply-chain visibility, Canadian export authority on GCAP content, and maintenance IP worth an estimated C$1.2B over the fleet life.</w:t>
      </w:r>
    </w:p>
    <w:p>
      <w:pPr>
        <w:spacing w:after="100" w:before="120"/>
        <w:jc w:val="center"/>
      </w:pPr>
      <w:r>
        <w:rPr>
          <w:rFonts w:ascii="Georgia" w:cs="Georgia" w:eastAsia="SimSun" w:hAnsi="Georgia"/>
          <w:i/>
          <w:iCs/>
          <w:color w:val="6B7F94"/>
          <w:sz w:val="18"/>
          <w:szCs w:val="18"/>
        </w:rPr>
        <w:t xml:space="preserve">Table XIV-1. Sovereignty dimensions across the three paths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900"/>
        <w:gridCol w:w="2486"/>
        <w:gridCol w:w="2486"/>
        <w:gridCol w:w="2488"/>
      </w:tblGrid>
      <w:tr>
        <w:trPr>
          <w:tblHeader/>
        </w:trPr>
        <w:tc>
          <w:tcPr>
            <w:tcW w:type="dxa" w:w="19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Dimension</w:t>
            </w:r>
          </w:p>
        </w:tc>
        <w:tc>
          <w:tcPr>
            <w:tcW w:type="dxa" w:w="2486"/>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F-35</w:t>
            </w:r>
          </w:p>
        </w:tc>
        <w:tc>
          <w:tcPr>
            <w:tcW w:type="dxa" w:w="2486"/>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Northern Horizon v6.1</w:t>
            </w:r>
          </w:p>
        </w:tc>
        <w:tc>
          <w:tcPr>
            <w:tcW w:type="dxa" w:w="248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NH v6.1 + GCAP</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ITAR dependency</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High, platform-wide</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Low (manned) and declared (uncrewed)</w:t>
            </w:r>
          </w:p>
        </w:tc>
        <w:tc>
          <w:tcPr>
            <w:tcW w:type="dxa" w:w="24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Minimal; GCAP operates outside US frameworks</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Source code</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Denied</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Full on Gripen; programme-owned autonomy stack</w:t>
            </w:r>
          </w:p>
        </w:tc>
        <w:tc>
          <w:tcPr>
            <w:tcW w:type="dxa" w:w="248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Negotiated full within Canadian workshare</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Upgrade authority</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US-determined</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Canadian on the manned fleet</w:t>
            </w:r>
          </w:p>
        </w:tc>
        <w:tc>
          <w:tcPr>
            <w:tcW w:type="dxa" w:w="24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Canadian within Canadian design authority</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Export authority</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 veto</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Canadian on retrofits and services</w:t>
            </w:r>
          </w:p>
        </w:tc>
        <w:tc>
          <w:tcPr>
            <w:tcW w:type="dxa" w:w="248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Canadian on GCAP content</w:t>
            </w:r>
          </w:p>
        </w:tc>
      </w:tr>
      <w:tr>
        <w:trPr>
          <w:tblHeader w:val="false"/>
        </w:trPr>
        <w:tc>
          <w:tcPr>
            <w:tcW w:type="dxa" w:w="19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Maintenance IP</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 depot only</w:t>
            </w:r>
          </w:p>
        </w:tc>
        <w:tc>
          <w:tcPr>
            <w:tcW w:type="dxa" w:w="24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Mirabel depot retains sustainment value</w:t>
            </w:r>
          </w:p>
        </w:tc>
        <w:tc>
          <w:tcPr>
            <w:tcW w:type="dxa" w:w="24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Mirabel extended to the sixth generation</w:t>
            </w:r>
          </w:p>
        </w:tc>
      </w:tr>
      <w:tr>
        <w:trPr>
          <w:tblHeader w:val="false"/>
        </w:trPr>
        <w:tc>
          <w:tcPr>
            <w:tcW w:type="dxa" w:w="19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2040+ capability path</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None sovereign</w:t>
            </w:r>
          </w:p>
        </w:tc>
        <w:tc>
          <w:tcPr>
            <w:tcW w:type="dxa" w:w="24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Interim fleet to about 2045</w:t>
            </w:r>
          </w:p>
        </w:tc>
        <w:tc>
          <w:tcPr>
            <w:tcW w:type="dxa" w:w="248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Full sixth-generation partnership</w:t>
            </w:r>
          </w:p>
        </w:tc>
      </w:tr>
    </w:tbl>
    <w:p>
      <w:pPr>
        <w:spacing w:after="100" w:before="120"/>
        <w:jc w:val="center"/>
      </w:pPr>
      <w:r>
        <w:rPr>
          <w:rFonts w:ascii="Georgia" w:cs="Georgia" w:eastAsia="SimSun" w:hAnsi="Georgia"/>
          <w:i/>
          <w:iCs/>
          <w:color w:val="6B7F94"/>
          <w:sz w:val="18"/>
          <w:szCs w:val="18"/>
        </w:rPr>
        <w:t xml:space="preserve">Table XIV-2. Operational property rights: the sovereignty premium in concrete terms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3400"/>
        <w:gridCol w:w="2980"/>
        <w:gridCol w:w="2980"/>
      </w:tblGrid>
      <w:tr>
        <w:trPr>
          <w:tblHeader/>
        </w:trPr>
        <w:tc>
          <w:tcPr>
            <w:tcW w:type="dxa" w:w="34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Property right</w:t>
            </w:r>
          </w:p>
        </w:tc>
        <w:tc>
          <w:tcPr>
            <w:tcW w:type="dxa" w:w="29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F-35 path</w:t>
            </w:r>
          </w:p>
        </w:tc>
        <w:tc>
          <w:tcPr>
            <w:tcW w:type="dxa" w:w="298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NH v6.1 + GCAP path</w:t>
            </w:r>
          </w:p>
        </w:tc>
      </w:tr>
      <w:tr>
        <w:trPr>
          <w:tblHeader w:val="false"/>
        </w:trPr>
        <w:tc>
          <w:tcPr>
            <w:tcW w:type="dxa" w:w="3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Modify mission software for a Canadian-specific need</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Prohibited; US-only source access</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Permitted; GCAP design authority inside Canadian packages</w:t>
            </w:r>
          </w:p>
        </w:tc>
      </w:tr>
      <w:tr>
        <w:trPr>
          <w:tblHeader w:val="false"/>
        </w:trPr>
        <w:tc>
          <w:tcPr>
            <w:tcW w:type="dxa" w:w="3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Integrate a non-US weapon without Washington</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Effectively prohibited</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Permitted on Gripen today; GCAP within Canadian packages</w:t>
            </w:r>
          </w:p>
        </w:tc>
      </w:tr>
      <w:tr>
        <w:trPr>
          <w:tblHeader w:val="false"/>
        </w:trPr>
        <w:tc>
          <w:tcPr>
            <w:tcW w:type="dxa" w:w="34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Export upgrades to a third country</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 veto</w:t>
            </w:r>
          </w:p>
        </w:tc>
        <w:tc>
          <w:tcPr>
            <w:tcW w:type="dxa" w:w="298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Canadian authority over Canadian-content subsystems</w:t>
            </w:r>
          </w:p>
        </w:tc>
      </w:tr>
      <w:tr>
        <w:trPr>
          <w:tblHeader w:val="false"/>
        </w:trPr>
        <w:tc>
          <w:tcPr>
            <w:tcW w:type="dxa" w:w="34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Surge depot throughput in a national emergency</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US depot queue</w:t>
            </w:r>
          </w:p>
        </w:tc>
        <w:tc>
          <w:tcPr>
            <w:tcW w:type="dxa" w:w="298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Mirabel depot, sovereign scheduling, extended to sixth generation</w:t>
            </w:r>
          </w:p>
        </w:tc>
      </w:tr>
    </w:tbl>
    <w:p>
      <w:pPr>
        <w:spacing w:after="140" w:line="300"/>
        <w:ind w:firstLine="431"/>
      </w:pPr>
      <w:r>
        <w:rPr>
          <w:rFonts w:ascii="Georgia" w:cs="Georgia" w:eastAsia="SimSun" w:hAnsi="Georgia"/>
          <w:sz w:val="22"/>
          <w:szCs w:val="22"/>
        </w:rPr>
        <w:t xml:space="preserve">Each row is a capability Canada does not currently possess and cannot buy separately at any price short of a domestic combat-aircraft programme. Walk-away credibility compounds across all procurement: a Canada with a flying v6.1 fleet and a GCAP seat negotiates every future defence contract, including with the United States, from a position of alternatives, a premium conservatively worth C$2B to C$3B in improved terms over twenty years.</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XV. Risk Assessment and Sensitivity</w:t>
      </w:r>
    </w:p>
    <w:p>
      <w:pPr>
        <w:spacing w:after="140" w:line="300"/>
        <w:ind w:firstLine="431"/>
      </w:pPr>
      <w:r>
        <w:rPr>
          <w:rFonts w:ascii="Georgia" w:cs="Georgia" w:eastAsia="SimSun" w:hAnsi="Georgia"/>
          <w:sz w:val="22"/>
          <w:szCs w:val="22"/>
        </w:rPr>
        <w:t xml:space="preserve">Risk structures around what has actually happened through September 2026: Canada holds the observer seat, Japan resists new full partners, the UK funding delay resolved with GBP 8.6B committed, Italy's estimate tripled, and FCAS collapsed. The decisive change from the June 2026 baseline is risk asymmetry: the dominant risk then was failing to obtain any GCAP seat, and that risk is retired. What remains is timing and price risk, precisely what milestone-phased funding and a 2040-capable interim fleet absorb.</w:t>
      </w:r>
    </w:p>
    <w:p>
      <w:pPr>
        <w:spacing w:after="100" w:before="120"/>
        <w:jc w:val="center"/>
      </w:pPr>
      <w:r>
        <w:rPr>
          <w:rFonts w:ascii="Georgia" w:cs="Georgia" w:eastAsia="SimSun" w:hAnsi="Georgia"/>
          <w:i/>
          <w:iCs/>
          <w:color w:val="6B7F94"/>
          <w:sz w:val="18"/>
          <w:szCs w:val="18"/>
        </w:rPr>
        <w:t xml:space="preserve">Table XV-1. Risk register, likelihoods reassessed September 2026</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200"/>
        <w:gridCol w:w="2386"/>
        <w:gridCol w:w="2386"/>
        <w:gridCol w:w="2388"/>
      </w:tblGrid>
      <w:tr>
        <w:trPr>
          <w:tblHeader/>
        </w:trPr>
        <w:tc>
          <w:tcPr>
            <w:tcW w:type="dxa" w:w="22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Risk</w:t>
            </w:r>
          </w:p>
        </w:tc>
        <w:tc>
          <w:tcPr>
            <w:tcW w:type="dxa" w:w="2386"/>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Likelihood</w:t>
            </w:r>
          </w:p>
        </w:tc>
        <w:tc>
          <w:tcPr>
            <w:tcW w:type="dxa" w:w="2386"/>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Economic impact</w:t>
            </w:r>
          </w:p>
        </w:tc>
        <w:tc>
          <w:tcPr>
            <w:tcW w:type="dxa" w:w="2388"/>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Mitigation (v6.1 posture)</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Japan resists full-partner accession during development</w:t>
            </w:r>
          </w:p>
        </w:tc>
        <w:tc>
          <w:tcPr>
            <w:tcW w:type="dxa" w:w="23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Medium to high</w:t>
            </w:r>
          </w:p>
        </w:tc>
        <w:tc>
          <w:tcPr>
            <w:tcW w:type="dxa" w:w="23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Partnership deferred 3 to 5 years; about C$1.5 to 2.0B of workshare value at risk</w:t>
            </w:r>
          </w:p>
        </w:tc>
        <w:tc>
          <w:tcPr>
            <w:tcW w:type="dxa" w:w="23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Phase-0 simulation deliverables make exclusion costlier than inclusion; phased tranches cap exposure</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GCAP schedule slips beyond 2035 IOC</w:t>
            </w:r>
          </w:p>
        </w:tc>
        <w:tc>
          <w:tcPr>
            <w:tcW w:type="dxa" w:w="23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Medium</w:t>
            </w:r>
          </w:p>
        </w:tc>
        <w:tc>
          <w:tcPr>
            <w:tcW w:type="dxa" w:w="23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Capability gap late 2030s; sustainment tail shifts right</w:t>
            </w:r>
          </w:p>
        </w:tc>
        <w:tc>
          <w:tcPr>
            <w:tcW w:type="dxa" w:w="238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v6.1 fleet remains credible through 2040+; Japan and Leonardo press acceleration toward 2033</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UK political and fiscal churn (DIP delay precedent)</w:t>
            </w:r>
          </w:p>
        </w:tc>
        <w:tc>
          <w:tcPr>
            <w:tcW w:type="dxa" w:w="23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Medium</w:t>
            </w:r>
          </w:p>
        </w:tc>
        <w:tc>
          <w:tcPr>
            <w:tcW w:type="dxa" w:w="23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Funding tranche re-phasing; plus or minus one year on milestones</w:t>
            </w:r>
          </w:p>
        </w:tc>
        <w:tc>
          <w:tcPr>
            <w:tcW w:type="dxa" w:w="23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Milestone-phased Canadian tranches; GBP 8.6B DIP and GBP 4.6B Edgewing contract now signed</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Italy cost growth (EUR 6B to EUR 18.6B already realized)</w:t>
            </w:r>
          </w:p>
        </w:tc>
        <w:tc>
          <w:tcPr>
            <w:tcW w:type="dxa" w:w="23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High</w:t>
            </w:r>
          </w:p>
        </w:tc>
        <w:tc>
          <w:tcPr>
            <w:tcW w:type="dxa" w:w="23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Partner-share escalation pressure on late entrants</w:t>
            </w:r>
          </w:p>
        </w:tc>
        <w:tc>
          <w:tcPr>
            <w:tcW w:type="dxa" w:w="238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Canada's entry terms lock at accession; tranche cap fixed at C$3.5B</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US reaction to GCAP partnership</w:t>
            </w:r>
          </w:p>
        </w:tc>
        <w:tc>
          <w:tcPr>
            <w:tcW w:type="dxa" w:w="23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Low to medium</w:t>
            </w:r>
          </w:p>
        </w:tc>
        <w:tc>
          <w:tcPr>
            <w:tcW w:type="dxa" w:w="23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Pressure on NORAD and interoperability procurement</w:t>
            </w:r>
          </w:p>
        </w:tc>
        <w:tc>
          <w:tcPr>
            <w:tcW w:type="dxa" w:w="23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NORAD accounts carried openly; F-35 cross-network gateway funded; posture is addition, not defection</w:t>
            </w:r>
          </w:p>
        </w:tc>
      </w:tr>
      <w:tr>
        <w:trPr>
          <w:tblHeader w:val="false"/>
        </w:trPr>
        <w:tc>
          <w:tcPr>
            <w:tcW w:type="dxa" w:w="22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Unit price lands at the high anchor (C$300M)</w:t>
            </w:r>
          </w:p>
        </w:tc>
        <w:tc>
          <w:tcPr>
            <w:tcW w:type="dxa" w:w="23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Medium</w:t>
            </w:r>
          </w:p>
        </w:tc>
        <w:tc>
          <w:tcPr>
            <w:tcW w:type="dxa" w:w="2386"/>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Fleet sizes above 45 exceed the bridge at high price</w:t>
            </w:r>
          </w:p>
        </w:tc>
        <w:tc>
          <w:tcPr>
            <w:tcW w:type="dxa" w:w="2388"/>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Low and base anchors keep every size funded; decision matrix gates quantity to price</w:t>
            </w:r>
          </w:p>
        </w:tc>
      </w:tr>
      <w:tr>
        <w:trPr>
          <w:tblHeader w:val="false"/>
        </w:trPr>
        <w:tc>
          <w:tcPr>
            <w:tcW w:type="dxa" w:w="22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Domestic programme fatigue (two concurrent programmes)</w:t>
            </w:r>
          </w:p>
        </w:tc>
        <w:tc>
          <w:tcPr>
            <w:tcW w:type="dxa" w:w="23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Medium</w:t>
            </w:r>
          </w:p>
        </w:tc>
        <w:tc>
          <w:tcPr>
            <w:tcW w:type="dxa" w:w="2386"/>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Political support erosion</w:t>
            </w:r>
          </w:p>
        </w:tc>
        <w:tc>
          <w:tcPr>
            <w:tcW w:type="dxa" w:w="2388"/>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Entry funded entirely from verified savings; annual return statement (Recommendation R8)</w:t>
            </w:r>
          </w:p>
        </w:tc>
      </w:tr>
    </w:tbl>
    <w:p>
      <w:pPr>
        <w:spacing w:after="100" w:before="120"/>
        <w:jc w:val="center"/>
      </w:pPr>
      <w:r>
        <w:rPr>
          <w:rFonts w:ascii="Georgia" w:cs="Georgia" w:eastAsia="SimSun" w:hAnsi="Georgia"/>
          <w:i/>
          <w:iCs/>
          <w:color w:val="6B7F94"/>
          <w:sz w:val="18"/>
          <w:szCs w:val="18"/>
        </w:rPr>
        <w:t xml:space="preserve">Table XV-2. Sensitivity of headline outputs to governing assumptions</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2100"/>
        <w:gridCol w:w="1815"/>
        <w:gridCol w:w="1815"/>
        <w:gridCol w:w="1815"/>
        <w:gridCol w:w="1815"/>
      </w:tblGrid>
      <w:tr>
        <w:trPr>
          <w:tblHeader/>
        </w:trPr>
        <w:tc>
          <w:tcPr>
            <w:tcW w:type="dxa" w:w="21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Variable</w:t>
            </w:r>
          </w:p>
        </w:tc>
        <w:tc>
          <w:tcPr>
            <w:tcW w:type="dxa" w:w="181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Downside</w:t>
            </w:r>
          </w:p>
        </w:tc>
        <w:tc>
          <w:tcPr>
            <w:tcW w:type="dxa" w:w="181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Base case</w:t>
            </w:r>
          </w:p>
        </w:tc>
        <w:tc>
          <w:tcPr>
            <w:tcW w:type="dxa" w:w="181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Upside</w:t>
            </w:r>
          </w:p>
        </w:tc>
        <w:tc>
          <w:tcPr>
            <w:tcW w:type="dxa" w:w="1815"/>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5"/>
                <w:szCs w:val="15"/>
              </w:rPr>
              <w:t xml:space="preserve">Sensitivity reading</w:t>
            </w:r>
          </w:p>
        </w:tc>
      </w:tr>
      <w:tr>
        <w:trPr>
          <w:tblHeader w:val="false"/>
        </w:trPr>
        <w:tc>
          <w:tcPr>
            <w:tcW w:type="dxa" w:w="2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Tempest unit price</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C$175M (low anchor)</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C$225M</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C$300M (high anchor)</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Governs the funding verdict above fleet size 60</w:t>
            </w:r>
          </w:p>
        </w:tc>
      </w:tr>
      <w:tr>
        <w:trPr>
          <w:tblHeader w:val="false"/>
        </w:trPr>
        <w:tc>
          <w:tcPr>
            <w:tcW w:type="dxa" w:w="2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GCAP partner workshare</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8 percent; 4,100 workshare jobs</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10 percent centre</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12 percent; 6,100 workshare jobs</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Bounded by about 350-aircraft partner demand</w:t>
            </w:r>
          </w:p>
        </w:tc>
      </w:tr>
      <w:tr>
        <w:trPr>
          <w:tblHeader w:val="false"/>
        </w:trPr>
        <w:tc>
          <w:tcPr>
            <w:tcW w:type="dxa" w:w="2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ISED multipliers (2.19x / 2.43x)</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GDP minus 10 percent; jobs minus 10 percent</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Base</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Plus 10 percent</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Linear, low</w:t>
            </w:r>
          </w:p>
        </w:tc>
      </w:tr>
      <w:tr>
        <w:trPr>
          <w:tblHeader w:val="false"/>
        </w:trPr>
        <w:tc>
          <w:tcPr>
            <w:tcW w:type="dxa" w:w="2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GCAP IOC slip of 3 years</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Phase-2 start 2032</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Phase-2 start 2029</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Phase-2 start 2028</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Timing only; totals preserved</w:t>
            </w:r>
          </w:p>
        </w:tc>
      </w:tr>
      <w:tr>
        <w:trPr>
          <w:tblHeader w:val="false"/>
        </w:trPr>
        <w:tc>
          <w:tcPr>
            <w:tcW w:type="dxa" w:w="21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Exchange rate CAD per USD</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1.49</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1.35</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1.22</w:t>
            </w:r>
          </w:p>
        </w:tc>
        <w:tc>
          <w:tcPr>
            <w:tcW w:type="dxa" w:w="1815"/>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Weak dollar narrows the bridge and raises unit price together; hedging at contract</w:t>
            </w:r>
          </w:p>
        </w:tc>
      </w:tr>
      <w:tr>
        <w:trPr>
          <w:tblHeader w:val="false"/>
        </w:trPr>
        <w:tc>
          <w:tcPr>
            <w:tcW w:type="dxa" w:w="21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5"/>
                <w:szCs w:val="15"/>
              </w:rPr>
              <w:t xml:space="preserve">F-35 further cost growth (+20 percent)</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Bridge widens to C$21.7 to 26.7B</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Bridge C$18.2 to 22.2B</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Bridge narrows if F-35 estimate falls</w:t>
            </w:r>
          </w:p>
        </w:tc>
        <w:tc>
          <w:tcPr>
            <w:tcW w:type="dxa" w:w="1815"/>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5"/>
                <w:szCs w:val="15"/>
              </w:rPr>
              <w:t xml:space="preserve">Asymmetric in Canada's favour: F-35 growth funds the strategy</w:t>
            </w:r>
          </w:p>
        </w:tc>
      </w:tr>
    </w:tbl>
    <w:p>
      <w:pPr>
        <w:spacing w:after="140" w:line="300"/>
        <w:ind w:firstLine="431"/>
      </w:pPr>
      <w:r>
        <w:rPr>
          <w:rFonts w:ascii="Georgia" w:cs="Georgia" w:eastAsia="SimSun" w:hAnsi="Georgia"/>
          <w:sz w:val="22"/>
          <w:szCs w:val="22"/>
        </w:rPr>
        <w:t xml:space="preserve">No plausible downside case erases the core conclusion. Even the compound-pessimistic case (low content, low multipliers, delayed partnership) leaves roughly 20,000 peak jobs and more than C$18B of cumulative GDP across both programmes, against roughly 200 direct jobs under the F-35-only baseline. The final row's asymmetry is structural: every dollar of further F-35 cost growth widens the savings bridge that funds this entire strategy.</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XVI. Comparative Analysis and the Fleet-Size Decision Matrix</w:t>
      </w:r>
    </w:p>
    <w:p>
      <w:pPr>
        <w:spacing w:after="140" w:line="300"/>
        <w:ind w:firstLine="431"/>
      </w:pPr>
      <w:r>
        <w:rPr>
          <w:rFonts w:ascii="Georgia" w:cs="Georgia" w:eastAsia="SimSun" w:hAnsi="Georgia"/>
          <w:sz w:val="22"/>
          <w:szCs w:val="22"/>
        </w:rPr>
        <w:t xml:space="preserve">The strategic choice runs between three coherent futures: (A) the F-35-only baseline as the Auditor General assessed it; (B) the Northern Horizon v6.1 fleet alone; and (C) the Northern Horizon v6.1 fleet plus progression from GCAP observer to Tier 2 partner, the recommended path. Column C dominates on every dimension except one: it requires the Government of Canada to execute a phased accession negotiation that Japan currently resists. Part XVII sequences the recommendations to convert observer status into partnership on the strength of deliverables Canada has already demonstrated.</w:t>
      </w:r>
    </w:p>
    <w:p>
      <w:pPr>
        <w:spacing w:after="100" w:before="120"/>
        <w:jc w:val="center"/>
      </w:pPr>
      <w:r>
        <w:rPr>
          <w:rFonts w:ascii="Georgia" w:cs="Georgia" w:eastAsia="SimSun" w:hAnsi="Georgia"/>
          <w:i/>
          <w:iCs/>
          <w:color w:val="6B7F94"/>
          <w:sz w:val="18"/>
          <w:szCs w:val="18"/>
        </w:rPr>
        <w:t xml:space="preserve">Table XVI-1. Three futures for Canadian air power (Northern Horizon figures PACKAGE/CALCULATED from the v6.1 baseline; F-35 figures VERIFIED to OAG 2025)</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1700"/>
        <w:gridCol w:w="2553"/>
        <w:gridCol w:w="2553"/>
        <w:gridCol w:w="2554"/>
      </w:tblGrid>
      <w:tr>
        <w:trPr>
          <w:tblHeader/>
        </w:trPr>
        <w:tc>
          <w:tcPr>
            <w:tcW w:type="dxa" w:w="17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Dimension</w:t>
            </w:r>
          </w:p>
        </w:tc>
        <w:tc>
          <w:tcPr>
            <w:tcW w:type="dxa" w:w="2553"/>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A. F-35 only</w:t>
            </w:r>
          </w:p>
        </w:tc>
        <w:tc>
          <w:tcPr>
            <w:tcW w:type="dxa" w:w="2553"/>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B. Northern Horizon v6.1 alone</w:t>
            </w:r>
          </w:p>
        </w:tc>
        <w:tc>
          <w:tcPr>
            <w:tcW w:type="dxa" w:w="2554"/>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C. Northern Horizon v6.1 + GCAP (recommended)</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Ten-year acquisition and sustainment</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C$27.7B acquisition (excluding at least C$5.5B of OAG-listed elements) plus C$1.52B per year</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C$5.47B to C$9.52B acquisition plus C$0.16B to C$0.40B per year sustainment, by fleet size</w:t>
            </w:r>
          </w:p>
        </w:tc>
        <w:tc>
          <w:tcPr>
            <w:tcW w:type="dxa" w:w="25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Column B plus C$3.5B entry tranche and C$3.05B to C$17.0B fleet acquisition, still inside the F-35 line through fleet size 60</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Peak direct jobs</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about 200 (sustainment only)</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4,672 to 9,658 (whole programme incl. Gripen E account)</w:t>
            </w:r>
          </w:p>
        </w:tc>
        <w:tc>
          <w:tcPr>
            <w:tcW w:type="dxa" w:w="25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Column B plus 3,028 to 8,506 fleet-account direct and 1,700 to 2,500 partner-fleet workshare direct</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Total jobs incl. multipliers</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about 490</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11,353 to 23,470</w:t>
            </w:r>
          </w:p>
        </w:tc>
        <w:tc>
          <w:tcPr>
            <w:tcW w:type="dxa" w:w="25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22,843 to 50,215 at peak overlap, phased 2027 to 2060</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Cumulative GDP</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about C$0.4B</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C$12.5B to C$21.7B (ten-year)</w:t>
            </w:r>
          </w:p>
        </w:tc>
        <w:tc>
          <w:tcPr>
            <w:tcW w:type="dxa" w:w="25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Adds C$6.6 to 9.9B programme-side plus C$5.9B to C$36.2B fleet account</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Tax revenue</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about C$0.1B</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C$2.1B to C$3.2B (ten-year)</w:t>
            </w:r>
          </w:p>
        </w:tc>
        <w:tc>
          <w:tcPr>
            <w:tcW w:type="dxa" w:w="25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Adds C$1.9B to C$8.0B by fleet size (30 to 40 percent recapture)</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Export potential</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Nil (US-controlled)</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Sprinter and Striker lines, priced and authorized</w:t>
            </w:r>
          </w:p>
        </w:tc>
        <w:tc>
          <w:tcPr>
            <w:tcW w:type="dxa" w:w="25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Adds C$2.5 to 4.5B GCAP-linked potential by 2055</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Sovereignty and source code</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Denied; US upgrade authority</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Full on the manned fleet; programme-owned autonomy stack</w:t>
            </w:r>
          </w:p>
        </w:tc>
        <w:tc>
          <w:tcPr>
            <w:tcW w:type="dxa" w:w="25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Adds GCAP design authority inside Canadian workshare packages</w:t>
            </w:r>
          </w:p>
        </w:tc>
      </w:tr>
      <w:tr>
        <w:trPr>
          <w:tblHeader w:val="false"/>
        </w:trPr>
        <w:tc>
          <w:tcPr>
            <w:tcW w:type="dxa" w:w="1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2040+ capability</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F-35 block-upgrade dependency</w:t>
            </w:r>
          </w:p>
        </w:tc>
        <w:tc>
          <w:tcPr>
            <w:tcW w:type="dxa" w:w="2553"/>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Fleet credible to about 2045, then a gap</w:t>
            </w:r>
          </w:p>
        </w:tc>
        <w:tc>
          <w:tcPr>
            <w:tcW w:type="dxa" w:w="2554"/>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Continuous path into the sixth generation</w:t>
            </w:r>
          </w:p>
        </w:tc>
      </w:tr>
      <w:tr>
        <w:trPr>
          <w:tblHeader w:val="false"/>
        </w:trPr>
        <w:tc>
          <w:tcPr>
            <w:tcW w:type="dxa" w:w="1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Schedule risk</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Facilities three years behind (OAG 2025)</w:t>
            </w:r>
          </w:p>
        </w:tc>
        <w:tc>
          <w:tcPr>
            <w:tcW w:type="dxa" w:w="2553"/>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Package-scheduled at v6.1</w:t>
            </w:r>
          </w:p>
        </w:tc>
        <w:tc>
          <w:tcPr>
            <w:tcW w:type="dxa" w:w="2554"/>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GCAP IOC 2035, possible acceleration to 2033; demonstrator flies from early 2028</w:t>
            </w:r>
          </w:p>
        </w:tc>
      </w:tr>
    </w:tbl>
    <w:p>
      <w:pPr>
        <w:spacing w:after="140" w:line="300"/>
        <w:ind w:firstLine="431"/>
      </w:pPr>
      <w:r>
        <w:rPr>
          <w:rFonts w:ascii="Georgia" w:cs="Georgia" w:eastAsia="SimSun" w:hAnsi="Georgia"/>
          <w:sz w:val="22"/>
          <w:szCs w:val="22"/>
        </w:rPr>
        <w:t xml:space="preserve">Within the recommended future, the fleet-size decision governs cost, jobs and headroom together. Table XVI-2 assembles the decision matrix across all seventeen quantities.</w:t>
      </w:r>
    </w:p>
    <w:p>
      <w:pPr>
        <w:spacing w:after="100" w:before="120"/>
        <w:jc w:val="center"/>
      </w:pPr>
      <w:r>
        <w:rPr>
          <w:rFonts w:ascii="Georgia" w:cs="Georgia" w:eastAsia="SimSun" w:hAnsi="Georgia"/>
          <w:i/>
          <w:iCs/>
          <w:color w:val="6B7F94"/>
          <w:sz w:val="18"/>
          <w:szCs w:val="18"/>
        </w:rPr>
        <w:t xml:space="preserve">Table XVI-2. Fleet-size decision matrix (C$ million; jobs CALCULATED as tagged)</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700"/>
        <w:gridCol w:w="1300"/>
        <w:gridCol w:w="1500"/>
        <w:gridCol w:w="1150"/>
        <w:gridCol w:w="1450"/>
        <w:gridCol w:w="1900"/>
        <w:gridCol w:w="1360"/>
      </w:tblGrid>
      <w:tr>
        <w:trPr>
          <w:tblHeader/>
        </w:trPr>
        <w:tc>
          <w:tcPr>
            <w:tcW w:type="dxa" w:w="7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Fleet size N</w:t>
            </w:r>
          </w:p>
        </w:tc>
        <w:tc>
          <w:tcPr>
            <w:tcW w:type="dxa" w:w="13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Bridge (C$M)</w:t>
            </w:r>
          </w:p>
        </w:tc>
        <w:tc>
          <w:tcPr>
            <w:tcW w:type="dxa" w:w="15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Entry + base fleet (C$M)</w:t>
            </w:r>
          </w:p>
        </w:tc>
        <w:tc>
          <w:tcPr>
            <w:tcW w:type="dxa" w:w="115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Headroom (C$M)</w:t>
            </w:r>
          </w:p>
        </w:tc>
        <w:tc>
          <w:tcPr>
            <w:tcW w:type="dxa" w:w="145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Fleet account direct jobs</w:t>
            </w:r>
          </w:p>
        </w:tc>
        <w:tc>
          <w:tcPr>
            <w:tcW w:type="dxa" w:w="190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Whole-stack peak (total jobs)</w:t>
            </w:r>
          </w:p>
        </w:tc>
        <w:tc>
          <w:tcPr>
            <w:tcW w:type="dxa" w:w="1360"/>
            <w:shd w:fill="1F3A5F" w:val="clear"/>
            <w:tcMar>
              <w:top w:type="dxa" w:w="60"/>
              <w:left w:type="dxa" w:w="90"/>
              <w:bottom w:type="dxa" w:w="60"/>
              <w:right w:type="dxa" w:w="90"/>
            </w:tcMar>
          </w:tcPr>
          <w:p>
            <w:pPr>
              <w:spacing w:after="0" w:line="240"/>
              <w:jc w:val="right"/>
            </w:pPr>
            <w:r>
              <w:rPr>
                <w:rFonts w:ascii="Georgia" w:cs="Georgia" w:eastAsia="SimSun" w:hAnsi="Georgia"/>
                <w:b/>
                <w:bCs/>
                <w:color w:val="FFFFFF"/>
                <w:sz w:val="14"/>
                <w:szCs w:val="14"/>
              </w:rPr>
              <w:t xml:space="preserve">Verdict</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10</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22,233</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6,550</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15,683</w:t>
            </w:r>
          </w:p>
        </w:tc>
        <w:tc>
          <w:tcPr>
            <w:tcW w:type="dxa" w:w="14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3,028</w:t>
            </w:r>
          </w:p>
        </w:tc>
        <w:tc>
          <w:tcPr>
            <w:tcW w:type="dxa" w:w="19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22,843 to 24,787</w:t>
            </w:r>
          </w:p>
        </w:tc>
        <w:tc>
          <w:tcPr>
            <w:tcW w:type="dxa" w:w="13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15</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21,884</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7,675</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14,209</w:t>
            </w:r>
          </w:p>
        </w:tc>
        <w:tc>
          <w:tcPr>
            <w:tcW w:type="dxa" w:w="14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3,470</w:t>
            </w:r>
          </w:p>
        </w:tc>
        <w:tc>
          <w:tcPr>
            <w:tcW w:type="dxa" w:w="19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25,273 to 27,217</w:t>
            </w:r>
          </w:p>
        </w:tc>
        <w:tc>
          <w:tcPr>
            <w:tcW w:type="dxa" w:w="13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20</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21,530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8,800</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12,730</w:t>
            </w:r>
          </w:p>
        </w:tc>
        <w:tc>
          <w:tcPr>
            <w:tcW w:type="dxa" w:w="14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3,912</w:t>
            </w:r>
          </w:p>
        </w:tc>
        <w:tc>
          <w:tcPr>
            <w:tcW w:type="dxa" w:w="19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27,721 to 29,665</w:t>
            </w:r>
          </w:p>
        </w:tc>
        <w:tc>
          <w:tcPr>
            <w:tcW w:type="dxa" w:w="13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25</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21,195</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9,925</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11,270</w:t>
            </w:r>
          </w:p>
        </w:tc>
        <w:tc>
          <w:tcPr>
            <w:tcW w:type="dxa" w:w="14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4,354</w:t>
            </w:r>
          </w:p>
        </w:tc>
        <w:tc>
          <w:tcPr>
            <w:tcW w:type="dxa" w:w="19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30,047 to 31,991</w:t>
            </w:r>
          </w:p>
        </w:tc>
        <w:tc>
          <w:tcPr>
            <w:tcW w:type="dxa" w:w="13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28</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20,997</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10,600</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10,397</w:t>
            </w:r>
          </w:p>
        </w:tc>
        <w:tc>
          <w:tcPr>
            <w:tcW w:type="dxa" w:w="14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4,619</w:t>
            </w:r>
          </w:p>
        </w:tc>
        <w:tc>
          <w:tcPr>
            <w:tcW w:type="dxa" w:w="19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31,197 to 33,141</w:t>
            </w:r>
          </w:p>
        </w:tc>
        <w:tc>
          <w:tcPr>
            <w:tcW w:type="dxa" w:w="13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30</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20,865</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11,050</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9,815</w:t>
            </w:r>
          </w:p>
        </w:tc>
        <w:tc>
          <w:tcPr>
            <w:tcW w:type="dxa" w:w="14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4,796</w:t>
            </w:r>
          </w:p>
        </w:tc>
        <w:tc>
          <w:tcPr>
            <w:tcW w:type="dxa" w:w="19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31,963 to 33,907</w:t>
            </w:r>
          </w:p>
        </w:tc>
        <w:tc>
          <w:tcPr>
            <w:tcW w:type="dxa" w:w="13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35</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20,539</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12,175</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8,364</w:t>
            </w:r>
          </w:p>
        </w:tc>
        <w:tc>
          <w:tcPr>
            <w:tcW w:type="dxa" w:w="14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5,237</w:t>
            </w:r>
          </w:p>
        </w:tc>
        <w:tc>
          <w:tcPr>
            <w:tcW w:type="dxa" w:w="19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33,889 to 35,833</w:t>
            </w:r>
          </w:p>
        </w:tc>
        <w:tc>
          <w:tcPr>
            <w:tcW w:type="dxa" w:w="13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38</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20,332</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12,850</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7,482</w:t>
            </w:r>
          </w:p>
        </w:tc>
        <w:tc>
          <w:tcPr>
            <w:tcW w:type="dxa" w:w="14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5,502</w:t>
            </w:r>
          </w:p>
        </w:tc>
        <w:tc>
          <w:tcPr>
            <w:tcW w:type="dxa" w:w="19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35,071 to 37,015</w:t>
            </w:r>
          </w:p>
        </w:tc>
        <w:tc>
          <w:tcPr>
            <w:tcW w:type="dxa" w:w="13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40</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20,203</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13,300</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6,903</w:t>
            </w:r>
          </w:p>
        </w:tc>
        <w:tc>
          <w:tcPr>
            <w:tcW w:type="dxa" w:w="14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5,679</w:t>
            </w:r>
          </w:p>
        </w:tc>
        <w:tc>
          <w:tcPr>
            <w:tcW w:type="dxa" w:w="19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35,841 to 37,785</w:t>
            </w:r>
          </w:p>
        </w:tc>
        <w:tc>
          <w:tcPr>
            <w:tcW w:type="dxa" w:w="13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45</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19,883</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14,425</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5,458</w:t>
            </w:r>
          </w:p>
        </w:tc>
        <w:tc>
          <w:tcPr>
            <w:tcW w:type="dxa" w:w="14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6,121</w:t>
            </w:r>
          </w:p>
        </w:tc>
        <w:tc>
          <w:tcPr>
            <w:tcW w:type="dxa" w:w="19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37,776 to 39,720</w:t>
            </w:r>
          </w:p>
        </w:tc>
        <w:tc>
          <w:tcPr>
            <w:tcW w:type="dxa" w:w="13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50</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19,565</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15,550</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4,015</w:t>
            </w:r>
          </w:p>
        </w:tc>
        <w:tc>
          <w:tcPr>
            <w:tcW w:type="dxa" w:w="14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6,562</w:t>
            </w:r>
          </w:p>
        </w:tc>
        <w:tc>
          <w:tcPr>
            <w:tcW w:type="dxa" w:w="19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39,711 to 41,655</w:t>
            </w:r>
          </w:p>
        </w:tc>
        <w:tc>
          <w:tcPr>
            <w:tcW w:type="dxa" w:w="13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55</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19,236</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16,675</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2,561</w:t>
            </w:r>
          </w:p>
        </w:tc>
        <w:tc>
          <w:tcPr>
            <w:tcW w:type="dxa" w:w="14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7,004</w:t>
            </w:r>
          </w:p>
        </w:tc>
        <w:tc>
          <w:tcPr>
            <w:tcW w:type="dxa" w:w="19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41,669 to 43,613</w:t>
            </w:r>
          </w:p>
        </w:tc>
        <w:tc>
          <w:tcPr>
            <w:tcW w:type="dxa" w:w="13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A, fully funded, widest headroom</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58</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19,047</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17,350</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1,697</w:t>
            </w:r>
          </w:p>
        </w:tc>
        <w:tc>
          <w:tcPr>
            <w:tcW w:type="dxa" w:w="14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7,269</w:t>
            </w:r>
          </w:p>
        </w:tc>
        <w:tc>
          <w:tcPr>
            <w:tcW w:type="dxa" w:w="19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42,835 to 44,779</w:t>
            </w:r>
          </w:p>
        </w:tc>
        <w:tc>
          <w:tcPr>
            <w:tcW w:type="dxa" w:w="13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B, fully funded at base price</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60</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18,922</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17,800</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1,122</w:t>
            </w:r>
          </w:p>
        </w:tc>
        <w:tc>
          <w:tcPr>
            <w:tcW w:type="dxa" w:w="14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7,446</w:t>
            </w:r>
          </w:p>
        </w:tc>
        <w:tc>
          <w:tcPr>
            <w:tcW w:type="dxa" w:w="19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43,610 to 45,554</w:t>
            </w:r>
          </w:p>
        </w:tc>
        <w:tc>
          <w:tcPr>
            <w:tcW w:type="dxa" w:w="13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B, fully funded at base price</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65</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18,610</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18,925</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-315</w:t>
            </w:r>
          </w:p>
        </w:tc>
        <w:tc>
          <w:tcPr>
            <w:tcW w:type="dxa" w:w="14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7,888</w:t>
            </w:r>
          </w:p>
        </w:tc>
        <w:tc>
          <w:tcPr>
            <w:tcW w:type="dxa" w:w="19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45,552 to 47,496</w:t>
            </w:r>
          </w:p>
        </w:tc>
        <w:tc>
          <w:tcPr>
            <w:tcW w:type="dxa" w:w="13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C, funded within the low-price band</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70</w:t>
            </w:r>
          </w:p>
        </w:tc>
        <w:tc>
          <w:tcPr>
            <w:tcW w:type="dxa" w:w="13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18,299</w:t>
            </w:r>
          </w:p>
        </w:tc>
        <w:tc>
          <w:tcPr>
            <w:tcW w:type="dxa" w:w="15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20,050</w:t>
            </w:r>
          </w:p>
        </w:tc>
        <w:tc>
          <w:tcPr>
            <w:tcW w:type="dxa" w:w="11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-1,751</w:t>
            </w:r>
          </w:p>
        </w:tc>
        <w:tc>
          <w:tcPr>
            <w:tcW w:type="dxa" w:w="145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8,330</w:t>
            </w:r>
          </w:p>
        </w:tc>
        <w:tc>
          <w:tcPr>
            <w:tcW w:type="dxa" w:w="190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47,495 to 49,439</w:t>
            </w:r>
          </w:p>
        </w:tc>
        <w:tc>
          <w:tcPr>
            <w:tcW w:type="dxa" w:w="1360"/>
            <w:shd w:fill="F4F7FA"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C, funded within the low-price band</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72</w:t>
            </w:r>
          </w:p>
        </w:tc>
        <w:tc>
          <w:tcPr>
            <w:tcW w:type="dxa" w:w="13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18,176</w:t>
            </w:r>
          </w:p>
        </w:tc>
        <w:tc>
          <w:tcPr>
            <w:tcW w:type="dxa" w:w="15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20,500</w:t>
            </w:r>
          </w:p>
        </w:tc>
        <w:tc>
          <w:tcPr>
            <w:tcW w:type="dxa" w:w="11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-2,324</w:t>
            </w:r>
          </w:p>
        </w:tc>
        <w:tc>
          <w:tcPr>
            <w:tcW w:type="dxa" w:w="145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8,506</w:t>
            </w:r>
          </w:p>
        </w:tc>
        <w:tc>
          <w:tcPr>
            <w:tcW w:type="dxa" w:w="190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48,271 to 50,215</w:t>
            </w:r>
          </w:p>
        </w:tc>
        <w:tc>
          <w:tcPr>
            <w:tcW w:type="dxa" w:w="1360"/>
            <w:shd w:fill="FFFFFF" w:val="clear"/>
            <w:tcMar>
              <w:top w:type="dxa" w:w="60"/>
              <w:left w:type="dxa" w:w="90"/>
              <w:bottom w:type="dxa" w:w="60"/>
              <w:right w:type="dxa" w:w="90"/>
            </w:tcMar>
          </w:tcPr>
          <w:p>
            <w:pPr>
              <w:spacing w:after="0" w:line="240"/>
              <w:jc w:val="right"/>
            </w:pPr>
            <w:r>
              <w:rPr>
                <w:rFonts w:ascii="Georgia" w:cs="Georgia" w:eastAsia="SimSun" w:hAnsi="Georgia"/>
                <w:b w:val="false"/>
                <w:bCs w:val="false"/>
                <w:color w:val="222222"/>
                <w:sz w:val="14"/>
                <w:szCs w:val="14"/>
              </w:rPr>
              <w:t xml:space="preserve">C, funded within the low-price band</w:t>
            </w:r>
          </w:p>
        </w:tc>
      </w:tr>
    </w:tbl>
    <w:p>
      <w:pPr>
        <w:spacing w:after="160"/>
      </w:pPr>
      <w:r>
        <w:rPr>
          <w:rFonts w:ascii="Georgia" w:cs="Georgia" w:eastAsia="SimSun" w:hAnsi="Georgia"/>
          <w:color w:val="6B7F94"/>
          <w:sz w:val="18"/>
          <w:szCs w:val="18"/>
        </w:rPr>
        <w:t xml:space="preserve">Verdict bands. A: entry plus base-price fleet funded with more than C$2.5B of headroom. B: fully funded at base price. C: funded within the C$175M low-price band, or by roughly one to two years of the F-35 operating differential. No fleet size requires new money against the F-35 baseline beyond these bounds.</w:t>
      </w:r>
    </w:p>
    <w:p>
      <w:pPr>
        <w:spacing w:after="140" w:line="300"/>
        <w:ind w:firstLine="431"/>
      </w:pPr>
      <w:r>
        <w:rPr>
          <w:rFonts w:ascii="Georgia" w:cs="Georgia" w:eastAsia="SimSun" w:hAnsi="Georgia"/>
          <w:sz w:val="22"/>
          <w:szCs w:val="22"/>
        </w:rPr>
        <w:t xml:space="preserve">The matrix reads cleanly. Quantities 10 through 55 carry verdict A: the bridge funds entry and the base-price fleet with billions to spare. Quantities 58 and 60 carry verdict B. Quantities 65, 70 and 72 carry verdict C: fully achievable, but disciplined on unit price. Employment argues the opposite direction, larger fleets produce more jobs at every layer, so the decision balances fiscal comfort against industrial reach. A pairing in the 48-to-60 band captures 5,679 to 7,446 fleet-account direct jobs, a whole-stack peak of 35,841 to 45,554, and verdict A or B funding: the sweet spot of the analysis.</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Part XVII. Conclusion and Recommendations</w:t>
      </w:r>
    </w:p>
    <w:p>
      <w:pPr>
        <w:spacing w:after="140" w:line="300"/>
        <w:ind w:firstLine="431"/>
      </w:pPr>
      <w:r>
        <w:rPr>
          <w:rFonts w:ascii="Georgia" w:cs="Georgia" w:eastAsia="SimSun" w:hAnsi="Georgia"/>
          <w:sz w:val="22"/>
          <w:szCs w:val="22"/>
        </w:rPr>
        <w:t xml:space="preserve">The June 2026 deep dive asked whether pursuing GCAP observer status made sense; events answered that question on 21 July 2026. The v5.0 Pathway asked what to do with the seat and priced the answer on a single reference fleet. This v6.1 edition prices the answer at every fleet size, on the governing procurement packages, against programme facts verified within the last ninety days. The conclusion strengthens at every step of the restatement: the bridge is larger (C$18.18B to C$22.23B), the fleet side is cheaper at every quantity, the employment case reaches deeper (a fleet-scaled Tempest account the earlier editions lacked), and the funding test passes at all seventeen fleet sizes.</w:t>
      </w:r>
    </w:p>
    <w:p>
      <w:pPr>
        <w:spacing w:after="140" w:line="300"/>
        <w:ind w:firstLine="431"/>
      </w:pPr>
      <w:r>
        <w:rPr>
          <w:rFonts w:ascii="Georgia" w:cs="Georgia" w:eastAsia="SimSun" w:hAnsi="Georgia"/>
          <w:sz w:val="22"/>
          <w:szCs w:val="22"/>
        </w:rPr>
        <w:t xml:space="preserve">Canada now brings to any accession negotiation: a baselined v6.1 fleet recapitalization proving fiscal seriousness at component level; CAE's world-leading simulation capability, the contribution the partners themselves expect; an operational autonomy stack and a CDR-maturity CCA portfolio directly relevant to GCAP's adjunct-aircraft ambitions; and a verified savings bridge that funds partnership without new money. No prospective partner in GCAP's history has arrived with this portfolio.</w:t>
      </w:r>
    </w:p>
    <w:p>
      <w:pPr>
        <w:pStyle w:val="Heading2"/>
        <w:spacing w:after="140" w:before="280"/>
      </w:pPr>
      <w:r>
        <w:rPr>
          <w:rFonts w:ascii="Georgia" w:cs="Georgia" w:eastAsia="SimSun" w:hAnsi="Georgia"/>
          <w:b/>
          <w:bCs/>
          <w:color w:val="1F3A5F"/>
          <w:sz w:val="26"/>
          <w:szCs w:val="26"/>
        </w:rPr>
        <w:t xml:space="preserve">Recommendations</w:t>
      </w:r>
    </w:p>
    <w:p>
      <w:pPr>
        <w:pStyle w:val="ListParagraph"/>
        <w:numPr>
          <w:ilvl w:val="0"/>
          <w:numId w:val="2"/>
        </w:numPr>
        <w:spacing w:after="80" w:line="290"/>
      </w:pPr>
      <w:r>
        <w:rPr>
          <w:rFonts w:ascii="Georgia" w:cs="Georgia" w:eastAsia="SimSun" w:hAnsi="Georgia"/>
          <w:sz w:val="22"/>
          <w:szCs w:val="22"/>
        </w:rPr>
        <w:t xml:space="preserve">R1. Convert observer deliverables into indispensability (immediate). Deploy CAE-led simulation and training technology into GCAP's synthetic-environment workstream within the observer framework. Objective: make Canada's exclusion from partnership costlier to the partners than inclusion, the strongest answer to Japanese schedule concerns.</w:t>
      </w:r>
    </w:p>
    <w:p>
      <w:pPr>
        <w:pStyle w:val="ListParagraph"/>
        <w:numPr>
          <w:ilvl w:val="0"/>
          <w:numId w:val="2"/>
        </w:numPr>
        <w:spacing w:after="80" w:line="290"/>
      </w:pPr>
      <w:r>
        <w:rPr>
          <w:rFonts w:ascii="Georgia" w:cs="Georgia" w:eastAsia="SimSun" w:hAnsi="Georgia"/>
          <w:sz w:val="22"/>
          <w:szCs w:val="22"/>
        </w:rPr>
        <w:t xml:space="preserve">R2. Milestone-phase the C$3.5B partnership tranche (2026 to 2028). Commit funding only against verified accession milestones: workshare agreement, design-authority terms, IP arrangements. The tranche is pre-funded from the bridge at every fleet size; phasing caps exposure if accession stalls.</w:t>
      </w:r>
    </w:p>
    <w:p>
      <w:pPr>
        <w:pStyle w:val="ListParagraph"/>
        <w:numPr>
          <w:ilvl w:val="0"/>
          <w:numId w:val="2"/>
        </w:numPr>
        <w:spacing w:after="80" w:line="290"/>
      </w:pPr>
      <w:r>
        <w:rPr>
          <w:rFonts w:ascii="Georgia" w:cs="Georgia" w:eastAsia="SimSun" w:hAnsi="Georgia"/>
          <w:sz w:val="22"/>
          <w:szCs w:val="22"/>
        </w:rPr>
        <w:t xml:space="preserve">R3. Negotiate at the 2027 review checkpoint from strength (2027). Use demonstrator power-on (mid-2027) and the approach of flight test as natural programme review points to table associate-tier accession with the WP-B and WP-D bids, citing observer-period contributions and the roughly 350-aircraft partner-demand gap Canadian volume helps fill.</w:t>
      </w:r>
    </w:p>
    <w:p>
      <w:pPr>
        <w:pStyle w:val="ListParagraph"/>
        <w:numPr>
          <w:ilvl w:val="0"/>
          <w:numId w:val="2"/>
        </w:numPr>
        <w:spacing w:after="80" w:line="290"/>
      </w:pPr>
      <w:r>
        <w:rPr>
          <w:rFonts w:ascii="Georgia" w:cs="Georgia" w:eastAsia="SimSun" w:hAnsi="Georgia"/>
          <w:sz w:val="22"/>
          <w:szCs w:val="22"/>
        </w:rPr>
        <w:t xml:space="preserve">R4. Lock the regional distribution in the accession instrument (2027 to 2028). Bind GCAP workshare to the Northern Horizon geography: Quebec assembly, simulation and propulsion; Ontario sensors and autonomy; Western test and range activity; Atlantic sustainment. Domestic politics then defends the programme internationally.</w:t>
      </w:r>
    </w:p>
    <w:p>
      <w:pPr>
        <w:pStyle w:val="ListParagraph"/>
        <w:numPr>
          <w:ilvl w:val="0"/>
          <w:numId w:val="2"/>
        </w:numPr>
        <w:spacing w:after="80" w:line="290"/>
      </w:pPr>
      <w:r>
        <w:rPr>
          <w:rFonts w:ascii="Georgia" w:cs="Georgia" w:eastAsia="SimSun" w:hAnsi="Georgia"/>
          <w:sz w:val="22"/>
          <w:szCs w:val="22"/>
        </w:rPr>
        <w:t xml:space="preserve">R5. Extend the Mirabel depot line to sixth-generation readiness (2028 to 2030). Invest C$0.3B to C$0.5B from the bridge so the fleet's sustainment capture becomes GCAP's North American sustainment node, the most durable revenue stream in the programme.</w:t>
      </w:r>
    </w:p>
    <w:p>
      <w:pPr>
        <w:pStyle w:val="ListParagraph"/>
        <w:numPr>
          <w:ilvl w:val="0"/>
          <w:numId w:val="2"/>
        </w:numPr>
        <w:spacing w:after="80" w:line="290"/>
      </w:pPr>
      <w:r>
        <w:rPr>
          <w:rFonts w:ascii="Georgia" w:cs="Georgia" w:eastAsia="SimSun" w:hAnsi="Georgia"/>
          <w:sz w:val="22"/>
          <w:szCs w:val="22"/>
        </w:rPr>
        <w:t xml:space="preserve">R6. Bid the adjunct-aircraft work package aggressively (2027 to 2029). The Sprinter and Striker v6.1 baselines give Canada a CCA portfolio at CDR maturity with published prices, a credential no other aspirant holds. CCA is GCAP's fastest-growing segment and Canada's strongest claim to partner-tier workshare.</w:t>
      </w:r>
    </w:p>
    <w:p>
      <w:pPr>
        <w:pStyle w:val="ListParagraph"/>
        <w:numPr>
          <w:ilvl w:val="0"/>
          <w:numId w:val="2"/>
        </w:numPr>
        <w:spacing w:after="80" w:line="290"/>
      </w:pPr>
      <w:r>
        <w:rPr>
          <w:rFonts w:ascii="Georgia" w:cs="Georgia" w:eastAsia="SimSun" w:hAnsi="Georgia"/>
          <w:sz w:val="22"/>
          <w:szCs w:val="22"/>
        </w:rPr>
        <w:t xml:space="preserve">R7. Hold the F-35 savings line inviolate (continuous). Any further F-35 cost growth flows to the bridge, not back to the vendor. The bridge is the strategy.</w:t>
      </w:r>
    </w:p>
    <w:p>
      <w:pPr>
        <w:pStyle w:val="ListParagraph"/>
        <w:numPr>
          <w:ilvl w:val="0"/>
          <w:numId w:val="2"/>
        </w:numPr>
        <w:spacing w:after="80" w:line="290"/>
      </w:pPr>
      <w:r>
        <w:rPr>
          <w:rFonts w:ascii="Georgia" w:cs="Georgia" w:eastAsia="SimSun" w:hAnsi="Georgia"/>
          <w:sz w:val="22"/>
          <w:szCs w:val="22"/>
        </w:rPr>
        <w:t xml:space="preserve">R8. Publish an annual GCAP economic return statement (from 2027). Mirror this document's verification-register discipline: every claimed job, dollar and workshare tagged against source. Credibility with Edgewing, G2E and the partner treasuries is Canada's accession currency.</w:t>
      </w:r>
    </w:p>
    <w:p>
      <w:pPr>
        <w:pStyle w:val="ListParagraph"/>
        <w:numPr>
          <w:ilvl w:val="0"/>
          <w:numId w:val="2"/>
        </w:numPr>
        <w:spacing w:after="80" w:line="290"/>
      </w:pPr>
      <w:r>
        <w:rPr>
          <w:rFonts w:ascii="Georgia" w:cs="Georgia" w:eastAsia="SimSun" w:hAnsi="Georgia"/>
          <w:sz w:val="22"/>
          <w:szCs w:val="22"/>
        </w:rPr>
        <w:t xml:space="preserve">R9. Set the fleet-size decision point at the 48-to-60 band (at accession). The decision matrix shows verdict A or B funding, 5,679 to 7,446 fleet-account direct jobs, and a whole-stack peak of 35,841 to 45,554 total jobs in that band; the band preserves the option to grow to 72 if the low unit-price anchor holds.</w:t>
      </w:r>
    </w:p>
    <w:p>
      <w:pPr>
        <w:pStyle w:val="Heading2"/>
        <w:spacing w:after="140" w:before="280"/>
      </w:pPr>
      <w:r>
        <w:rPr>
          <w:rFonts w:ascii="Georgia" w:cs="Georgia" w:eastAsia="SimSun" w:hAnsi="Georgia"/>
          <w:b/>
          <w:bCs/>
          <w:color w:val="1F3A5F"/>
          <w:sz w:val="26"/>
          <w:szCs w:val="26"/>
        </w:rPr>
        <w:t xml:space="preserve">Concluding Assessment</w:t>
      </w:r>
    </w:p>
    <w:p>
      <w:pPr>
        <w:spacing w:after="140" w:line="300"/>
        <w:ind w:firstLine="431"/>
      </w:pPr>
      <w:r>
        <w:rPr>
          <w:rFonts w:ascii="Georgia" w:cs="Georgia" w:eastAsia="SimSun" w:hAnsi="Georgia"/>
          <w:sz w:val="22"/>
          <w:szCs w:val="22"/>
        </w:rPr>
        <w:t xml:space="preserve">The original deep dive concluded that GCAP membership was economically rational if achievable. The v5.0 Pathway concluded it was achievable because the interim fleet had manufactured the proof. This edition concludes that the proof now scales: at every fleet size from 10 to 72, the savings bridge funds both the entry and the fleet, and the employment case, 22,843 to 50,215 total jobs at peak overlap, surpasses anything the programme's earlier documents could defend. The window, flight test from early 2028, design-authority decisions before freeze, partner demand near 350 aircraft, is open now and rewards speed. The recommendation of this assessment is unqualified: proceed to full partnership at the earliest negotiable point, funded by the bridge, anchored in the regions, and verified annually.</w:t>
      </w:r>
    </w:p>
    <w:p>
      <w:r>
        <w:br w:type="page"/>
      </w:r>
    </w:p>
    <w:p>
      <w:pPr>
        <w:pStyle w:val="Heading1"/>
        <w:pBdr>
          <w:bottom w:val="single" w:color="C9A227" w:sz="8" w:space="4"/>
        </w:pBdr>
        <w:spacing w:after="180" w:before="360"/>
      </w:pPr>
      <w:r>
        <w:rPr>
          <w:rFonts w:ascii="Georgia" w:cs="Georgia" w:eastAsia="SimSun" w:hAnsi="Georgia"/>
          <w:b/>
          <w:bCs/>
          <w:color w:val="1F3A5F"/>
          <w:sz w:val="32"/>
          <w:szCs w:val="32"/>
        </w:rPr>
        <w:t xml:space="preserve">Appendix A. Methodology and Formulas</w:t>
      </w:r>
    </w:p>
    <w:p>
      <w:pPr>
        <w:pStyle w:val="Heading2"/>
        <w:spacing w:after="140" w:before="280"/>
      </w:pPr>
      <w:r>
        <w:rPr>
          <w:rFonts w:ascii="Georgia" w:cs="Georgia" w:eastAsia="SimSun" w:hAnsi="Georgia"/>
          <w:b/>
          <w:bCs/>
          <w:color w:val="1F3A5F"/>
          <w:sz w:val="26"/>
          <w:szCs w:val="26"/>
        </w:rPr>
        <w:t xml:space="preserve">A.1 The Funding Bridge</w:t>
      </w:r>
    </w:p>
    <w:p>
      <w:pPr>
        <w:pStyle w:val="ListParagraph"/>
        <w:numPr>
          <w:ilvl w:val="0"/>
          <w:numId w:val="2"/>
        </w:numPr>
        <w:spacing w:after="80" w:line="290"/>
      </w:pPr>
      <w:r>
        <w:rPr>
          <w:rFonts w:ascii="Georgia" w:cs="Georgia" w:eastAsia="SimSun" w:hAnsi="Georgia"/>
          <w:sz w:val="22"/>
          <w:szCs w:val="22"/>
        </w:rPr>
        <w:t xml:space="preserve">Bridge(N) = C$27,700M (OAG 2025 F-35 acquisition line, VERIFIED) minus NH combined acquisition at fleet size N (PACKAGE: SPR-AIR-PPP-006, STR-AIR-PPP-003, AGA-PRC-061).</w:t>
      </w:r>
    </w:p>
    <w:p>
      <w:pPr>
        <w:pStyle w:val="ListParagraph"/>
        <w:numPr>
          <w:ilvl w:val="0"/>
          <w:numId w:val="2"/>
        </w:numPr>
        <w:spacing w:after="80" w:line="290"/>
      </w:pPr>
      <w:r>
        <w:rPr>
          <w:rFonts w:ascii="Georgia" w:cs="Georgia" w:eastAsia="SimSun" w:hAnsi="Georgia"/>
          <w:sz w:val="22"/>
          <w:szCs w:val="22"/>
        </w:rPr>
        <w:t xml:space="preserve">Funding need(N) = C$3,500M entry tranche (ESTIMATE, CARRIED anchor) plus C$800M fixed integration plus N times unit price U, with U in {C$175M, C$225M, C$300M} (ESTIMATE band; anchors in Table V-1).</w:t>
      </w:r>
    </w:p>
    <w:p>
      <w:pPr>
        <w:pStyle w:val="ListParagraph"/>
        <w:numPr>
          <w:ilvl w:val="0"/>
          <w:numId w:val="2"/>
        </w:numPr>
        <w:spacing w:after="80" w:line="290"/>
      </w:pPr>
      <w:r>
        <w:rPr>
          <w:rFonts w:ascii="Georgia" w:cs="Georgia" w:eastAsia="SimSun" w:hAnsi="Georgia"/>
          <w:sz w:val="22"/>
          <w:szCs w:val="22"/>
        </w:rPr>
        <w:t xml:space="preserve">Learning-curve sensitivity: U95(N) = 225 x (N/48)^c with c = ln(0.95)/ln(2); effect under C$0.6B at every fleet size, no verdict changes.</w:t>
      </w:r>
    </w:p>
    <w:p>
      <w:pPr>
        <w:pStyle w:val="Heading2"/>
        <w:spacing w:after="140" w:before="280"/>
      </w:pPr>
      <w:r>
        <w:rPr>
          <w:rFonts w:ascii="Georgia" w:cs="Georgia" w:eastAsia="SimSun" w:hAnsi="Georgia"/>
          <w:b/>
          <w:bCs/>
          <w:color w:val="1F3A5F"/>
          <w:sz w:val="26"/>
          <w:szCs w:val="26"/>
        </w:rPr>
        <w:t xml:space="preserve">A.2 The Tempest Fleet Account (Employment)</w:t>
      </w:r>
    </w:p>
    <w:p>
      <w:pPr>
        <w:pStyle w:val="ListParagraph"/>
        <w:numPr>
          <w:ilvl w:val="0"/>
          <w:numId w:val="2"/>
        </w:numPr>
        <w:spacing w:after="80" w:line="290"/>
      </w:pPr>
      <w:r>
        <w:rPr>
          <w:rFonts w:ascii="Georgia" w:cs="Georgia" w:eastAsia="SimSun" w:hAnsi="Georgia"/>
          <w:sz w:val="22"/>
          <w:szCs w:val="22"/>
        </w:rPr>
        <w:t xml:space="preserve">Direct jobs, base build = 2,145 fixed establishment plus 88.35 per aircraft: final assembly 900 + 37.5N; propulsion 225 + 7.8N; mission systems 120 + 4.05N; training and simulation 150 + 4.65N; supplier network 225 + 10.95N; enduring sustainment and MRO 525 + 23.4N.</w:t>
      </w:r>
    </w:p>
    <w:p>
      <w:pPr>
        <w:pStyle w:val="ListParagraph"/>
        <w:numPr>
          <w:ilvl w:val="0"/>
          <w:numId w:val="2"/>
        </w:numPr>
        <w:spacing w:after="80" w:line="290"/>
      </w:pPr>
      <w:r>
        <w:rPr>
          <w:rFonts w:ascii="Georgia" w:cs="Georgia" w:eastAsia="SimSun" w:hAnsi="Georgia"/>
          <w:sz w:val="22"/>
          <w:szCs w:val="22"/>
        </w:rPr>
        <w:t xml:space="preserve">The build scales the Gripen E account of the companion Outlook (1,430 + 58.9N) by a content factor of 1.5x, the midpoint between labour parity (1.0x, reported as the floor) and cost proportionality (1.96x at base price against the C$114.75M Gripen E reference).</w:t>
      </w:r>
    </w:p>
    <w:p>
      <w:pPr>
        <w:pStyle w:val="ListParagraph"/>
        <w:numPr>
          <w:ilvl w:val="0"/>
          <w:numId w:val="2"/>
        </w:numPr>
        <w:spacing w:after="80" w:line="290"/>
      </w:pPr>
      <w:r>
        <w:rPr>
          <w:rFonts w:ascii="Georgia" w:cs="Georgia" w:eastAsia="SimSun" w:hAnsi="Georgia"/>
          <w:sz w:val="22"/>
          <w:szCs w:val="22"/>
        </w:rPr>
        <w:t xml:space="preserve">Indirect and induced employment: 0.88x and 0.55x of direct (ISED 2024); total multiplier 2.43x. GDP multiplier 2.19x (1.00 direct, 0.72 indirect, 0.47 induced).</w:t>
      </w:r>
    </w:p>
    <w:p>
      <w:pPr>
        <w:pStyle w:val="Heading2"/>
        <w:spacing w:after="140" w:before="280"/>
      </w:pPr>
      <w:r>
        <w:rPr>
          <w:rFonts w:ascii="Georgia" w:cs="Georgia" w:eastAsia="SimSun" w:hAnsi="Georgia"/>
          <w:b/>
          <w:bCs/>
          <w:color w:val="1F3A5F"/>
          <w:sz w:val="26"/>
          <w:szCs w:val="26"/>
        </w:rPr>
        <w:t xml:space="preserve">A.3 Regional Shares</w:t>
      </w:r>
    </w:p>
    <w:p>
      <w:pPr>
        <w:pStyle w:val="ListParagraph"/>
        <w:numPr>
          <w:ilvl w:val="0"/>
          <w:numId w:val="2"/>
        </w:numPr>
        <w:spacing w:after="80" w:line="290"/>
      </w:pPr>
      <w:r>
        <w:rPr>
          <w:rFonts w:ascii="Georgia" w:cs="Georgia" w:eastAsia="SimSun" w:hAnsi="Georgia"/>
          <w:sz w:val="22"/>
          <w:szCs w:val="22"/>
        </w:rPr>
        <w:t xml:space="preserve">Assembly: Quebec 85, Ontario 5, Atlantic 5, Pan-Canadian 5 (percent). Propulsion: Quebec 70, Ontario 30. Mission systems: Quebec 40, Ontario 60. Training: Quebec 75, Ontario 10, Atlantic 5, Western 5, Pan-Canadian 5. Supplier network: Quebec 45, Ontario 25, Western 15, Atlantic 10, Pan-Canadian 5. Sustainment and MRO: Quebec 20, Ontario 10, Western 25, Atlantic 40, Pan-Canadian 5.</w:t>
      </w:r>
    </w:p>
    <w:p>
      <w:pPr>
        <w:pStyle w:val="Heading2"/>
        <w:spacing w:after="140" w:before="280"/>
      </w:pPr>
      <w:r>
        <w:rPr>
          <w:rFonts w:ascii="Georgia" w:cs="Georgia" w:eastAsia="SimSun" w:hAnsi="Georgia"/>
          <w:b/>
          <w:bCs/>
          <w:color w:val="1F3A5F"/>
          <w:sz w:val="26"/>
          <w:szCs w:val="26"/>
        </w:rPr>
        <w:t xml:space="preserve">A.4 GDP, Tax and Workshare Derivations</w:t>
      </w:r>
    </w:p>
    <w:p>
      <w:pPr>
        <w:pStyle w:val="ListParagraph"/>
        <w:numPr>
          <w:ilvl w:val="0"/>
          <w:numId w:val="2"/>
        </w:numPr>
        <w:spacing w:after="80" w:line="290"/>
      </w:pPr>
      <w:r>
        <w:rPr>
          <w:rFonts w:ascii="Georgia" w:cs="Georgia" w:eastAsia="SimSun" w:hAnsi="Georgia"/>
          <w:sz w:val="22"/>
          <w:szCs w:val="22"/>
        </w:rPr>
        <w:t xml:space="preserve">Fleet-account injection = 0.60 x base acquisition + 0.80 x (C$11M x N x 10 years of sustainment); GDP = 2.19 x injection (CALCULATED on ESTIMATE capture shares).</w:t>
      </w:r>
    </w:p>
    <w:p>
      <w:pPr>
        <w:pStyle w:val="ListParagraph"/>
        <w:numPr>
          <w:ilvl w:val="0"/>
          <w:numId w:val="2"/>
        </w:numPr>
        <w:spacing w:after="80" w:line="290"/>
      </w:pPr>
      <w:r>
        <w:rPr>
          <w:rFonts w:ascii="Georgia" w:cs="Georgia" w:eastAsia="SimSun" w:hAnsi="Georgia"/>
          <w:sz w:val="22"/>
          <w:szCs w:val="22"/>
        </w:rPr>
        <w:t xml:space="preserve">Tax = 30 to 40 percent of (entry tranche + 0.60 x base acquisition + 0.80 x first-decade sustainment), Eurofighter recapture benchmark (CARRIED).</w:t>
      </w:r>
    </w:p>
    <w:p>
      <w:pPr>
        <w:pStyle w:val="ListParagraph"/>
        <w:numPr>
          <w:ilvl w:val="0"/>
          <w:numId w:val="2"/>
        </w:numPr>
        <w:spacing w:after="80" w:line="290"/>
      </w:pPr>
      <w:r>
        <w:rPr>
          <w:rFonts w:ascii="Georgia" w:cs="Georgia" w:eastAsia="SimSun" w:hAnsi="Georgia"/>
          <w:sz w:val="22"/>
          <w:szCs w:val="22"/>
        </w:rPr>
        <w:t xml:space="preserve">Partner-fleet production workshare: 350 aircraft x 8 to 12 percent Canadian share = 28 to 42 aircraft-equivalents x 60.3 direct jobs per aircraft-equivalent (v6.1 production-line rates at 1.5x) = 1,700 to 2,500 direct (ESTIMATE; closing event: workshare agreement).</w:t>
      </w:r>
    </w:p>
    <w:p>
      <w:pPr>
        <w:pStyle w:val="ListParagraph"/>
        <w:numPr>
          <w:ilvl w:val="0"/>
          <w:numId w:val="2"/>
        </w:numPr>
        <w:spacing w:after="80" w:line="290"/>
      </w:pPr>
      <w:r>
        <w:rPr>
          <w:rFonts w:ascii="Georgia" w:cs="Georgia" w:eastAsia="SimSun" w:hAnsi="Georgia"/>
          <w:sz w:val="22"/>
          <w:szCs w:val="22"/>
        </w:rPr>
        <w:t xml:space="preserve">Sustainment planning rate: C$11M per aircraft per year (ESTIMATE), benchmarked one-third below the F-35's implied C$17M per aircraft per year on the OAG operating estimate.</w:t>
      </w:r>
    </w:p>
    <w:p>
      <w:pPr>
        <w:pStyle w:val="Heading1"/>
        <w:pBdr>
          <w:bottom w:val="single" w:color="C9A227" w:sz="8" w:space="4"/>
        </w:pBdr>
        <w:spacing w:after="180" w:before="360"/>
      </w:pPr>
      <w:r>
        <w:rPr>
          <w:rFonts w:ascii="Georgia" w:cs="Georgia" w:eastAsia="SimSun" w:hAnsi="Georgia"/>
          <w:b/>
          <w:bCs/>
          <w:color w:val="1F3A5F"/>
          <w:sz w:val="32"/>
          <w:szCs w:val="32"/>
        </w:rPr>
        <w:t xml:space="preserve">Appendix B. Sources</w:t>
      </w:r>
    </w:p>
    <w:p>
      <w:pPr>
        <w:spacing w:after="140" w:line="300"/>
      </w:pPr>
      <w:r>
        <w:rPr>
          <w:rFonts w:ascii="Georgia" w:cs="Georgia" w:eastAsia="SimSun" w:hAnsi="Georgia"/>
          <w:sz w:val="22"/>
          <w:szCs w:val="22"/>
        </w:rPr>
        <w:t xml:space="preserve">GCAP programme facts (verified 2026):</w:t>
      </w:r>
    </w:p>
    <w:p>
      <w:pPr>
        <w:pStyle w:val="ListParagraph"/>
        <w:numPr>
          <w:ilvl w:val="0"/>
          <w:numId w:val="2"/>
        </w:numPr>
        <w:spacing w:after="80" w:line="290"/>
      </w:pPr>
      <w:r>
        <w:rPr>
          <w:rFonts w:ascii="Georgia" w:cs="Georgia" w:eastAsia="SimSun" w:hAnsi="Georgia"/>
          <w:sz w:val="22"/>
          <w:szCs w:val="22"/>
        </w:rPr>
        <w:t xml:space="preserve">National Defence Canada and UK Government, quadrilateral joint statement on Canada becoming an Observer to GCAP, London, 21 July 2026.</w:t>
      </w:r>
    </w:p>
    <w:p>
      <w:pPr>
        <w:pStyle w:val="ListParagraph"/>
        <w:numPr>
          <w:ilvl w:val="0"/>
          <w:numId w:val="2"/>
        </w:numPr>
        <w:spacing w:after="80" w:line="290"/>
      </w:pPr>
      <w:r>
        <w:rPr>
          <w:rFonts w:ascii="Georgia" w:cs="Georgia" w:eastAsia="SimSun" w:hAnsi="Georgia"/>
          <w:sz w:val="22"/>
          <w:szCs w:val="22"/>
        </w:rPr>
        <w:t xml:space="preserve">UK Ministry of Defence: GBP 4.6B detailed-design contract to Edgewing, 3 July 2026; GBP 686M stopgap contract, 2 April 2026; Defence Investment Plan, 30 June 2026 (GBP 8.6B over four years); GBP 708M Team Tempest extension, 22 July 2026.</w:t>
      </w:r>
    </w:p>
    <w:p>
      <w:pPr>
        <w:pStyle w:val="ListParagraph"/>
        <w:numPr>
          <w:ilvl w:val="0"/>
          <w:numId w:val="2"/>
        </w:numPr>
        <w:spacing w:after="80" w:line="290"/>
      </w:pPr>
      <w:r>
        <w:rPr>
          <w:rFonts w:ascii="Georgia" w:cs="Georgia" w:eastAsia="SimSun" w:hAnsi="Georgia"/>
          <w:sz w:val="22"/>
          <w:szCs w:val="22"/>
        </w:rPr>
        <w:t xml:space="preserve">Italian Ministry of Defence and parliament: programme estimate EUR 18.6B (2025 prices) for Phases 1 and 2, tripled from EUR 6B; EUR 8.8B authorized February 2026, dispensed over twelve years.</w:t>
      </w:r>
    </w:p>
    <w:p>
      <w:pPr>
        <w:pStyle w:val="ListParagraph"/>
        <w:numPr>
          <w:ilvl w:val="0"/>
          <w:numId w:val="2"/>
        </w:numPr>
        <w:spacing w:after="80" w:line="290"/>
      </w:pPr>
      <w:r>
        <w:rPr>
          <w:rFonts w:ascii="Georgia" w:cs="Georgia" w:eastAsia="SimSun" w:hAnsi="Georgia"/>
          <w:sz w:val="22"/>
          <w:szCs w:val="22"/>
        </w:rPr>
        <w:t xml:space="preserve">Japan Ministry of Defense: FY2026 GCAP line approximately US$1B (JPY 160.2B).</w:t>
      </w:r>
    </w:p>
    <w:p>
      <w:pPr>
        <w:pStyle w:val="ListParagraph"/>
        <w:numPr>
          <w:ilvl w:val="0"/>
          <w:numId w:val="2"/>
        </w:numPr>
        <w:spacing w:after="80" w:line="290"/>
      </w:pPr>
      <w:r>
        <w:rPr>
          <w:rFonts w:ascii="Georgia" w:cs="Georgia" w:eastAsia="SimSun" w:hAnsi="Georgia"/>
          <w:sz w:val="22"/>
          <w:szCs w:val="22"/>
        </w:rPr>
        <w:t xml:space="preserve">Edgewing joint venture launch, June 2025 (BAE Systems, Leonardo, JAIEC at 33.3 percent each); G2E sensor consortium, September 2025 (Leonardo, ELT Group, Leonardo UK, Mitsubishi Electric); engine consortium Rolls-Royce, IHI, Avio Aero.</w:t>
      </w:r>
    </w:p>
    <w:p>
      <w:pPr>
        <w:pStyle w:val="ListParagraph"/>
        <w:numPr>
          <w:ilvl w:val="0"/>
          <w:numId w:val="2"/>
        </w:numPr>
        <w:spacing w:after="80" w:line="290"/>
      </w:pPr>
      <w:r>
        <w:rPr>
          <w:rFonts w:ascii="Georgia" w:cs="Georgia" w:eastAsia="SimSun" w:hAnsi="Georgia"/>
          <w:sz w:val="22"/>
          <w:szCs w:val="22"/>
        </w:rPr>
        <w:t xml:space="preserve">Combat Air Flying Demonstrator reporting, 2026: over 11,500 parts released (about 90 percent of weight); power-on mid-2027; aircraft ready end-2027; flight test from early 2028; IOC 2035 with Leonardo CEO guidance of possible acceleration to 2033.</w:t>
      </w:r>
    </w:p>
    <w:p>
      <w:pPr>
        <w:pStyle w:val="ListParagraph"/>
        <w:numPr>
          <w:ilvl w:val="0"/>
          <w:numId w:val="2"/>
        </w:numPr>
        <w:spacing w:after="80" w:line="290"/>
      </w:pPr>
      <w:r>
        <w:rPr>
          <w:rFonts w:ascii="Georgia" w:cs="Georgia" w:eastAsia="SimSun" w:hAnsi="Georgia"/>
          <w:sz w:val="22"/>
          <w:szCs w:val="22"/>
        </w:rPr>
        <w:t xml:space="preserve">Leonardo Industrial Plan, March 2025: about 350 platform orders expected by 2035 and EUR 40B programme investment to 2035; Leonardo CEO 2024: EUR 45B development earmark across the three partners.</w:t>
      </w:r>
    </w:p>
    <w:p>
      <w:pPr>
        <w:pStyle w:val="ListParagraph"/>
        <w:numPr>
          <w:ilvl w:val="0"/>
          <w:numId w:val="2"/>
        </w:numPr>
        <w:spacing w:after="80" w:line="290"/>
      </w:pPr>
      <w:r>
        <w:rPr>
          <w:rFonts w:ascii="Georgia" w:cs="Georgia" w:eastAsia="SimSun" w:hAnsi="Georgia"/>
          <w:sz w:val="22"/>
          <w:szCs w:val="22"/>
        </w:rPr>
        <w:t xml:space="preserve">FCAS joint fighter abandoned by France and Germany, June 2026 (programme reporting); US F-47 a unilateral programme. Aspirant interest: Poland (March 2026), Saudi Arabia (July 2026), Singapore (July 2026 reporting); none holds status.</w:t>
      </w:r>
    </w:p>
    <w:p>
      <w:pPr>
        <w:pStyle w:val="ListParagraph"/>
        <w:numPr>
          <w:ilvl w:val="0"/>
          <w:numId w:val="2"/>
        </w:numPr>
        <w:spacing w:after="80" w:line="290"/>
      </w:pPr>
      <w:r>
        <w:rPr>
          <w:rFonts w:ascii="Georgia" w:cs="Georgia" w:eastAsia="SimSun" w:hAnsi="Georgia"/>
          <w:sz w:val="22"/>
          <w:szCs w:val="22"/>
        </w:rPr>
        <w:t xml:space="preserve">Politico and specialist press, July 2026: Canada's expected contribution is flight-simulation and training technology; CAE named as the national leader.</w:t>
      </w:r>
    </w:p>
    <w:p>
      <w:pPr>
        <w:spacing w:after="140" w:line="300"/>
      </w:pPr>
      <w:r>
        <w:rPr>
          <w:rFonts w:ascii="Georgia" w:cs="Georgia" w:eastAsia="SimSun" w:hAnsi="Georgia"/>
          <w:sz w:val="22"/>
          <w:szCs w:val="22"/>
        </w:rPr>
        <w:t xml:space="preserve">Canadian economic and fiscal sources:</w:t>
      </w:r>
    </w:p>
    <w:p>
      <w:pPr>
        <w:pStyle w:val="ListParagraph"/>
        <w:numPr>
          <w:ilvl w:val="0"/>
          <w:numId w:val="2"/>
        </w:numPr>
        <w:spacing w:after="80" w:line="290"/>
      </w:pPr>
      <w:r>
        <w:rPr>
          <w:rFonts w:ascii="Georgia" w:cs="Georgia" w:eastAsia="SimSun" w:hAnsi="Georgia"/>
          <w:sz w:val="22"/>
          <w:szCs w:val="22"/>
        </w:rPr>
        <w:t xml:space="preserve">Office of the Auditor General of Canada, F-35 programme report, June 2025: C$27.7B acquisition estimate (up 46 percent over 2022), at least C$5.5B of excluded elements, facilities three years behind; C$1.52B per year operating estimate.</w:t>
      </w:r>
    </w:p>
    <w:p>
      <w:pPr>
        <w:pStyle w:val="ListParagraph"/>
        <w:numPr>
          <w:ilvl w:val="0"/>
          <w:numId w:val="2"/>
        </w:numPr>
        <w:spacing w:after="80" w:line="290"/>
      </w:pPr>
      <w:r>
        <w:rPr>
          <w:rFonts w:ascii="Georgia" w:cs="Georgia" w:eastAsia="SimSun" w:hAnsi="Georgia"/>
          <w:sz w:val="22"/>
          <w:szCs w:val="22"/>
        </w:rPr>
        <w:t xml:space="preserve">Innovation, Science and Economic Development Canada, aerospace economic multipliers 2024: employment 2.43x (1.00 direct, 0.88 indirect, 0.55 induced); GDP 2.19x (1.00, 0.72, 0.47).</w:t>
      </w:r>
    </w:p>
    <w:p>
      <w:pPr>
        <w:pStyle w:val="ListParagraph"/>
        <w:numPr>
          <w:ilvl w:val="0"/>
          <w:numId w:val="2"/>
        </w:numPr>
        <w:spacing w:after="80" w:line="290"/>
      </w:pPr>
      <w:r>
        <w:rPr>
          <w:rFonts w:ascii="Georgia" w:cs="Georgia" w:eastAsia="SimSun" w:hAnsi="Georgia"/>
          <w:sz w:val="22"/>
          <w:szCs w:val="22"/>
        </w:rPr>
        <w:t xml:space="preserve">PwC Strategy&amp; Eurofighter economic impact analysis (partner-nation GDP multipliers 2.8x to 3.2x; tax recapture about 30 percent); RUSI 2023 GCAP cost commentary (half-Typhoon derivation).</w:t>
      </w:r>
    </w:p>
    <w:p>
      <w:pPr>
        <w:pStyle w:val="ListParagraph"/>
        <w:numPr>
          <w:ilvl w:val="0"/>
          <w:numId w:val="2"/>
        </w:numPr>
        <w:spacing w:after="80" w:line="290"/>
      </w:pPr>
      <w:r>
        <w:rPr>
          <w:rFonts w:ascii="Georgia" w:cs="Georgia" w:eastAsia="SimSun" w:hAnsi="Georgia"/>
          <w:sz w:val="22"/>
          <w:szCs w:val="22"/>
        </w:rPr>
        <w:t xml:space="preserve">CCA and unmanned-market forecasts, 2026 published consensus (IntelMarketResearch, Polaris, MarketResearchFuture).</w:t>
      </w:r>
    </w:p>
    <w:p>
      <w:pPr>
        <w:spacing w:after="140" w:line="300"/>
      </w:pPr>
      <w:r>
        <w:rPr>
          <w:rFonts w:ascii="Georgia" w:cs="Georgia" w:eastAsia="SimSun" w:hAnsi="Georgia"/>
          <w:sz w:val="22"/>
          <w:szCs w:val="22"/>
        </w:rPr>
        <w:t xml:space="preserve">Programme documents (v6.1 baseline):</w:t>
      </w:r>
    </w:p>
    <w:p>
      <w:pPr>
        <w:pStyle w:val="ListParagraph"/>
        <w:numPr>
          <w:ilvl w:val="0"/>
          <w:numId w:val="2"/>
        </w:numPr>
        <w:spacing w:after="80" w:line="290"/>
      </w:pPr>
      <w:r>
        <w:rPr>
          <w:rFonts w:ascii="Georgia" w:cs="Georgia" w:eastAsia="SimSun" w:hAnsi="Georgia"/>
          <w:sz w:val="22"/>
          <w:szCs w:val="22"/>
        </w:rPr>
        <w:t xml:space="preserve">SPR-AIR-PPP-006 (Optimal Sprinter Procurement Package); STR-AIR-PPP-003 (Optimal Striker Procurement Package); AGA-PRC-061 (Optimal Arctic Gripen Augmentation Package); The Economic Northern Horizon Outlook v6.1 (companion document). Superseded: CDR-ECON-2026-001; ECD-NHZN-2026-005 v5.0.</w:t>
      </w:r>
    </w:p>
    <w:p>
      <w:pPr>
        <w:pStyle w:val="Heading1"/>
        <w:pBdr>
          <w:bottom w:val="single" w:color="C9A227" w:sz="8" w:space="4"/>
        </w:pBdr>
        <w:spacing w:after="180" w:before="360"/>
      </w:pPr>
      <w:r>
        <w:rPr>
          <w:rFonts w:ascii="Georgia" w:cs="Georgia" w:eastAsia="SimSun" w:hAnsi="Georgia"/>
          <w:b/>
          <w:bCs/>
          <w:color w:val="1F3A5F"/>
          <w:sz w:val="32"/>
          <w:szCs w:val="32"/>
        </w:rPr>
        <w:t xml:space="preserve">Appendix C. Verification Status Register</w:t>
      </w:r>
    </w:p>
    <w:p>
      <w:pPr>
        <w:spacing w:after="140" w:line="300"/>
        <w:ind w:firstLine="431"/>
      </w:pPr>
      <w:r>
        <w:rPr>
          <w:rFonts w:ascii="Georgia" w:cs="Georgia" w:eastAsia="SimSun" w:hAnsi="Georgia"/>
          <w:sz w:val="22"/>
          <w:szCs w:val="22"/>
        </w:rPr>
        <w:t xml:space="preserve">Every headline figure carries a status tag: PACKAGE (v6.1 baseline document), VERIFIED (external source or signed internal document), CALCULATED (derived from tagged inputs by stated arithmetic), ESTIMATE (planning assumption pending a closing event), CARRIED (restated from a superseded edition where the basis remains valid). No figure appears without a status, and no ESTIMATE presents itself as fact.</w:t>
      </w:r>
    </w:p>
    <w:p>
      <w:pPr>
        <w:spacing w:after="100" w:before="120"/>
        <w:jc w:val="center"/>
      </w:pPr>
      <w:r>
        <w:rPr>
          <w:rFonts w:ascii="Georgia" w:cs="Georgia" w:eastAsia="SimSun" w:hAnsi="Georgia"/>
          <w:i/>
          <w:iCs/>
          <w:color w:val="6B7F94"/>
          <w:sz w:val="18"/>
          <w:szCs w:val="18"/>
        </w:rPr>
        <w:t xml:space="preserve">Table C-1. Verification register</w:t>
      </w:r>
    </w:p>
    <w:tbl>
      <w:tblPr>
        <w:tblW w:type="dxa" w:w="9360"/>
        <w:tblBorders>
          <w:top w:val="single" w:color="B9C6D2" w:sz="4"/>
          <w:left w:val="single" w:color="B9C6D2" w:sz="4"/>
          <w:bottom w:val="single" w:color="B9C6D2" w:sz="4"/>
          <w:right w:val="single" w:color="B9C6D2" w:sz="4"/>
          <w:insideH w:val="single" w:color="B9C6D2" w:sz="2"/>
          <w:insideV w:val="single" w:color="B9C6D2" w:sz="2"/>
        </w:tblBorders>
      </w:tblPr>
      <w:tblGrid>
        <w:gridCol w:w="700"/>
        <w:gridCol w:w="2300"/>
        <w:gridCol w:w="2500"/>
        <w:gridCol w:w="1100"/>
        <w:gridCol w:w="2760"/>
      </w:tblGrid>
      <w:tr>
        <w:trPr>
          <w:tblHeader/>
        </w:trPr>
        <w:tc>
          <w:tcPr>
            <w:tcW w:type="dxa" w:w="7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Ref</w:t>
            </w:r>
          </w:p>
        </w:tc>
        <w:tc>
          <w:tcPr>
            <w:tcW w:type="dxa" w:w="23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Figure</w:t>
            </w:r>
          </w:p>
        </w:tc>
        <w:tc>
          <w:tcPr>
            <w:tcW w:type="dxa" w:w="25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Value</w:t>
            </w:r>
          </w:p>
        </w:tc>
        <w:tc>
          <w:tcPr>
            <w:tcW w:type="dxa" w:w="110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Status</w:t>
            </w:r>
          </w:p>
        </w:tc>
        <w:tc>
          <w:tcPr>
            <w:tcW w:type="dxa" w:w="2760"/>
            <w:shd w:fill="1F3A5F" w:val="clear"/>
            <w:tcMar>
              <w:top w:type="dxa" w:w="60"/>
              <w:left w:type="dxa" w:w="90"/>
              <w:bottom w:type="dxa" w:w="60"/>
              <w:right w:type="dxa" w:w="90"/>
            </w:tcMar>
          </w:tcPr>
          <w:p>
            <w:pPr>
              <w:spacing w:after="0" w:line="240"/>
              <w:jc w:val="left"/>
            </w:pPr>
            <w:r>
              <w:rPr>
                <w:rFonts w:ascii="Georgia" w:cs="Georgia" w:eastAsia="SimSun" w:hAnsi="Georgia"/>
                <w:b/>
                <w:bCs/>
                <w:color w:val="FFFFFF"/>
                <w:sz w:val="14"/>
                <w:szCs w:val="14"/>
              </w:rPr>
              <w:t xml:space="preserve">Basis and closing event</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V-01</w:t>
            </w:r>
          </w:p>
        </w:tc>
        <w:tc>
          <w:tcPr>
            <w:tcW w:type="dxa" w:w="23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NH v6.1 combined acquisition</w:t>
            </w:r>
          </w:p>
        </w:tc>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C$5,466.9M to C$9,524.5M by fleet size</w:t>
            </w:r>
          </w:p>
        </w:tc>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PACKAGE</w:t>
            </w:r>
          </w:p>
        </w:tc>
        <w:tc>
          <w:tcPr>
            <w:tcW w:type="dxa" w:w="27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SPR-AIR-PPP-006; STR-AIR-PPP-003; AGA-PRC-061</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V-02</w:t>
            </w:r>
          </w:p>
        </w:tc>
        <w:tc>
          <w:tcPr>
            <w:tcW w:type="dxa" w:w="23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F-35 acquisition line</w:t>
            </w:r>
          </w:p>
        </w:tc>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C$27.7B</w:t>
            </w:r>
          </w:p>
        </w:tc>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VERIFIED</w:t>
            </w:r>
          </w:p>
        </w:tc>
        <w:tc>
          <w:tcPr>
            <w:tcW w:type="dxa" w:w="27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Auditor General of Canada, June 2025</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V-03</w:t>
            </w:r>
          </w:p>
        </w:tc>
        <w:tc>
          <w:tcPr>
            <w:tcW w:type="dxa" w:w="23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Savings bridge</w:t>
            </w:r>
          </w:p>
        </w:tc>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C$18,175.5M to C$22,233.1M by fleet size</w:t>
            </w:r>
          </w:p>
        </w:tc>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CALCULATED</w:t>
            </w:r>
          </w:p>
        </w:tc>
        <w:tc>
          <w:tcPr>
            <w:tcW w:type="dxa" w:w="27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V-02 minus V-01</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V-04</w:t>
            </w:r>
          </w:p>
        </w:tc>
        <w:tc>
          <w:tcPr>
            <w:tcW w:type="dxa" w:w="23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Canada GCAP observer status</w:t>
            </w:r>
          </w:p>
        </w:tc>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Admitted 21 July 2026</w:t>
            </w:r>
          </w:p>
        </w:tc>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VERIFIED</w:t>
            </w:r>
          </w:p>
        </w:tc>
        <w:tc>
          <w:tcPr>
            <w:tcW w:type="dxa" w:w="27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Quadrilateral joint statement, London</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V-05</w:t>
            </w:r>
          </w:p>
        </w:tc>
        <w:tc>
          <w:tcPr>
            <w:tcW w:type="dxa" w:w="23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Edgewing detailed-design contract</w:t>
            </w:r>
          </w:p>
        </w:tc>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GBP 4.6B, 3 July 2026, to 31 December 2027</w:t>
            </w:r>
          </w:p>
        </w:tc>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VERIFIED</w:t>
            </w:r>
          </w:p>
        </w:tc>
        <w:tc>
          <w:tcPr>
            <w:tcW w:type="dxa" w:w="27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GCAP Agency and UK MOD announcements</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V-06</w:t>
            </w:r>
          </w:p>
        </w:tc>
        <w:tc>
          <w:tcPr>
            <w:tcW w:type="dxa" w:w="23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Italian development estimate</w:t>
            </w:r>
          </w:p>
        </w:tc>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EUR 18.6B (2025 prices), EUR 8.8B authorized</w:t>
            </w:r>
          </w:p>
        </w:tc>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VERIFIED</w:t>
            </w:r>
          </w:p>
        </w:tc>
        <w:tc>
          <w:tcPr>
            <w:tcW w:type="dxa" w:w="27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Italian MOD and parliament reporting, January to February 2026</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V-07</w:t>
            </w:r>
          </w:p>
        </w:tc>
        <w:tc>
          <w:tcPr>
            <w:tcW w:type="dxa" w:w="23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Demonstrator flight test</w:t>
            </w:r>
          </w:p>
        </w:tc>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From early 2028; power-on mid-2027</w:t>
            </w:r>
          </w:p>
        </w:tc>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VERIFIED</w:t>
            </w:r>
          </w:p>
        </w:tc>
        <w:tc>
          <w:tcPr>
            <w:tcW w:type="dxa" w:w="27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2026 programme reporting</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V-08</w:t>
            </w:r>
          </w:p>
        </w:tc>
        <w:tc>
          <w:tcPr>
            <w:tcW w:type="dxa" w:w="23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Partner demand</w:t>
            </w:r>
          </w:p>
        </w:tc>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About 350 aircraft by 2035</w:t>
            </w:r>
          </w:p>
        </w:tc>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VERIFIED</w:t>
            </w:r>
          </w:p>
        </w:tc>
        <w:tc>
          <w:tcPr>
            <w:tcW w:type="dxa" w:w="27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Leonardo Industrial Plan, March 2025</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V-09</w:t>
            </w:r>
          </w:p>
        </w:tc>
        <w:tc>
          <w:tcPr>
            <w:tcW w:type="dxa" w:w="23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Tempest unit planning band</w:t>
            </w:r>
          </w:p>
        </w:tc>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C$175M / C$225M / C$300M</w:t>
            </w:r>
          </w:p>
        </w:tc>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ESTIMATE</w:t>
            </w:r>
          </w:p>
        </w:tc>
        <w:tc>
          <w:tcPr>
            <w:tcW w:type="dxa" w:w="27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Anchors in Table V-1; closing event: partner pricing agreement</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V-10</w:t>
            </w:r>
          </w:p>
        </w:tc>
        <w:tc>
          <w:tcPr>
            <w:tcW w:type="dxa" w:w="23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GCAP entry tranche</w:t>
            </w:r>
          </w:p>
        </w:tc>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C$3.5B phased</w:t>
            </w:r>
          </w:p>
        </w:tc>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ESTIMATE</w:t>
            </w:r>
          </w:p>
        </w:tc>
        <w:tc>
          <w:tcPr>
            <w:tcW w:type="dxa" w:w="27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CARRIED v5.0 anchor; closing event: accession workshare agreement</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V-11</w:t>
            </w:r>
          </w:p>
        </w:tc>
        <w:tc>
          <w:tcPr>
            <w:tcW w:type="dxa" w:w="23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Tempest fleet account jobs</w:t>
            </w:r>
          </w:p>
        </w:tc>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3,028 to 8,506 direct; 7,359 to 20,670 total</w:t>
            </w:r>
          </w:p>
        </w:tc>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CALCULATED</w:t>
            </w:r>
          </w:p>
        </w:tc>
        <w:tc>
          <w:tcPr>
            <w:tcW w:type="dxa" w:w="27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ESTIMATE activity build at 1.5x the Gripen E account, ISED 2024 multipliers</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V-12</w:t>
            </w:r>
          </w:p>
        </w:tc>
        <w:tc>
          <w:tcPr>
            <w:tcW w:type="dxa" w:w="23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GCAP programme-side jobs</w:t>
            </w:r>
          </w:p>
        </w:tc>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13,000 to 21,000 total at peak</w:t>
            </w:r>
          </w:p>
        </w:tc>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ESTIMATE</w:t>
            </w:r>
          </w:p>
        </w:tc>
        <w:tc>
          <w:tcPr>
            <w:tcW w:type="dxa" w:w="27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CARRIED phase model; closing event: workshare agreement</w:t>
            </w:r>
          </w:p>
        </w:tc>
      </w:tr>
      <w:tr>
        <w:trPr>
          <w:tblHeader w:val="false"/>
        </w:trPr>
        <w:tc>
          <w:tcPr>
            <w:tcW w:type="dxa" w:w="700"/>
            <w:shd w:fill="FFFFFF"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V-13</w:t>
            </w:r>
          </w:p>
        </w:tc>
        <w:tc>
          <w:tcPr>
            <w:tcW w:type="dxa" w:w="23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ISED multipliers</w:t>
            </w:r>
          </w:p>
        </w:tc>
        <w:tc>
          <w:tcPr>
            <w:tcW w:type="dxa" w:w="25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2.43x jobs; 2.19x GDP</w:t>
            </w:r>
          </w:p>
        </w:tc>
        <w:tc>
          <w:tcPr>
            <w:tcW w:type="dxa" w:w="110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VERIFIED</w:t>
            </w:r>
          </w:p>
        </w:tc>
        <w:tc>
          <w:tcPr>
            <w:tcW w:type="dxa" w:w="2760"/>
            <w:shd w:fill="FFFFFF"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ISED aerospace model, 2024</w:t>
            </w:r>
          </w:p>
        </w:tc>
      </w:tr>
      <w:tr>
        <w:trPr>
          <w:tblHeader w:val="false"/>
        </w:trPr>
        <w:tc>
          <w:tcPr>
            <w:tcW w:type="dxa" w:w="700"/>
            <w:shd w:fill="F4F7FA" w:val="clear"/>
            <w:tcMar>
              <w:top w:type="dxa" w:w="60"/>
              <w:left w:type="dxa" w:w="90"/>
              <w:bottom w:type="dxa" w:w="60"/>
              <w:right w:type="dxa" w:w="90"/>
            </w:tcMar>
          </w:tcPr>
          <w:p>
            <w:pPr>
              <w:spacing w:after="0" w:line="240"/>
              <w:jc w:val="left"/>
            </w:pPr>
            <w:r>
              <w:rPr>
                <w:rFonts w:ascii="Georgia" w:cs="Georgia" w:eastAsia="SimSun" w:hAnsi="Georgia"/>
                <w:b/>
                <w:bCs/>
                <w:color w:val="222222"/>
                <w:sz w:val="14"/>
                <w:szCs w:val="14"/>
              </w:rPr>
              <w:t xml:space="preserve">V-14</w:t>
            </w:r>
          </w:p>
        </w:tc>
        <w:tc>
          <w:tcPr>
            <w:tcW w:type="dxa" w:w="23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Tax recapture band</w:t>
            </w:r>
          </w:p>
        </w:tc>
        <w:tc>
          <w:tcPr>
            <w:tcW w:type="dxa" w:w="25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30 to 40 percent of programme spend</w:t>
            </w:r>
          </w:p>
        </w:tc>
        <w:tc>
          <w:tcPr>
            <w:tcW w:type="dxa" w:w="110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ESTIMATE</w:t>
            </w:r>
          </w:p>
        </w:tc>
        <w:tc>
          <w:tcPr>
            <w:tcW w:type="dxa" w:w="2760"/>
            <w:shd w:fill="F4F7FA" w:val="clear"/>
            <w:tcMar>
              <w:top w:type="dxa" w:w="60"/>
              <w:left w:type="dxa" w:w="90"/>
              <w:bottom w:type="dxa" w:w="60"/>
              <w:right w:type="dxa" w:w="90"/>
            </w:tcMar>
          </w:tcPr>
          <w:p>
            <w:pPr>
              <w:spacing w:after="0" w:line="240"/>
              <w:jc w:val="left"/>
            </w:pPr>
            <w:r>
              <w:rPr>
                <w:rFonts w:ascii="Georgia" w:cs="Georgia" w:eastAsia="SimSun" w:hAnsi="Georgia"/>
                <w:b w:val="false"/>
                <w:bCs w:val="false"/>
                <w:color w:val="222222"/>
                <w:sz w:val="14"/>
                <w:szCs w:val="14"/>
              </w:rPr>
              <w:t xml:space="preserve">Eurofighter partner experience benchmark</w:t>
            </w:r>
          </w:p>
        </w:tc>
      </w:tr>
    </w:tbl>
    <w:p>
      <w:pPr>
        <w:spacing w:after="140" w:line="300"/>
      </w:pPr>
      <w:r>
        <w:rPr>
          <w:rFonts w:ascii="Georgia" w:cs="Georgia" w:eastAsia="SimSun" w:hAnsi="Georgia"/>
          <w:sz w:val="22"/>
          <w:szCs w:val="22"/>
        </w:rPr>
        <w:t xml:space="preserve"/>
      </w:r>
    </w:p>
    <w:p>
      <w:pPr>
        <w:spacing w:after="140" w:line="300"/>
        <w:ind w:firstLine="431"/>
      </w:pPr>
      <w:r>
        <w:rPr>
          <w:rFonts w:ascii="Georgia" w:cs="Georgia" w:eastAsia="SimSun" w:hAnsi="Georgia"/>
          <w:sz w:val="22"/>
          <w:szCs w:val="22"/>
        </w:rPr>
        <w:t xml:space="preserve">This Deep Dive is issued as the GCAP companion to the v6.1 procurement baselines and consolidates CDR-ECON-2026-001 and ECD-NHZN-2026-005, both of which it supersedes. Any change to a governing baseline that moves the savings bridge by more than 2 percent, or any change in GCAP programme status (accession terms, demonstrator milestones, partner funding), triggers re-issue of this document.</w:t>
      </w:r>
    </w:p>
    <w:sectPr>
      <w:headerReference w:type="default" r:id="rId7"/>
      <w:footerReference w:type="default" r:id="rId8"/>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40" w:line="300"/>
      <w:jc w:val="center"/>
    </w:pPr>
    <w:r>
      <w:rPr>
        <w:rFonts w:ascii="Georgia" w:cs="Georgia" w:eastAsia="SimSun"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line="300"/>
      <w:jc w:val="center"/>
    </w:pPr>
    <w:r>
      <w:rPr>
        <w:rFonts w:ascii="Georgia" w:cs="Georgia" w:eastAsia="SimSun" w:hAnsi="Georgia"/>
        <w:b/>
        <w:bCs/>
        <w:color w:val="6B7F94"/>
        <w:sz w:val="18"/>
        <w:szCs w:val="18"/>
      </w:rPr>
      <w:t xml:space="preserve">The Optimal GCAP Deep Dive v6.1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5092f22341020665d627d923f4c559d75095ca.png"/><Relationship Id="rId10" Type="http://schemas.openxmlformats.org/officeDocument/2006/relationships/image" Target="media/15e5c4d742a1efc9aefac5c4998e87c8b3f1076a.png"/><Relationship Id="rId11" Type="http://schemas.openxmlformats.org/officeDocument/2006/relationships/image" Target="media/eb4bb9110a37b9593d4d2d9c33300c83f2837862.png"/><Relationship Id="rId12" Type="http://schemas.openxmlformats.org/officeDocument/2006/relationships/image" Target="media/0d421d098e338cd81fb003b63404b75bb68eab3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2026-09-06T13:34:23.678Z</dcterms:created>
  <dcterms:modified xsi:type="dcterms:W3CDTF">2026-09-06T13:34:23.678Z</dcterms:modified>
</cp:coreProperties>
</file>

<file path=docProps/custom.xml><?xml version="1.0" encoding="utf-8"?>
<Properties xmlns="http://schemas.openxmlformats.org/officeDocument/2006/custom-properties" xmlns:vt="http://schemas.openxmlformats.org/officeDocument/2006/docPropsVTypes"/>
</file>