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f91f506339b4b56"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2600" w:after="0"/>
      </w:pPr>
    </w:p>
    <w:tbl>
      <w:tblPr>
        <w:tblW w:w="9016" w:type="dxa"/>
        <w:tblBorders>
          <w:top w:val="single" w:color="7B3F24" w:sz="18"/>
          <w:left w:val="single" w:color="7B3F24" w:sz="18"/>
          <w:bottom w:val="single" w:color="7B3F24" w:sz="18"/>
          <w:right w:val="single" w:color="7B3F24" w:sz="18"/>
        </w:tblBorders>
        <w:tblCellMar>
          <w:top w:w="420" w:type="dxa"/>
          <w:left w:w="300" w:type="dxa"/>
          <w:bottom w:w="420" w:type="dxa"/>
          <w:right w:w="300" w:type="dxa"/>
        </w:tblCellMar>
      </w:tblPr>
      <w:tblGrid>
        <w:gridCol w:w="9016"/>
      </w:tblGrid>
      <w:tr>
        <w:tc>
          <w:tcPr>
            <w:tcW w:w="9016" w:type="dxa"/>
            <w:shd w:val="clear" w:fill="F4E6DC"/>
          </w:tcPr>
          <w:p>
            <w:pPr>
              <w:spacing w:before="300" w:after="120"/>
              <w:jc w:val="center"/>
            </w:pPr>
            <w:r>
              <w:rPr>
                <w:rFonts w:ascii="Calibri" w:hAnsi="Calibri"/>
                <w:b/>
                <w:color w:val="7B3F24"/>
                <w:sz w:val="64"/>
              </w:rPr>
              <w:t>CONTRA FAVILLAS AERIAL</w:t>
            </w:r>
          </w:p>
          <w:p>
            <w:pPr>
              <w:spacing w:after="100"/>
              <w:jc w:val="center"/>
            </w:pPr>
            <w:r>
              <w:rPr>
                <w:color w:val="3A2E28"/>
                <w:sz w:val="30"/>
              </w:rPr>
              <w:t>Airborne Laser Carbonization Platform (E6)</w:t>
            </w:r>
          </w:p>
          <w:p>
            <w:pPr>
              <w:spacing w:after="260"/>
              <w:jc w:val="center"/>
            </w:pPr>
            <w:r>
              <w:rPr>
                <w:i/>
                <w:color w:val="8C7A6B"/>
                <w:sz w:val="22"/>
              </w:rPr>
              <w:t>Six-Hour Endurance Hybrid Multirotor Edition</w:t>
            </w:r>
          </w:p>
        </w:tc>
      </w:tr>
    </w:tbl>
    <w:p>
      <w:pPr>
        <w:spacing w:before="700" w:after="60"/>
        <w:jc w:val="center"/>
      </w:pPr>
      <w:r>
        <w:rPr>
          <w:b/>
          <w:color w:val="3A2E28"/>
          <w:sz w:val="24"/>
        </w:rPr>
        <w:t>Engineering Design Specification</w:t>
      </w:r>
    </w:p>
    <w:p>
      <w:pPr>
        <w:spacing w:after="40"/>
        <w:jc w:val="center"/>
      </w:pPr>
      <w:r>
        <w:rPr>
          <w:color w:val="8C7A6B"/>
          <w:sz w:val="20"/>
        </w:rPr>
        <w:t>Version 1.1  |  Aerial Variant  |  August 2026</w:t>
      </w:r>
    </w:p>
    <w:p>
      <w:pPr>
        <w:spacing w:after="40"/>
        <w:jc w:val="center"/>
      </w:pPr>
      <w:r>
        <w:rPr>
          <w:i/>
          <w:color w:val="8C7A6B"/>
          <w:sz w:val="18"/>
        </w:rPr>
        <w:t>Incorporating the 25-item engineering review: enlarged rotors, doubled emergency reserve, hardened safety chain</w:t>
      </w:r>
    </w:p>
    <w:p>
      <w:pPr>
        <w:sectPr>
          <w:type w:val="nextPage"/>
          <w:pgSz w:w="11906" w:h="16838"/>
          <w:pgMar w:top="1440" w:right="1440" w:bottom="1440" w:left="1440" w:header="720" w:footer="720"/>
          <w:pgBorders w:offsetFrom="page">
            <w:top w:val="single" w:color="7B3F24" w:sz="24" w:space="24"/>
            <w:left w:val="single" w:color="7B3F24" w:sz="24" w:space="24"/>
            <w:bottom w:val="single" w:color="7B3F24" w:sz="24" w:space="24"/>
            <w:right w:val="single" w:color="7B3F24" w:sz="24" w:space="24"/>
          </w:pgBorders>
          <w:titlePg/>
        </w:sectPr>
      </w:pPr>
    </w:p>
    <w:p>
      <w:pPr>
        <w:pStyle w:val="Heading1"/>
      </w:pPr>
      <w:r>
        <w:t>Table of Contents</w:t>
      </w:r>
    </w:p>
    <w:p>
      <w:r>
        <w:fldChar w:fldCharType="begin"/>
      </w:r>
      <w:r>
        <w:instrText xml:space="preserve"> TOC \o "1-1" \h \z \u </w:instrText>
      </w:r>
      <w:r>
        <w:fldChar w:fldCharType="separate"/>
      </w:r>
    </w:p>
    <w:p>
      <w:pPr>
        <w:pStyle w:val="TOC1"/>
      </w:pPr>
      <w:r>
        <w:t>1. Overview and Design Intent</w:t>
      </w:r>
      <w:r>
        <w:tab/>
      </w:r>
      <w:r>
        <w:t>2</w:t>
      </w:r>
    </w:p>
    <w:p>
      <w:pPr>
        <w:pStyle w:val="TOC1"/>
      </w:pPr>
      <w:r>
        <w:t>2. Platform Sizing and Endurance Engineering</w:t>
      </w:r>
      <w:r>
        <w:tab/>
      </w:r>
      <w:r>
        <w:t>3</w:t>
      </w:r>
    </w:p>
    <w:p>
      <w:pPr>
        <w:pStyle w:val="TOC1"/>
      </w:pPr>
      <w:r>
        <w:t>3. Airframe and Propulsion</w:t>
      </w:r>
      <w:r>
        <w:tab/>
      </w:r>
      <w:r>
        <w:t>4</w:t>
      </w:r>
    </w:p>
    <w:p>
      <w:pPr>
        <w:pStyle w:val="TOC1"/>
      </w:pPr>
      <w:r>
        <w:t>4. Hybrid Power System</w:t>
      </w:r>
      <w:r>
        <w:tab/>
      </w:r>
      <w:r>
        <w:t>5</w:t>
      </w:r>
    </w:p>
    <w:p>
      <w:pPr>
        <w:pStyle w:val="TOC1"/>
      </w:pPr>
      <w:r>
        <w:t>5. Laser Carbonization Array</w:t>
      </w:r>
      <w:r>
        <w:tab/>
      </w:r>
      <w:r>
        <w:t>6</w:t>
      </w:r>
    </w:p>
    <w:p>
      <w:pPr>
        <w:pStyle w:val="TOC1"/>
      </w:pPr>
      <w:r>
        <w:t>6. Thermal Management</w:t>
      </w:r>
      <w:r>
        <w:tab/>
      </w:r>
      <w:r>
        <w:t>7</w:t>
      </w:r>
    </w:p>
    <w:p>
      <w:pPr>
        <w:pStyle w:val="TOC1"/>
      </w:pPr>
      <w:r>
        <w:t>7. Sensing and Perception</w:t>
      </w:r>
      <w:r>
        <w:tab/>
      </w:r>
      <w:r>
        <w:t>8</w:t>
      </w:r>
    </w:p>
    <w:p>
      <w:pPr>
        <w:pStyle w:val="TOC1"/>
      </w:pPr>
      <w:r>
        <w:t>8. Compute and Control</w:t>
      </w:r>
      <w:r>
        <w:tab/>
      </w:r>
      <w:r>
        <w:t>9</w:t>
      </w:r>
    </w:p>
    <w:p>
      <w:pPr>
        <w:pStyle w:val="TOC1"/>
      </w:pPr>
      <w:r>
        <w:t>9. Treatment Logic and the Dose-Energy Budget</w:t>
      </w:r>
      <w:r>
        <w:tab/>
      </w:r>
      <w:r>
        <w:t>10</w:t>
      </w:r>
    </w:p>
    <w:p>
      <w:pPr>
        <w:pStyle w:val="TOC1"/>
      </w:pPr>
      <w:r>
        <w:t>10. Communications and Ground Control</w:t>
      </w:r>
      <w:r>
        <w:tab/>
      </w:r>
      <w:r>
        <w:t>11</w:t>
      </w:r>
    </w:p>
    <w:p>
      <w:pPr>
        <w:pStyle w:val="TOC1"/>
      </w:pPr>
      <w:r>
        <w:t>11. Safety Architecture</w:t>
      </w:r>
      <w:r>
        <w:tab/>
      </w:r>
      <w:r>
        <w:t>12</w:t>
      </w:r>
    </w:p>
    <w:p>
      <w:pPr>
        <w:pStyle w:val="TOC1"/>
      </w:pPr>
      <w:r>
        <w:t>12. Tethered Operations Option</w:t>
      </w:r>
      <w:r>
        <w:tab/>
      </w:r>
      <w:r>
        <w:t>13</w:t>
      </w:r>
    </w:p>
    <w:p>
      <w:pPr>
        <w:pStyle w:val="TOC1"/>
      </w:pPr>
      <w:r>
        <w:t>13. Consolidated Bill of Materials</w:t>
      </w:r>
      <w:r>
        <w:tab/>
      </w:r>
      <w:r>
        <w:t>14</w:t>
      </w:r>
    </w:p>
    <w:p>
      <w:pPr>
        <w:pStyle w:val="TOC1"/>
      </w:pPr>
      <w:r>
        <w:t>14. Cost Summary</w:t>
      </w:r>
      <w:r>
        <w:tab/>
      </w:r>
      <w:r>
        <w:t>15</w:t>
      </w:r>
    </w:p>
    <w:p>
      <w:pPr>
        <w:pStyle w:val="TOC1"/>
      </w:pPr>
      <w:r>
        <w:t>15. Assembly and Integration</w:t>
      </w:r>
      <w:r>
        <w:tab/>
      </w:r>
      <w:r>
        <w:t>16</w:t>
      </w:r>
    </w:p>
    <w:p>
      <w:pPr>
        <w:pStyle w:val="TOC1"/>
      </w:pPr>
      <w:r>
        <w:t>16. Regulatory Pathway</w:t>
      </w:r>
      <w:r>
        <w:tab/>
      </w:r>
      <w:r>
        <w:t>17</w:t>
      </w:r>
    </w:p>
    <w:p>
      <w:pPr>
        <w:pStyle w:val="TOC1"/>
      </w:pPr>
      <w:r>
        <w:t>17. Test and Validation Program</w:t>
      </w:r>
      <w:r>
        <w:tab/>
      </w:r>
      <w:r>
        <w:t>18</w:t>
      </w:r>
    </w:p>
    <w:p>
      <w:pPr>
        <w:pStyle w:val="TOC1"/>
      </w:pPr>
      <w:r>
        <w:t>18. Operational Economics</w:t>
      </w:r>
      <w:r>
        <w:tab/>
      </w:r>
      <w:r>
        <w:t>19</w:t>
      </w:r>
    </w:p>
    <w:p>
      <w:pPr>
        <w:pStyle w:val="TOC1"/>
      </w:pPr>
      <w:r>
        <w:t>19. Risks and Mitigations</w:t>
      </w:r>
      <w:r>
        <w:tab/>
      </w:r>
      <w:r>
        <w:t>20</w:t>
      </w:r>
    </w:p>
    <w:p>
      <w:pPr>
        <w:pStyle w:val="TOC1"/>
      </w:pPr>
      <w:r>
        <w:t>20. v1.1 Change Register: Disposition of the 25-Item Review</w:t>
      </w:r>
      <w:r>
        <w:tab/>
      </w:r>
      <w:r>
        <w:t>21</w:t>
      </w:r>
    </w:p>
    <w:p>
      <w:pPr>
        <w:pStyle w:val="TOC1"/>
      </w:pPr>
      <w:r>
        <w:t>Appendix A: Pricing and Sourcing Notes</w:t>
      </w:r>
      <w:r>
        <w:tab/>
      </w:r>
      <w:r>
        <w:t>22</w:t>
      </w:r>
    </w:p>
    <w:p>
      <w:pPr>
        <w:pStyle w:val="TOC1"/>
      </w:pPr>
      <w:r>
        <w:t>Appendix B: Conformance and Correction Notes</w:t>
      </w:r>
      <w:r>
        <w:tab/>
      </w:r>
      <w:r>
        <w:t>23</w:t>
      </w:r>
    </w:p>
    <w:p>
      <w:r>
        <w:fldChar w:fldCharType="end"/>
      </w:r>
    </w:p>
    <w:p>
      <w:pPr>
        <w:sectPr>
          <w:type w:val="nextPage"/>
          <w:pgSz w:w="11906" w:h="16838"/>
          <w:pgMar w:top="1440" w:right="1440" w:bottom="1440" w:left="1440" w:header="720" w:footer="720"/>
        </w:sectPr>
      </w:pPr>
    </w:p>
    <w:p>
      <w:pPr>
        <w:pStyle w:val="Heading1"/>
      </w:pPr>
      <w:r>
        <w:t xml:space="preserve">1. Overview and Design Intent</w:t>
      </w:r>
    </w:p>
    <w:p>
      <w:pPr>
        <w:pStyle w:val="Normal"/>
      </w:pPr>
      <w:r>
        <w:t xml:space="preserve">Contra Favillas Aerial brings the program's laser carbonization concept into the air. The underlying treatment stays identical to the ground variants: a rack of fibre laser sources irradiates fine forest fuels at 1080 nm, drives their surface layers past pyrolysis temperatures, and converts grass, needles, and duff into a high-temperature biochar layer in place. Cone calorimetry on laser-carbonized samples shows peak heat release rate falling from 200 to 600 kW/m2 down to 20 to 35 kW/m2, a reduction of roughly 90 percent, and the treated layer resists ignition even under a 50 kW/m2 radiant assault. A corridor of this treated fuel breaks fire spread without bulldozers, hand crews, or water.</w:t>
      </w:r>
    </w:p>
    <w:p>
      <w:pPr>
        <w:pStyle w:val="Normal"/>
      </w:pPr>
      <w:r>
        <w:t xml:space="preserve">The ground variants solve throughput and payload. Whole classes of fire-relevant terrain remain beyond any ground vehicle: cliffs and canyon walls, wet meadows and muskeg, talus slopes, post-burn mosaics with standing deadfall, and remote ridgelines hours from the nearest road. Fires exploit exactly these gaps. The Aerial variant exists to close them.</w:t>
      </w:r>
    </w:p>
    <w:p>
      <w:pPr>
        <w:pStyle w:val="Normal"/>
      </w:pPr>
      <w:r>
        <w:t xml:space="preserve">Version 1.1 incorporates a structured 25-item engineering review of the v1.0 design. Nineteen items enter the design directly, five enter with modified implementations where engineering analysis supports a better path than the proposed one, and one defers to the ground-variant correction cycle. The headline result: enlarged 72-inch rotors and a doubled emergency battery reserve lift every mission profile above the six-hour line, and the safety chain gains dissimilar flame detection, fuel jettison, per-cylinder engine monitoring, automated landing-zone finding, and a full-azimuth treatment gimbal. Section 20 records the disposition and rationale for every item.</w:t>
      </w:r>
    </w:p>
    <w:p>
      <w:pPr>
        <w:pStyle w:val="Heading2"/>
      </w:pPr>
      <w:r>
        <w:t xml:space="preserve">1.1 The Physics of the Ask</w:t>
      </w:r>
    </w:p>
    <w:p>
      <w:pPr>
        <w:pStyle w:val="Normal"/>
      </w:pPr>
      <w:r>
        <w:t xml:space="preserve">The requirement set for this variant reads simply: a quadcopter-scale drone, roughly ATV-sized, carrying the laser rack beneath it, hovering six hours on a hybrid power system. Each clause of that sentence fights the next. A multirotor at the mass needed to carry a useful laser payload burns between 0.15 and 0.20 kW of hover power per kilogram of aircraft. Battery-electric aircraft in this class fly for 15 to 25 minutes, because a lithium pack stores roughly 250 Wh per kilogram. Gasoline stores about 12,200 Wh per kilogram, and even after engine and generator losses a fuel-powered series hybrid extracts roughly 14 times more usable energy per kilogram than a battery. Six hours of hover therefore demands fuel, a generator, and electric propulsion: precisely the series hybrid architecture that every production long-endurance multirotor in service today adopts.</w:t>
      </w:r>
    </w:p>
    <w:p>
      <w:pPr>
        <w:pStyle w:val="Normal"/>
      </w:pPr>
      <w:r>
        <w:t xml:space="preserve">This document answers the requirement honestly. The v1.1 design closes at 747 kg MTOW with 240 kg of fuel, twin aircraft engines, an 85 kg laser payload, and a 7.8 kWh emergency reserve battery. It hovers 6.6 hours with the lasers cold, flies a 6.4-hour standard mission at 30 percent laser duty, and treats continuously for 6.2 hours. It is, in truth, a small unmanned helicopter built as an octocopter, and the document prices, certifies, and schedules it accordingly. Three precedents prove each element of the architecture.</w:t>
      </w:r>
    </w:p>
    <w:tbl>
      <w:tblPr>
        <w:tblW w:w="9016" w:type="dxa"/>
        <w:tblBorders>
          <w:top w:val="single" w:color="7B3F24" w:sz="12"/>
          <w:left w:val="nil"/>
          <w:bottom w:val="single" w:color="7B3F24" w:sz="12"/>
          <w:right w:val="nil"/>
          <w:insideH w:val="single" w:color="D9C9BC" w:sz="2"/>
          <w:insideV w:val="nil"/>
        </w:tblBorders>
      </w:tblPr>
      <w:tblGrid>
        <w:gridCol w:w="1900"/>
        <w:gridCol w:w="2100"/>
        <w:gridCol w:w="1700"/>
        <w:gridCol w:w="1700"/>
        <w:gridCol w:w="1616"/>
      </w:tblGrid>
      <w:tr>
        <w:trPr>
          <w:tblHeader/>
        </w:trPr>
        <w:tc>
          <w:tcPr>
            <w:tcW w:w="1900" w:type="dxa"/>
            <w:shd w:val="clear" w:fill="7B3F24"/>
            <w:tcMar>
              <w:top w:w="60" w:type="dxa"/>
              <w:left w:w="100" w:type="dxa"/>
              <w:bottom w:w="60" w:type="dxa"/>
              <w:right w:w="100" w:type="dxa"/>
            </w:tcMar>
          </w:tcPr>
          <w:p>
            <w:pPr>
              <w:spacing w:after="0" w:line="240" w:lineRule="auto"/>
            </w:pPr>
            <w:r>
              <w:rPr>
                <w:b/>
                <w:color w:val="FFFFFF"/>
                <w:sz w:val="17"/>
              </w:rPr>
              <w:t xml:space="preserve">Platform</w:t>
            </w:r>
          </w:p>
        </w:tc>
        <w:tc>
          <w:tcPr>
            <w:tcW w:w="2100" w:type="dxa"/>
            <w:shd w:val="clear" w:fill="7B3F24"/>
            <w:tcMar>
              <w:top w:w="60" w:type="dxa"/>
              <w:left w:w="100" w:type="dxa"/>
              <w:bottom w:w="60" w:type="dxa"/>
              <w:right w:w="100" w:type="dxa"/>
            </w:tcMar>
          </w:tcPr>
          <w:p>
            <w:pPr>
              <w:spacing w:after="0" w:line="240" w:lineRule="auto"/>
            </w:pPr>
            <w:r>
              <w:rPr>
                <w:b/>
                <w:color w:val="FFFFFF"/>
                <w:sz w:val="17"/>
              </w:rPr>
              <w:t xml:space="preserve">Architecture</w:t>
            </w:r>
          </w:p>
        </w:tc>
        <w:tc>
          <w:tcPr>
            <w:tcW w:w="1700" w:type="dxa"/>
            <w:shd w:val="clear" w:fill="7B3F24"/>
            <w:tcMar>
              <w:top w:w="60" w:type="dxa"/>
              <w:left w:w="100" w:type="dxa"/>
              <w:bottom w:w="60" w:type="dxa"/>
              <w:right w:w="100" w:type="dxa"/>
            </w:tcMar>
          </w:tcPr>
          <w:p>
            <w:pPr>
              <w:spacing w:after="0" w:line="240" w:lineRule="auto"/>
            </w:pPr>
            <w:r>
              <w:rPr>
                <w:b/>
                <w:color w:val="FFFFFF"/>
                <w:sz w:val="17"/>
              </w:rPr>
              <w:t xml:space="preserve">Endurance</w:t>
            </w:r>
          </w:p>
        </w:tc>
        <w:tc>
          <w:tcPr>
            <w:tcW w:w="1700" w:type="dxa"/>
            <w:shd w:val="clear" w:fill="7B3F24"/>
            <w:tcMar>
              <w:top w:w="60" w:type="dxa"/>
              <w:left w:w="100" w:type="dxa"/>
              <w:bottom w:w="60" w:type="dxa"/>
              <w:right w:w="100" w:type="dxa"/>
            </w:tcMar>
          </w:tcPr>
          <w:p>
            <w:pPr>
              <w:spacing w:after="0" w:line="240" w:lineRule="auto"/>
            </w:pPr>
            <w:r>
              <w:rPr>
                <w:b/>
                <w:color w:val="FFFFFF"/>
                <w:sz w:val="17"/>
              </w:rPr>
              <w:t xml:space="preserve">Payload</w:t>
            </w:r>
          </w:p>
        </w:tc>
        <w:tc>
          <w:tcPr>
            <w:tcW w:w="1616" w:type="dxa"/>
            <w:shd w:val="clear" w:fill="7B3F24"/>
            <w:tcMar>
              <w:top w:w="60" w:type="dxa"/>
              <w:left w:w="100" w:type="dxa"/>
              <w:bottom w:w="60" w:type="dxa"/>
              <w:right w:w="100" w:type="dxa"/>
            </w:tcMar>
          </w:tcPr>
          <w:p>
            <w:pPr>
              <w:spacing w:after="0" w:line="240" w:lineRule="auto"/>
            </w:pPr>
            <w:r>
              <w:rPr>
                <w:b/>
                <w:color w:val="FFFFFF"/>
                <w:sz w:val="17"/>
              </w:rPr>
              <w:t xml:space="preserve">Relevance to E6</w:t>
            </w:r>
          </w:p>
        </w:tc>
      </w:tr>
      <w:tr>
        <w:tc>
          <w:tcPr>
            <w:tcW w:w="1900" w:type="dxa"/>
            <w:shd w:val="clear" w:fill="FFFFFF"/>
            <w:tcMar>
              <w:top w:w="60" w:type="dxa"/>
              <w:left w:w="100" w:type="dxa"/>
              <w:bottom w:w="60" w:type="dxa"/>
              <w:right w:w="100" w:type="dxa"/>
            </w:tcMar>
          </w:tcPr>
          <w:p>
            <w:pPr>
              <w:spacing w:after="0" w:line="240" w:lineRule="auto"/>
            </w:pPr>
            <w:r>
              <w:rPr>
                <w:b/>
                <w:color w:val="3A2E28"/>
                <w:sz w:val="17"/>
              </w:rPr>
              <w:t xml:space="preserve">Flowcopter FC100 (Scotland)</w:t>
            </w:r>
          </w:p>
        </w:tc>
        <w:tc>
          <w:tcPr>
            <w:tcW w:w="2100" w:type="dxa"/>
            <w:shd w:val="clear" w:fill="FFFFFF"/>
            <w:tcMar>
              <w:top w:w="60" w:type="dxa"/>
              <w:left w:w="100" w:type="dxa"/>
              <w:bottom w:w="60" w:type="dxa"/>
              <w:right w:w="100" w:type="dxa"/>
            </w:tcMar>
          </w:tcPr>
          <w:p>
            <w:pPr>
              <w:spacing w:after="0" w:line="240" w:lineRule="auto"/>
            </w:pPr>
            <w:r>
              <w:rPr>
                <w:color w:val="3A2E28"/>
                <w:sz w:val="17"/>
              </w:rPr>
              <w:t xml:space="preserve">Petrol-hydraulic distributed multirotor</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5.5 h plus 30 min reserve, with full payload</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150 kg</w:t>
            </w:r>
          </w:p>
        </w:tc>
        <w:tc>
          <w:tcPr>
            <w:tcW w:w="1616" w:type="dxa"/>
            <w:shd w:val="clear" w:fill="FFFFFF"/>
            <w:tcMar>
              <w:top w:w="60" w:type="dxa"/>
              <w:left w:w="100" w:type="dxa"/>
              <w:bottom w:w="60" w:type="dxa"/>
              <w:right w:w="100" w:type="dxa"/>
            </w:tcMar>
          </w:tcPr>
          <w:p>
            <w:pPr>
              <w:spacing w:after="0" w:line="240" w:lineRule="auto"/>
            </w:pPr>
            <w:r>
              <w:rPr>
                <w:color w:val="3A2E28"/>
                <w:sz w:val="17"/>
              </w:rPr>
              <w:t xml:space="preserve">Proves the 6-hour class at useful payload with fuel power</w:t>
            </w:r>
          </w:p>
        </w:tc>
      </w:tr>
      <w:tr>
        <w:tc>
          <w:tcPr>
            <w:tcW w:w="1900" w:type="dxa"/>
            <w:shd w:val="clear" w:fill="FFFFFF"/>
            <w:tcMar>
              <w:top w:w="60" w:type="dxa"/>
              <w:left w:w="100" w:type="dxa"/>
              <w:bottom w:w="60" w:type="dxa"/>
              <w:right w:w="100" w:type="dxa"/>
            </w:tcMar>
          </w:tcPr>
          <w:p>
            <w:pPr>
              <w:spacing w:after="0" w:line="240" w:lineRule="auto"/>
            </w:pPr>
            <w:r>
              <w:rPr>
                <w:b/>
                <w:color w:val="3A2E28"/>
                <w:sz w:val="17"/>
              </w:rPr>
              <w:t xml:space="preserve">Skyfront Perimeter 8 (USA)</w:t>
            </w:r>
          </w:p>
        </w:tc>
        <w:tc>
          <w:tcPr>
            <w:tcW w:w="2100" w:type="dxa"/>
            <w:shd w:val="clear" w:fill="FFFFFF"/>
            <w:tcMar>
              <w:top w:w="60" w:type="dxa"/>
              <w:left w:w="100" w:type="dxa"/>
              <w:bottom w:w="60" w:type="dxa"/>
              <w:right w:w="100" w:type="dxa"/>
            </w:tcMar>
          </w:tcPr>
          <w:p>
            <w:pPr>
              <w:spacing w:after="0" w:line="240" w:lineRule="auto"/>
            </w:pPr>
            <w:r>
              <w:rPr>
                <w:color w:val="3A2E28"/>
                <w:sz w:val="17"/>
              </w:rPr>
              <w:t xml:space="preserve">Series hybrid gasoline-electric, fuel injected</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5 h plus; 13 h 04 min world record flight</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10 kg</w:t>
            </w:r>
          </w:p>
        </w:tc>
        <w:tc>
          <w:tcPr>
            <w:tcW w:w="1616" w:type="dxa"/>
            <w:shd w:val="clear" w:fill="FFFFFF"/>
            <w:tcMar>
              <w:top w:w="60" w:type="dxa"/>
              <w:left w:w="100" w:type="dxa"/>
              <w:bottom w:w="60" w:type="dxa"/>
              <w:right w:w="100" w:type="dxa"/>
            </w:tcMar>
          </w:tcPr>
          <w:p>
            <w:pPr>
              <w:spacing w:after="0" w:line="240" w:lineRule="auto"/>
            </w:pPr>
            <w:r>
              <w:rPr>
                <w:color w:val="3A2E28"/>
                <w:sz w:val="17"/>
              </w:rPr>
              <w:t xml:space="preserve">Proves series hybrid architecture and buffer-battery redundancy</w:t>
            </w:r>
          </w:p>
        </w:tc>
      </w:tr>
      <w:tr>
        <w:tc>
          <w:tcPr>
            <w:tcW w:w="1900" w:type="dxa"/>
            <w:shd w:val="clear" w:fill="FFFFFF"/>
            <w:tcMar>
              <w:top w:w="60" w:type="dxa"/>
              <w:left w:w="100" w:type="dxa"/>
              <w:bottom w:w="60" w:type="dxa"/>
              <w:right w:w="100" w:type="dxa"/>
            </w:tcMar>
          </w:tcPr>
          <w:p>
            <w:pPr>
              <w:spacing w:after="0" w:line="240" w:lineRule="auto"/>
            </w:pPr>
            <w:r>
              <w:rPr>
                <w:b/>
                <w:color w:val="3A2E28"/>
                <w:sz w:val="17"/>
              </w:rPr>
              <w:t xml:space="preserve">Boying T1400 (China)</w:t>
            </w:r>
          </w:p>
        </w:tc>
        <w:tc>
          <w:tcPr>
            <w:tcW w:w="2100" w:type="dxa"/>
            <w:shd w:val="clear" w:fill="FFFFFF"/>
            <w:tcMar>
              <w:top w:w="60" w:type="dxa"/>
              <w:left w:w="100" w:type="dxa"/>
              <w:bottom w:w="60" w:type="dxa"/>
              <w:right w:w="100" w:type="dxa"/>
            </w:tcMar>
          </w:tcPr>
          <w:p>
            <w:pPr>
              <w:spacing w:after="0" w:line="240" w:lineRule="auto"/>
            </w:pPr>
            <w:r>
              <w:rPr>
                <w:color w:val="3A2E28"/>
                <w:sz w:val="17"/>
              </w:rPr>
              <w:t xml:space="preserve">Tandem-rotor unmanned helicopter, twin 130 kW engines</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8 h at 200 kg payload</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650 kg</w:t>
            </w:r>
          </w:p>
        </w:tc>
        <w:tc>
          <w:tcPr>
            <w:tcW w:w="1616" w:type="dxa"/>
            <w:shd w:val="clear" w:fill="FFFFFF"/>
            <w:tcMar>
              <w:top w:w="60" w:type="dxa"/>
              <w:left w:w="100" w:type="dxa"/>
              <w:bottom w:w="60" w:type="dxa"/>
              <w:right w:w="100" w:type="dxa"/>
            </w:tcMar>
          </w:tcPr>
          <w:p>
            <w:pPr>
              <w:spacing w:after="0" w:line="240" w:lineRule="auto"/>
            </w:pPr>
            <w:r>
              <w:rPr>
                <w:color w:val="3A2E28"/>
                <w:sz w:val="17"/>
              </w:rPr>
              <w:t xml:space="preserve">Proves twin-engine heavy UAV operations, first flight October 2025</w:t>
            </w:r>
          </w:p>
        </w:tc>
      </w:tr>
    </w:tbl>
    <w:p>
      <w:pPr>
        <w:spacing w:after="80"/>
      </w:pPr>
    </w:p>
    <w:p>
      <w:pPr>
        <w:pStyle w:val="Caption"/>
      </w:pPr>
      <w:r>
        <w:t xml:space="preserve">Table 1: Production and flight-proven precedents anchoring the E6 architecture.</w:t>
      </w:r>
    </w:p>
    <w:p>
      <w:pPr>
        <w:pStyle w:val="Heading2"/>
      </w:pPr>
      <w:r>
        <w:t xml:space="preserve">1.2 Design Decisions</w:t>
      </w:r>
    </w:p>
    <w:p>
      <w:pPr>
        <w:pStyle w:val="Normal"/>
      </w:pPr>
      <w:r>
        <w:rPr>
          <w:b/>
          <w:color w:val="A85B36"/>
        </w:rPr>
        <w:t xml:space="preserve">Flat octocopter over coaxial X8: </w:t>
      </w:r>
      <w:r>
        <w:t xml:space="preserve">an X8 coaxial layout fits a smaller flight span but loses 12 to 18 percent of propulsive efficiency to rotor-on-rotor interference, which costs roughly one hour of endurance at this scale. The E6 accepts a 7.1 m flight span with eight arms and gains the efficiency back. Folding arms collapse the aircraft to a 3.3 x 1.8 m transport footprint, which satisfies the ATV-size constraint where it matters: on the trailer, not in the air. Physics sets the flight span; the trailer sets the folded size. Section 2.3 corrects an over-optimistic span figure that v1.0 published for this layout.</w:t>
      </w:r>
    </w:p>
    <w:p>
      <w:pPr>
        <w:pStyle w:val="Normal"/>
      </w:pPr>
      <w:r>
        <w:rPr>
          <w:b/>
          <w:color w:val="A85B36"/>
        </w:rPr>
        <w:t xml:space="preserve">72-inch rotors (v1.1): </w:t>
      </w:r>
      <w:r>
        <w:t xml:space="preserve">the review's largest single improvement. Hover power scales with the inverse square root of disk area, and growing the disk from 60 to 72 inches cuts hover power by 16 percent. That saving pays for the doubled buffer battery, the heavier safety hardware, and the full-azimuth gimbal, and still returns a net endurance gain on every mission profile. The larger, slower rotors also cut induced downwash velocity by 14 percent, which directly reduces the plume and ember risk over freshly treated fuel.</w:t>
      </w:r>
    </w:p>
    <w:p>
      <w:pPr>
        <w:pStyle w:val="Normal"/>
      </w:pPr>
      <w:r>
        <w:rPr>
          <w:b/>
          <w:color w:val="A85B36"/>
        </w:rPr>
        <w:t xml:space="preserve">Twin engines over a single engine: </w:t>
      </w:r>
      <w:r>
        <w:t xml:space="preserve">at the v1.1 design point each engine carries 75 percent of its continuous rating in hover and 80 percent at full treatment duty. A single engine would run at 100 percent continuously, an unacceptable practice for an aircraft that loiters over active fuel beds. Twin Rotax 914 UL engines also yield true power-source redundancy and turbocharged altitude margin for mountain operations.</w:t>
      </w:r>
    </w:p>
    <w:p>
      <w:pPr>
        <w:pStyle w:val="Normal"/>
      </w:pPr>
      <w:r>
        <w:rPr>
          <w:b/>
          <w:color w:val="A85B36"/>
        </w:rPr>
        <w:t xml:space="preserve">Two lasers over four: </w:t>
      </w:r>
      <w:r>
        <w:t xml:space="preserve">each additional pair of 2 kW sources adds 36 kg plus cooling mass and consumes roughly 45 minutes of endurance or a matching fuel increase. The E6 carries two RFL-C2000S sources and treats two staggered 0.7 m belts, preserving the program's staggered-redundancy doctrine at a 1.75 m corridor width. Section 9.4 presents the four-laser trade in numbers.</w:t>
      </w:r>
    </w:p>
    <w:p>
      <w:pPr>
        <w:pStyle w:val="Normal"/>
      </w:pPr>
      <w:r>
        <w:rPr>
          <w:b/>
          <w:color w:val="A85B36"/>
        </w:rPr>
        <w:t xml:space="preserve">Full-azimuth gimbal and a jettisonable belly pod (v1.1): </w:t>
      </w:r>
      <w:r>
        <w:t xml:space="preserve">the 85 kg pod hangs on a three-axis gimbal beneath the centre frame: unrestricted 360-degree azimuth plus tilt hard-stopped at 20 degrees off nadir. The aircraft flies straight or crabs into wind while the pod rotates to track the corridor, and the tilt stop guarantees the beam never leaves the ground cone beneath the aircraft. The pod attaches through tool-less quick-disconnects for field swaps and releases in an emergency, restoring roughly 90 kg of thrust margin for a safe landing.</w:t>
      </w:r>
    </w:p>
    <w:p>
      <w:pPr>
        <w:keepNext/>
        <w:spacing w:before="200" w:after="80"/>
        <w:jc w:val="center"/>
      </w:pPr>
      <w:r>
        <w:drawing>
          <wp:inline distT="0" distB="0" distL="0" distR="0">
            <wp:extent cx="5760000" cy="3806608"/>
            <wp:effectExtent l="0" t="0" r="0" b="0"/>
            <wp:docPr id="1" name="E6 v1.1 system architecture"/>
            <wp:cNvGraphicFramePr>
              <a:graphicFrameLocks noChangeAspect="1"/>
            </wp:cNvGraphicFramePr>
            <a:graphic>
              <a:graphicData uri="http://schemas.openxmlformats.org/drawingml/2006/picture">
                <pic:pic>
                  <pic:nvPicPr>
                    <pic:cNvPr id="0" name="E6 v1.1 system architecture.png"/>
                    <pic:cNvPicPr/>
                  </pic:nvPicPr>
                  <pic:blipFill>
                    <a:blip r:embed="R80006fcc4b9c4956"/>
                    <a:stretch>
                      <a:fillRect/>
                    </a:stretch>
                  </pic:blipFill>
                  <pic:spPr>
                    <a:xfrm>
                      <a:off x="0" y="0"/>
                      <a:ext cx="5760000" cy="3806608"/>
                    </a:xfrm>
                    <a:prstGeom prst="rect"/>
                  </pic:spPr>
                </pic:pic>
              </a:graphicData>
            </a:graphic>
          </wp:inline>
        </w:drawing>
      </w:r>
    </w:p>
    <w:p>
      <w:pPr>
        <w:pStyle w:val="Caption"/>
      </w:pPr>
      <w:r>
        <w:t xml:space="preserve">Figure 1: E6 v1.1 system architecture. Twin engine-generator sets feed a 400 V DC bus; the gimballed belly pod carries the full treatment, sensing, and compute stack.</w:t>
      </w:r>
    </w:p>
    <w:p>
      <w:pPr>
        <w:pStyle w:val="Heading1"/>
      </w:pPr>
      <w:r>
        <w:t xml:space="preserve">2. Platform Sizing and Endurance Engineering</w:t>
      </w:r>
    </w:p>
    <w:p>
      <w:pPr>
        <w:pStyle w:val="Heading2"/>
      </w:pPr>
      <w:r>
        <w:t xml:space="preserve">2.1 Hover Power from First Principles</w:t>
      </w:r>
    </w:p>
    <w:p>
      <w:pPr>
        <w:pStyle w:val="Normal"/>
      </w:pPr>
      <w:r>
        <w:t xml:space="preserve">Momentum theory gives the ideal power to hover: thrust raised to the three-halves power, divided by the square root of twice air density times total rotor disk area. Real rotors deliver a figure of merit below the ideal; the E6 assumes 0.74, appropriate for large, slow, lightly loaded propellers. The equation explains every hard choice in this design. Endurance grows with disk area and with fuel mass, and shrinks with everything else. Disk area pushes span out; fuel mass pushes takeoff mass up; takeoff mass pushes hover power up. The spiral closes only where engine output, airframe mass, payload, and fuel balance exactly, and this section publishes that balance.</w:t>
      </w:r>
    </w:p>
    <w:tbl>
      <w:tblPr>
        <w:tblW w:w="9016" w:type="dxa"/>
        <w:tblBorders>
          <w:top w:val="single" w:color="7B3F24" w:sz="12"/>
          <w:left w:val="nil"/>
          <w:bottom w:val="single" w:color="7B3F24" w:sz="12"/>
          <w:right w:val="nil"/>
          <w:insideH w:val="single" w:color="D9C9BC" w:sz="2"/>
          <w:insideV w:val="nil"/>
        </w:tblBorders>
      </w:tblPr>
      <w:tblGrid>
        <w:gridCol w:w="1300"/>
        <w:gridCol w:w="1300"/>
        <w:gridCol w:w="1500"/>
        <w:gridCol w:w="1500"/>
        <w:gridCol w:w="1700"/>
        <w:gridCol w:w="1716"/>
      </w:tblGrid>
      <w:tr>
        <w:trPr>
          <w:tblHeader/>
        </w:trPr>
        <w:tc>
          <w:tcPr>
            <w:tcW w:w="1300" w:type="dxa"/>
            <w:shd w:val="clear" w:fill="7B3F24"/>
            <w:tcMar>
              <w:top w:w="60" w:type="dxa"/>
              <w:left w:w="100" w:type="dxa"/>
              <w:bottom w:w="60" w:type="dxa"/>
              <w:right w:w="100" w:type="dxa"/>
            </w:tcMar>
          </w:tcPr>
          <w:p>
            <w:pPr>
              <w:spacing w:after="0" w:line="240" w:lineRule="auto"/>
            </w:pPr>
            <w:r>
              <w:rPr>
                <w:b/>
                <w:color w:val="FFFFFF"/>
                <w:sz w:val="18"/>
              </w:rPr>
              <w:t xml:space="preserve">Fuel load</w:t>
            </w:r>
          </w:p>
        </w:tc>
        <w:tc>
          <w:tcPr>
            <w:tcW w:w="1300" w:type="dxa"/>
            <w:shd w:val="clear" w:fill="7B3F24"/>
            <w:tcMar>
              <w:top w:w="60" w:type="dxa"/>
              <w:left w:w="100" w:type="dxa"/>
              <w:bottom w:w="60" w:type="dxa"/>
              <w:right w:w="100" w:type="dxa"/>
            </w:tcMar>
          </w:tcPr>
          <w:p>
            <w:pPr>
              <w:spacing w:after="0" w:line="240" w:lineRule="auto"/>
            </w:pPr>
            <w:r>
              <w:rPr>
                <w:b/>
                <w:color w:val="FFFFFF"/>
                <w:sz w:val="18"/>
              </w:rPr>
              <w:t xml:space="preserve">MTOW</w:t>
            </w:r>
          </w:p>
        </w:tc>
        <w:tc>
          <w:tcPr>
            <w:tcW w:w="1500" w:type="dxa"/>
            <w:shd w:val="clear" w:fill="7B3F24"/>
            <w:tcMar>
              <w:top w:w="60" w:type="dxa"/>
              <w:left w:w="100" w:type="dxa"/>
              <w:bottom w:w="60" w:type="dxa"/>
              <w:right w:w="100" w:type="dxa"/>
            </w:tcMar>
          </w:tcPr>
          <w:p>
            <w:pPr>
              <w:spacing w:after="0" w:line="240" w:lineRule="auto"/>
            </w:pPr>
            <w:r>
              <w:rPr>
                <w:b/>
                <w:color w:val="FFFFFF"/>
                <w:sz w:val="18"/>
              </w:rPr>
              <w:t xml:space="preserve">Hover only</w:t>
            </w:r>
          </w:p>
        </w:tc>
        <w:tc>
          <w:tcPr>
            <w:tcW w:w="1500" w:type="dxa"/>
            <w:shd w:val="clear" w:fill="7B3F24"/>
            <w:tcMar>
              <w:top w:w="60" w:type="dxa"/>
              <w:left w:w="100" w:type="dxa"/>
              <w:bottom w:w="60" w:type="dxa"/>
              <w:right w:w="100" w:type="dxa"/>
            </w:tcMar>
          </w:tcPr>
          <w:p>
            <w:pPr>
              <w:spacing w:after="0" w:line="240" w:lineRule="auto"/>
            </w:pPr>
            <w:r>
              <w:rPr>
                <w:b/>
                <w:color w:val="FFFFFF"/>
                <w:sz w:val="18"/>
              </w:rPr>
              <w:t xml:space="preserve">Standard mission (30% laser duty)</w:t>
            </w:r>
          </w:p>
        </w:tc>
        <w:tc>
          <w:tcPr>
            <w:tcW w:w="1700" w:type="dxa"/>
            <w:shd w:val="clear" w:fill="7B3F24"/>
            <w:tcMar>
              <w:top w:w="60" w:type="dxa"/>
              <w:left w:w="100" w:type="dxa"/>
              <w:bottom w:w="60" w:type="dxa"/>
              <w:right w:w="100" w:type="dxa"/>
            </w:tcMar>
          </w:tcPr>
          <w:p>
            <w:pPr>
              <w:spacing w:after="0" w:line="240" w:lineRule="auto"/>
            </w:pPr>
            <w:r>
              <w:rPr>
                <w:b/>
                <w:color w:val="FFFFFF"/>
                <w:sz w:val="18"/>
              </w:rPr>
              <w:t xml:space="preserve">Full-duty treatment</w:t>
            </w:r>
          </w:p>
        </w:tc>
        <w:tc>
          <w:tcPr>
            <w:tcW w:w="1716" w:type="dxa"/>
            <w:shd w:val="clear" w:fill="7B3F24"/>
            <w:tcMar>
              <w:top w:w="60" w:type="dxa"/>
              <w:left w:w="100" w:type="dxa"/>
              <w:bottom w:w="60" w:type="dxa"/>
              <w:right w:w="100" w:type="dxa"/>
            </w:tcMar>
          </w:tcPr>
          <w:p>
            <w:pPr>
              <w:spacing w:after="0" w:line="240" w:lineRule="auto"/>
            </w:pPr>
            <w:r>
              <w:rPr>
                <w:b/>
                <w:color w:val="FFFFFF"/>
                <w:sz w:val="18"/>
              </w:rPr>
              <w:t xml:space="preserve">Engine load (hover)</w:t>
            </w:r>
          </w:p>
        </w:tc>
      </w:tr>
      <w:tr>
        <w:tc>
          <w:tcPr>
            <w:tcW w:w="1300" w:type="dxa"/>
            <w:shd w:val="clear" w:fill="FFFFFF"/>
            <w:tcMar>
              <w:top w:w="60" w:type="dxa"/>
              <w:left w:w="100" w:type="dxa"/>
              <w:bottom w:w="60" w:type="dxa"/>
              <w:right w:w="100" w:type="dxa"/>
            </w:tcMar>
          </w:tcPr>
          <w:p>
            <w:pPr>
              <w:spacing w:after="0" w:line="240" w:lineRule="auto"/>
            </w:pPr>
            <w:r>
              <w:rPr>
                <w:b/>
                <w:color w:val="3A2E28"/>
                <w:sz w:val="18"/>
              </w:rPr>
              <w:t xml:space="preserve">180 kg (250 L)</w:t>
            </w:r>
          </w:p>
        </w:tc>
        <w:tc>
          <w:tcPr>
            <w:tcW w:w="1300" w:type="dxa"/>
            <w:shd w:val="clear" w:fill="FFFFFF"/>
            <w:tcMar>
              <w:top w:w="60" w:type="dxa"/>
              <w:left w:w="100" w:type="dxa"/>
              <w:bottom w:w="60" w:type="dxa"/>
              <w:right w:w="100" w:type="dxa"/>
            </w:tcMar>
          </w:tcPr>
          <w:p>
            <w:pPr>
              <w:spacing w:after="0" w:line="240" w:lineRule="auto"/>
            </w:pPr>
            <w:r>
              <w:rPr>
                <w:color w:val="3A2E28"/>
                <w:sz w:val="18"/>
              </w:rPr>
              <w:t xml:space="preserve">687 kg</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5.6 h</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5.5 h</w:t>
            </w:r>
          </w:p>
        </w:tc>
        <w:tc>
          <w:tcPr>
            <w:tcW w:w="1700" w:type="dxa"/>
            <w:shd w:val="clear" w:fill="FFFFFF"/>
            <w:tcMar>
              <w:top w:w="60" w:type="dxa"/>
              <w:left w:w="100" w:type="dxa"/>
              <w:bottom w:w="60" w:type="dxa"/>
              <w:right w:w="100" w:type="dxa"/>
            </w:tcMar>
          </w:tcPr>
          <w:p>
            <w:pPr>
              <w:spacing w:after="0" w:line="240" w:lineRule="auto"/>
            </w:pPr>
            <w:r>
              <w:rPr>
                <w:color w:val="3A2E28"/>
                <w:sz w:val="18"/>
              </w:rPr>
              <w:t xml:space="preserve">5.2 h</w:t>
            </w:r>
          </w:p>
        </w:tc>
        <w:tc>
          <w:tcPr>
            <w:tcW w:w="1716" w:type="dxa"/>
            <w:shd w:val="clear" w:fill="FFFFFF"/>
            <w:tcMar>
              <w:top w:w="60" w:type="dxa"/>
              <w:left w:w="100" w:type="dxa"/>
              <w:bottom w:w="60" w:type="dxa"/>
              <w:right w:w="100" w:type="dxa"/>
            </w:tcMar>
          </w:tcPr>
          <w:p>
            <w:pPr>
              <w:spacing w:after="0" w:line="240" w:lineRule="auto"/>
            </w:pPr>
            <w:r>
              <w:rPr>
                <w:color w:val="3A2E28"/>
                <w:sz w:val="18"/>
              </w:rPr>
              <w:t xml:space="preserve">66%</w:t>
            </w:r>
          </w:p>
        </w:tc>
      </w:tr>
      <w:tr>
        <w:tc>
          <w:tcPr>
            <w:tcW w:w="1300" w:type="dxa"/>
            <w:shd w:val="clear" w:fill="FFFFFF"/>
            <w:tcMar>
              <w:top w:w="60" w:type="dxa"/>
              <w:left w:w="100" w:type="dxa"/>
              <w:bottom w:w="60" w:type="dxa"/>
              <w:right w:w="100" w:type="dxa"/>
            </w:tcMar>
          </w:tcPr>
          <w:p>
            <w:pPr>
              <w:spacing w:after="0" w:line="240" w:lineRule="auto"/>
            </w:pPr>
            <w:r>
              <w:rPr>
                <w:b/>
                <w:color w:val="3A2E28"/>
                <w:sz w:val="18"/>
              </w:rPr>
              <w:t xml:space="preserve">200 kg (278 L)</w:t>
            </w:r>
          </w:p>
        </w:tc>
        <w:tc>
          <w:tcPr>
            <w:tcW w:w="1300" w:type="dxa"/>
            <w:shd w:val="clear" w:fill="FFFFFF"/>
            <w:tcMar>
              <w:top w:w="60" w:type="dxa"/>
              <w:left w:w="100" w:type="dxa"/>
              <w:bottom w:w="60" w:type="dxa"/>
              <w:right w:w="100" w:type="dxa"/>
            </w:tcMar>
          </w:tcPr>
          <w:p>
            <w:pPr>
              <w:spacing w:after="0" w:line="240" w:lineRule="auto"/>
            </w:pPr>
            <w:r>
              <w:rPr>
                <w:color w:val="3A2E28"/>
                <w:sz w:val="18"/>
              </w:rPr>
              <w:t xml:space="preserve">707 kg</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5.9 h</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5.8 h</w:t>
            </w:r>
          </w:p>
        </w:tc>
        <w:tc>
          <w:tcPr>
            <w:tcW w:w="1700" w:type="dxa"/>
            <w:shd w:val="clear" w:fill="FFFFFF"/>
            <w:tcMar>
              <w:top w:w="60" w:type="dxa"/>
              <w:left w:w="100" w:type="dxa"/>
              <w:bottom w:w="60" w:type="dxa"/>
              <w:right w:w="100" w:type="dxa"/>
            </w:tcMar>
          </w:tcPr>
          <w:p>
            <w:pPr>
              <w:spacing w:after="0" w:line="240" w:lineRule="auto"/>
            </w:pPr>
            <w:r>
              <w:rPr>
                <w:color w:val="3A2E28"/>
                <w:sz w:val="18"/>
              </w:rPr>
              <w:t xml:space="preserve">5.5 h</w:t>
            </w:r>
          </w:p>
        </w:tc>
        <w:tc>
          <w:tcPr>
            <w:tcW w:w="1716" w:type="dxa"/>
            <w:shd w:val="clear" w:fill="FFFFFF"/>
            <w:tcMar>
              <w:top w:w="60" w:type="dxa"/>
              <w:left w:w="100" w:type="dxa"/>
              <w:bottom w:w="60" w:type="dxa"/>
              <w:right w:w="100" w:type="dxa"/>
            </w:tcMar>
          </w:tcPr>
          <w:p>
            <w:pPr>
              <w:spacing w:after="0" w:line="240" w:lineRule="auto"/>
            </w:pPr>
            <w:r>
              <w:rPr>
                <w:color w:val="3A2E28"/>
                <w:sz w:val="18"/>
              </w:rPr>
              <w:t xml:space="preserve">69%</w:t>
            </w:r>
          </w:p>
        </w:tc>
      </w:tr>
      <w:tr>
        <w:tc>
          <w:tcPr>
            <w:tcW w:w="1300" w:type="dxa"/>
            <w:shd w:val="clear" w:fill="FFFFFF"/>
            <w:tcMar>
              <w:top w:w="60" w:type="dxa"/>
              <w:left w:w="100" w:type="dxa"/>
              <w:bottom w:w="60" w:type="dxa"/>
              <w:right w:w="100" w:type="dxa"/>
            </w:tcMar>
          </w:tcPr>
          <w:p>
            <w:pPr>
              <w:spacing w:after="0" w:line="240" w:lineRule="auto"/>
            </w:pPr>
            <w:r>
              <w:rPr>
                <w:b/>
                <w:color w:val="3A2E28"/>
                <w:sz w:val="18"/>
              </w:rPr>
              <w:t xml:space="preserve">216 kg (300 L)</w:t>
            </w:r>
          </w:p>
        </w:tc>
        <w:tc>
          <w:tcPr>
            <w:tcW w:w="1300" w:type="dxa"/>
            <w:shd w:val="clear" w:fill="FFFFFF"/>
            <w:tcMar>
              <w:top w:w="60" w:type="dxa"/>
              <w:left w:w="100" w:type="dxa"/>
              <w:bottom w:w="60" w:type="dxa"/>
              <w:right w:w="100" w:type="dxa"/>
            </w:tcMar>
          </w:tcPr>
          <w:p>
            <w:pPr>
              <w:spacing w:after="0" w:line="240" w:lineRule="auto"/>
            </w:pPr>
            <w:r>
              <w:rPr>
                <w:color w:val="3A2E28"/>
                <w:sz w:val="18"/>
              </w:rPr>
              <w:t xml:space="preserve">723 kg</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6.2 h</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6.1 h</w:t>
            </w:r>
          </w:p>
        </w:tc>
        <w:tc>
          <w:tcPr>
            <w:tcW w:w="1700" w:type="dxa"/>
            <w:shd w:val="clear" w:fill="FFFFFF"/>
            <w:tcMar>
              <w:top w:w="60" w:type="dxa"/>
              <w:left w:w="100" w:type="dxa"/>
              <w:bottom w:w="60" w:type="dxa"/>
              <w:right w:w="100" w:type="dxa"/>
            </w:tcMar>
          </w:tcPr>
          <w:p>
            <w:pPr>
              <w:spacing w:after="0" w:line="240" w:lineRule="auto"/>
            </w:pPr>
            <w:r>
              <w:rPr>
                <w:color w:val="3A2E28"/>
                <w:sz w:val="18"/>
              </w:rPr>
              <w:t xml:space="preserve">5.8 h</w:t>
            </w:r>
          </w:p>
        </w:tc>
        <w:tc>
          <w:tcPr>
            <w:tcW w:w="1716" w:type="dxa"/>
            <w:shd w:val="clear" w:fill="FFFFFF"/>
            <w:tcMar>
              <w:top w:w="60" w:type="dxa"/>
              <w:left w:w="100" w:type="dxa"/>
              <w:bottom w:w="60" w:type="dxa"/>
              <w:right w:w="100" w:type="dxa"/>
            </w:tcMar>
          </w:tcPr>
          <w:p>
            <w:pPr>
              <w:spacing w:after="0" w:line="240" w:lineRule="auto"/>
            </w:pPr>
            <w:r>
              <w:rPr>
                <w:color w:val="3A2E28"/>
                <w:sz w:val="18"/>
              </w:rPr>
              <w:t xml:space="preserve">71%</w:t>
            </w:r>
          </w:p>
        </w:tc>
      </w:tr>
      <w:tr>
        <w:tc>
          <w:tcPr>
            <w:tcW w:w="1300" w:type="dxa"/>
            <w:shd w:val="clear" w:fill="FFFFFF"/>
            <w:tcMar>
              <w:top w:w="60" w:type="dxa"/>
              <w:left w:w="100" w:type="dxa"/>
              <w:bottom w:w="60" w:type="dxa"/>
              <w:right w:w="100" w:type="dxa"/>
            </w:tcMar>
          </w:tcPr>
          <w:p>
            <w:pPr>
              <w:spacing w:after="0" w:line="240" w:lineRule="auto"/>
            </w:pPr>
            <w:r>
              <w:rPr>
                <w:b/>
                <w:color w:val="3A2E28"/>
                <w:sz w:val="18"/>
              </w:rPr>
              <w:t xml:space="preserve">240 kg (333 L)  E6 design point</w:t>
            </w:r>
          </w:p>
        </w:tc>
        <w:tc>
          <w:tcPr>
            <w:tcW w:w="1300" w:type="dxa"/>
            <w:shd w:val="clear" w:fill="FFFFFF"/>
            <w:tcMar>
              <w:top w:w="60" w:type="dxa"/>
              <w:left w:w="100" w:type="dxa"/>
              <w:bottom w:w="60" w:type="dxa"/>
              <w:right w:w="100" w:type="dxa"/>
            </w:tcMar>
          </w:tcPr>
          <w:p>
            <w:pPr>
              <w:spacing w:after="0" w:line="240" w:lineRule="auto"/>
            </w:pPr>
            <w:r>
              <w:rPr>
                <w:color w:val="3A2E28"/>
                <w:sz w:val="18"/>
              </w:rPr>
              <w:t xml:space="preserve">747 kg</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6.6 h</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6.4 h</w:t>
            </w:r>
          </w:p>
        </w:tc>
        <w:tc>
          <w:tcPr>
            <w:tcW w:w="1700" w:type="dxa"/>
            <w:shd w:val="clear" w:fill="FFFFFF"/>
            <w:tcMar>
              <w:top w:w="60" w:type="dxa"/>
              <w:left w:w="100" w:type="dxa"/>
              <w:bottom w:w="60" w:type="dxa"/>
              <w:right w:w="100" w:type="dxa"/>
            </w:tcMar>
          </w:tcPr>
          <w:p>
            <w:pPr>
              <w:spacing w:after="0" w:line="240" w:lineRule="auto"/>
            </w:pPr>
            <w:r>
              <w:rPr>
                <w:color w:val="3A2E28"/>
                <w:sz w:val="18"/>
              </w:rPr>
              <w:t xml:space="preserve">6.2 h</w:t>
            </w:r>
          </w:p>
        </w:tc>
        <w:tc>
          <w:tcPr>
            <w:tcW w:w="1716" w:type="dxa"/>
            <w:shd w:val="clear" w:fill="FFFFFF"/>
            <w:tcMar>
              <w:top w:w="60" w:type="dxa"/>
              <w:left w:w="100" w:type="dxa"/>
              <w:bottom w:w="60" w:type="dxa"/>
              <w:right w:w="100" w:type="dxa"/>
            </w:tcMar>
          </w:tcPr>
          <w:p>
            <w:pPr>
              <w:spacing w:after="0" w:line="240" w:lineRule="auto"/>
            </w:pPr>
            <w:r>
              <w:rPr>
                <w:color w:val="3A2E28"/>
                <w:sz w:val="18"/>
              </w:rPr>
              <w:t xml:space="preserve">75%</w:t>
            </w:r>
          </w:p>
        </w:tc>
      </w:tr>
    </w:tbl>
    <w:p>
      <w:pPr>
        <w:spacing w:after="80"/>
      </w:pPr>
    </w:p>
    <w:p>
      <w:pPr>
        <w:pStyle w:val="Caption"/>
      </w:pPr>
      <w:r>
        <w:t xml:space="preserve">Table 2: Endurance against fuel load, computed from momentum theory at figure of merit 0.74, generator-chain efficiency 0.93, and brake specific fuel consumption 0.285 kg/kWh. The 72-inch rotor disk lowers hover power 16 percent against the v1.0 configuration.</w:t>
      </w:r>
    </w:p>
    <w:p>
      <w:pPr>
        <w:keepNext/>
        <w:spacing w:before="200" w:after="80"/>
        <w:jc w:val="center"/>
      </w:pPr>
      <w:r>
        <w:drawing>
          <wp:inline distT="0" distB="0" distL="0" distR="0">
            <wp:extent cx="5760000" cy="2203826"/>
            <wp:effectExtent l="0" t="0" r="0" b="0"/>
            <wp:docPr id="2" name="Endurance and power budget v1.1"/>
            <wp:cNvGraphicFramePr>
              <a:graphicFrameLocks noChangeAspect="1"/>
            </wp:cNvGraphicFramePr>
            <a:graphic>
              <a:graphicData uri="http://schemas.openxmlformats.org/drawingml/2006/picture">
                <pic:pic>
                  <pic:nvPicPr>
                    <pic:cNvPr id="0" name="Endurance and power budget v1.1.png"/>
                    <pic:cNvPicPr/>
                  </pic:nvPicPr>
                  <pic:blipFill>
                    <a:blip r:embed="Rbafaa9702bd24cb5"/>
                    <a:stretch>
                      <a:fillRect/>
                    </a:stretch>
                  </pic:blipFill>
                  <pic:spPr>
                    <a:xfrm>
                      <a:off x="0" y="0"/>
                      <a:ext cx="5760000" cy="2203826"/>
                    </a:xfrm>
                    <a:prstGeom prst="rect"/>
                  </pic:spPr>
                </pic:pic>
              </a:graphicData>
            </a:graphic>
          </wp:inline>
        </w:drawing>
      </w:r>
    </w:p>
    <w:p>
      <w:pPr>
        <w:pStyle w:val="Caption"/>
      </w:pPr>
      <w:r>
        <w:t xml:space="preserve">Figure 2: Left, endurance curves for the three mission profiles against the 6-hour requirement line; all three profiles clear the line at the design point. Right, the mission power budget at the 747 kg design point.</w:t>
      </w:r>
    </w:p>
    <w:p>
      <w:pPr>
        <w:pStyle w:val="Heading2"/>
      </w:pPr>
      <w:r>
        <w:t xml:space="preserve">2.2 E6 v1.1 Design Point</w:t>
      </w:r>
    </w:p>
    <w:tbl>
      <w:tblPr>
        <w:tblW w:w="9016" w:type="dxa"/>
        <w:tblBorders>
          <w:top w:val="single" w:color="7B3F24" w:sz="12"/>
          <w:left w:val="nil"/>
          <w:bottom w:val="single" w:color="7B3F24" w:sz="12"/>
          <w:right w:val="nil"/>
          <w:insideH w:val="single" w:color="D9C9BC" w:sz="2"/>
          <w:insideV w:val="nil"/>
        </w:tblBorders>
      </w:tblPr>
      <w:tblGrid>
        <w:gridCol w:w="4300"/>
        <w:gridCol w:w="4716"/>
      </w:tblGrid>
      <w:tr>
        <w:trPr>
          <w:tblHeader/>
        </w:trPr>
        <w:tc>
          <w:tcPr>
            <w:tcW w:w="4300" w:type="dxa"/>
            <w:shd w:val="clear" w:fill="7B3F24"/>
            <w:tcMar>
              <w:top w:w="60" w:type="dxa"/>
              <w:left w:w="100" w:type="dxa"/>
              <w:bottom w:w="60" w:type="dxa"/>
              <w:right w:w="100" w:type="dxa"/>
            </w:tcMar>
          </w:tcPr>
          <w:p>
            <w:pPr>
              <w:spacing w:after="0" w:line="240" w:lineRule="auto"/>
            </w:pPr>
            <w:r>
              <w:rPr>
                <w:b/>
                <w:color w:val="FFFFFF"/>
                <w:sz w:val="18"/>
              </w:rPr>
              <w:t xml:space="preserve">Parameter</w:t>
            </w:r>
          </w:p>
        </w:tc>
        <w:tc>
          <w:tcPr>
            <w:tcW w:w="4716" w:type="dxa"/>
            <w:shd w:val="clear" w:fill="7B3F24"/>
            <w:tcMar>
              <w:top w:w="60" w:type="dxa"/>
              <w:left w:w="100" w:type="dxa"/>
              <w:bottom w:w="60" w:type="dxa"/>
              <w:right w:w="100" w:type="dxa"/>
            </w:tcMar>
          </w:tcPr>
          <w:p>
            <w:pPr>
              <w:spacing w:after="0" w:line="240" w:lineRule="auto"/>
            </w:pPr>
            <w:r>
              <w:rPr>
                <w:b/>
                <w:color w:val="FFFFFF"/>
                <w:sz w:val="18"/>
              </w:rPr>
              <w:t xml:space="preserve">Value</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Configuration</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Flat octocopter, 8 arms, folding for transport</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Maximum takeoff weight (MTOW)</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747 kg</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Empty mass (dry, with 85 kg payload)</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507 kg</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Fuel (ER load, aviation gasoline or 91+ mogas)</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240 kg / 333 L</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Laser payload</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85 kg (2 x 2 kW sources, 3-axis gimbal, optics, cooling, sensors, compute)</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Rotors</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8 x 72-inch carbon folding propellers, 21.0 m2 total disk area</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Disk loading</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35.5 kg/m2 (348 N/m2)</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Flight span / folded footprint</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7.1 m / 3.3 x 1.8 m trailer-class</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Hover power (electrical)</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118.1 kW</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Mission power, full treatment duty</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127.3 kW electric, 136.9 kW engine shaft</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Engines</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2 x Rotax 914 UL, 86 kW continuous each, turbocharged EFI</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Engine load at design point</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75% of continuous rating hover, 80% at full treatment duty</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Buffer battery reserve</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7.8 kWh: 3.6 min at full hover power, over 5 min in descent profile</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Fuel burn</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36.5 kg/h hover-only; 39.0 kg/h full-duty treatment</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Endurance</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6.6 h hover-only; 6.4 h standard mission; 6.2 h continuous treatment</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Treatment standoff</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3.5 to 4.5 m above ground level, nominal 4.0 m, lidar-radar fusion hold</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Transit speed</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15 m/s cruise, 120 km range on standard fuel reserve</w:t>
            </w:r>
          </w:p>
        </w:tc>
      </w:tr>
    </w:tbl>
    <w:p>
      <w:pPr>
        <w:spacing w:after="80"/>
      </w:pPr>
    </w:p>
    <w:p>
      <w:pPr>
        <w:pStyle w:val="Caption"/>
      </w:pPr>
      <w:r>
        <w:t xml:space="preserve">Table 3: E6 v1.1 design-point specification.</w:t>
      </w:r>
    </w:p>
    <w:p>
      <w:pPr>
        <w:pStyle w:val="Normal"/>
      </w:pPr>
      <w:r>
        <w:t xml:space="preserve">These figures are first-order sizing estimates, stated with their assumptions, and Phase 1 of the test program (Section 17) refines them against measured propeller data and a powertrain dynamometer run. The assumptions err conservative: figure of merit 0.74 sits below published values for large slow rotors, and the fuel-consumption figure uses the rich high-load end of the Rotax map.</w:t>
      </w:r>
    </w:p>
    <w:p>
      <w:pPr>
        <w:pStyle w:val="Heading2"/>
      </w:pPr>
      <w:r>
        <w:t xml:space="preserve">2.3 The ATV Question, Answered Plainly, with a Correction</w:t>
      </w:r>
    </w:p>
    <w:p>
      <w:pPr>
        <w:pStyle w:val="Normal"/>
      </w:pPr>
      <w:r>
        <w:t xml:space="preserve">A 7.1 m octocopter is not ATV-sized in flight, and this document does not pretend otherwise. Correction of record: v1.0 stated a 4.4 m flight span for the 60-inch configuration. That figure assumed tip overlap between adjacent rotor disks, which same-plane rotors do not tolerate; recomputed with standard 10 percent tip clearance, the 60-inch layout requires 5.9 m and the v1.1 72-inch layout requires 7.1 m. The folded transport dimensions change little, because arm length drives them: 3.3 x 1.8 m, still a standard utility-trailer load behind a pickup.</w:t>
      </w:r>
    </w:p>
    <w:p>
      <w:pPr>
        <w:pStyle w:val="Normal"/>
      </w:pPr>
      <w:r>
        <w:t xml:space="preserve">The size constraint therefore binds where it belongs: in transport and staging. In flight, hover physics dictates disk area, and the v1.1 review confirmed that the larger disk is precisely what funds the safety upgrades without surrendering the six-hour requirement. The coaxial X8 alternative remains on record: same folded footprint, 4.7 m flight span, roughly 5.3 hours endurance at this payload. The program chooses endurance, margin, and lower downwash over compactness in the air.</w:t>
      </w:r>
    </w:p>
    <w:p>
      <w:pPr>
        <w:pStyle w:val="Heading1"/>
      </w:pPr>
      <w:r>
        <w:t xml:space="preserve">3. Airframe and Propulsion</w:t>
      </w:r>
    </w:p>
    <w:p>
      <w:pPr>
        <w:pStyle w:val="Heading2"/>
      </w:pPr>
      <w:r>
        <w:t xml:space="preserve">3.1 Structure</w:t>
      </w:r>
    </w:p>
    <w:p>
      <w:pPr>
        <w:pStyle w:val="Normal"/>
      </w:pPr>
      <w:r>
        <w:t xml:space="preserve">The centre frame is a carbon-fibre sandwich plate stack carrying the engines, generators, fuel system, and gimbal hardpoint. Eight tubular carbon arms hinge at the centre frame on over-centre folding locks rated for full flight loads, each arm carrying a motor, an ESC, and a 72-inch folding propeller. Arm length grew 20 percent in v1.1 to hold standard tip clearance at the larger disk. The tall-stance landing gear holds the belly pod 1.2 m clear of ground at rest, which protects the optics during landing on unprepared sites and gives the treatment beam its standoff geometry. Empty airframe mass comes to 198 kg including gear, arms, folding hardware, fuel system, and recovery parachute.</w:t>
      </w:r>
    </w:p>
    <w:p>
      <w:pPr>
        <w:pStyle w:val="Heading2"/>
      </w:pPr>
      <w:r>
        <w:t xml:space="preserve">3.2 Propulsion</w:t>
      </w:r>
    </w:p>
    <w:p>
      <w:pPr>
        <w:pStyle w:val="Normal"/>
      </w:pPr>
      <w:r>
        <w:t xml:space="preserve">Each propulsion station pairs a 35 kW-class high-torque outrunner motor (6.2 kg, sized for 72-inch propeller torque at hover RPM) with a 400 V / 300 A electronic speed controller and a 72-inch carbon folding propeller. Hover demands roughly 15 kW per station at the design point, leaving full authority margin for gust rejection and a degraded-mode landing with one station out. The flight controller detects a motor or ESC failure within one commutation cycle, redistributes thrust across the remaining seven stations, and commands an immediate controlled descent; an octocopter retains yaw authority with one motor out at partial throttle. A whole-aircraft ballistic parachute (750 kg class) backs the motor-out logic for failures above 40 m AGL; below that altitude the aircraft relies on propulsion redundancy, and treatment operations never exceed 6 m AGL by geofence.</w:t>
      </w:r>
    </w:p>
    <w:p>
      <w:pPr>
        <w:pStyle w:val="Heading2"/>
      </w:pPr>
      <w:r>
        <w:t xml:space="preserve">3.3 Mass Budget</w:t>
      </w:r>
    </w:p>
    <w:tbl>
      <w:tblPr>
        <w:tblW w:w="9016" w:type="dxa"/>
        <w:tblBorders>
          <w:top w:val="single" w:color="7B3F24" w:sz="12"/>
          <w:left w:val="nil"/>
          <w:bottom w:val="single" w:color="7B3F24" w:sz="12"/>
          <w:right w:val="nil"/>
          <w:insideH w:val="single" w:color="D9C9BC" w:sz="2"/>
          <w:insideV w:val="nil"/>
        </w:tblBorders>
      </w:tblPr>
      <w:tblGrid>
        <w:gridCol w:w="5200"/>
        <w:gridCol w:w="1800"/>
        <w:gridCol w:w="2016"/>
      </w:tblGrid>
      <w:tr>
        <w:trPr>
          <w:tblHeader/>
        </w:trPr>
        <w:tc>
          <w:tcPr>
            <w:tcW w:w="5200" w:type="dxa"/>
            <w:shd w:val="clear" w:fill="7B3F24"/>
            <w:tcMar>
              <w:top w:w="60" w:type="dxa"/>
              <w:left w:w="100" w:type="dxa"/>
              <w:bottom w:w="60" w:type="dxa"/>
              <w:right w:w="100" w:type="dxa"/>
            </w:tcMar>
          </w:tcPr>
          <w:p>
            <w:pPr>
              <w:spacing w:after="0" w:line="240" w:lineRule="auto"/>
            </w:pPr>
            <w:r>
              <w:rPr>
                <w:b/>
                <w:color w:val="FFFFFF"/>
                <w:sz w:val="18"/>
              </w:rPr>
              <w:t xml:space="preserve">Subsystem</w:t>
            </w:r>
          </w:p>
        </w:tc>
        <w:tc>
          <w:tcPr>
            <w:tcW w:w="1800" w:type="dxa"/>
            <w:shd w:val="clear" w:fill="7B3F24"/>
            <w:tcMar>
              <w:top w:w="60" w:type="dxa"/>
              <w:left w:w="100" w:type="dxa"/>
              <w:bottom w:w="60" w:type="dxa"/>
              <w:right w:w="100" w:type="dxa"/>
            </w:tcMar>
          </w:tcPr>
          <w:p>
            <w:pPr>
              <w:spacing w:after="0" w:line="240" w:lineRule="auto"/>
            </w:pPr>
            <w:r>
              <w:rPr>
                <w:b/>
                <w:color w:val="FFFFFF"/>
                <w:sz w:val="18"/>
              </w:rPr>
              <w:t xml:space="preserve">Mass (kg)</w:t>
            </w:r>
          </w:p>
        </w:tc>
        <w:tc>
          <w:tcPr>
            <w:tcW w:w="2016" w:type="dxa"/>
            <w:shd w:val="clear" w:fill="7B3F24"/>
            <w:tcMar>
              <w:top w:w="60" w:type="dxa"/>
              <w:left w:w="100" w:type="dxa"/>
              <w:bottom w:w="60" w:type="dxa"/>
              <w:right w:w="100" w:type="dxa"/>
            </w:tcMar>
          </w:tcPr>
          <w:p>
            <w:pPr>
              <w:spacing w:after="0" w:line="240" w:lineRule="auto"/>
            </w:pPr>
            <w:r>
              <w:rPr>
                <w:b/>
                <w:color w:val="FFFFFF"/>
                <w:sz w:val="18"/>
              </w:rPr>
              <w:t xml:space="preserve">Notes</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Engines, 2 x Rotax 914 UL with ringmounts and exhaust</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144</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72 kg installed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Generators, 2 x axial-flux with rectifiers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40</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60 kW class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Motors, 8 x 35 kW high-torque class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50</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6.2 kg each, 72-inch torque class</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ESCs, 8 x 400 V / 300 A</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16</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2 kg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Propellers, 8 x 72-inch</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26</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3.2 kg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Centre frame, arms, folding locks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59</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Longer arms for 72-inch clearance</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Landing gear</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6</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Tall stance</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Avionics, flight controller, harness, anemometer, recorder</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14</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Includes air-data, wind, and black-box</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Buffer battery, 7.8 kWh</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37</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8 x Tattu 12S 22Ah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Fuel system with dump valves and probes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18</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2 x 170 L tanks, excluding fuel</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Ballistic parachute</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12</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750 kg class</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Laser payload pod</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85</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Section 5</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Empty mass total</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507</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Leaves 240 kg fuel to 747 kg MTOW</w:t>
            </w:r>
          </w:p>
        </w:tc>
      </w:tr>
    </w:tbl>
    <w:p>
      <w:pPr>
        <w:spacing w:after="80"/>
      </w:pPr>
    </w:p>
    <w:p>
      <w:pPr>
        <w:pStyle w:val="Caption"/>
      </w:pPr>
      <w:r>
        <w:t xml:space="preserve">Table 4: Empty-mass budget, v1.1. Every line carries a real part class with a vendor in the bill of materials.</w:t>
      </w:r>
    </w:p>
    <w:p>
      <w:pPr>
        <w:pStyle w:val="Heading1"/>
      </w:pPr>
      <w:r>
        <w:t xml:space="preserve">4. Hybrid Power System</w:t>
      </w:r>
    </w:p>
    <w:p>
      <w:pPr>
        <w:pStyle w:val="Heading2"/>
      </w:pPr>
      <w:r>
        <w:t xml:space="preserve">4.1 Architecture</w:t>
      </w:r>
    </w:p>
    <w:p>
      <w:pPr>
        <w:pStyle w:val="Normal"/>
      </w:pPr>
      <w:r>
        <w:t xml:space="preserve">The E6 is a series hybrid. Neither engine touches a propeller. Each Rotax 914 UL drives an axial-flux permanent-magnet generator through a flexible coupling, and each generator feeds the shared 400 V DC bus through an active rectifier. The bus powers the eight propulsion ESCs, a 28 V payload converter, and the buffer battery charger. This architecture decouples engine speed from propeller speed, lets each engine run at its most efficient operating point, and gives the flight controller instantaneous electric torque response. The Skyfront Perimeter 8 flies this exact architecture to world-record endurance, and the E6 scales it by a factor of twenty-five.</w:t>
      </w:r>
    </w:p>
    <w:p>
      <w:pPr>
        <w:pStyle w:val="Heading2"/>
      </w:pPr>
      <w:r>
        <w:t xml:space="preserve">4.2 Engines and Health Monitoring</w:t>
      </w:r>
    </w:p>
    <w:p>
      <w:pPr>
        <w:pStyle w:val="Normal"/>
      </w:pPr>
      <w:r>
        <w:t xml:space="preserve">The Rotax 914 UL delivers 86 kW continuous (115 hp takeoff) from a turbocharged, fuel-injected 1.2 litre four-cylinder, with a 2,000-hour time between overhauls and a global parts network. Two of them produce 172 kW installed. At the design point the aircraft draws 136.9 kW of shaft power at full treatment duty, loading each engine to 80 percent of continuous rating, and 128.2 kW in hover, 75 percent each. The turbochargers preserve this output to above 4,500 m density altitude, which covers every fire-prone plateau in western Canada. Both engines burn 91-octane mogas or 100LL avgas, available at every regional airport.</w:t>
      </w:r>
    </w:p>
    <w:p>
      <w:pPr>
        <w:pStyle w:val="Normal"/>
      </w:pPr>
      <w:r>
        <w:t xml:space="preserve">v1.1 adds a full engine condition monitoring system (review item 7): per-cylinder cylinder-head and exhaust-gas temperature channels on both engines, oil pressure and temperature trend logging, and a triaxial vibration sensor on each crankcase feeding bearing-wear spectral analysis. The ground station displays trend pages, and any channel crossing its amber band triggers a sortie-end recommendation; a red band commands immediate descent. This data stream also feeds the maintenance reserve model in Section 18.</w:t>
      </w:r>
    </w:p>
    <w:p>
      <w:pPr>
        <w:pStyle w:val="Heading2"/>
      </w:pPr>
      <w:r>
        <w:t xml:space="preserve">4.3 Generators, Bus, and Buffer Battery</w:t>
      </w:r>
    </w:p>
    <w:p>
      <w:pPr>
        <w:pStyle w:val="Normal"/>
      </w:pPr>
      <w:r>
        <w:t xml:space="preserve">Each 60 kW-class axial-flux generator weighs 20 kg with its active rectifier and sustains 50 kW continuous. The 400 V bus carries redundant contactors, pre-charge, and per-branch current monitoring. Eight Tattu Pro 12S 22Ah smart packs form a 7.8 kWh buffer battery (v1.1, doubled from v1.0 in response to review item 3) that absorbs throttle transients, smooths laser pulse loading, and carries the aircraft alone when both engines stop. The reserve buys 3.6 minutes at full hover power and over 5 minutes in the reduced-power descent profile the emergency logic actually flies: enough for a go-around after a rejected approach, a powered transit to a pre-surveyed landing zone, or a controlled descent from any point in the mission profile. Treatment operations at 4 m AGL make this reserve generous; transit operations lean on it hardest, and the landing-zone finder of Section 8 exists precisely to spend it well.</w:t>
      </w:r>
    </w:p>
    <w:p>
      <w:pPr>
        <w:pStyle w:val="Heading2"/>
      </w:pPr>
      <w:r>
        <w:t xml:space="preserve">4.4 Fuel System with Jettison</w:t>
      </w:r>
    </w:p>
    <w:p>
      <w:pPr>
        <w:pStyle w:val="Normal"/>
      </w:pPr>
      <w:r>
        <w:t xml:space="preserve">Two 170 L tanks sit low on the centre frame either side of the spine, each with its own pump, filter, capacitive quantity probe, and crossfeed valve, feeding either engine from either tank. Full ER load is 333 L (240 kg). The fuel system burns both tanks in balanced schedule to halve the centre-of-gravity shift, and the quantity probes plus fuel-flow telemetry feed the endurance estimator: the ground station displays remaining fuel in kilograms, time to exhaustion at current power, and fuel required to return with reserve, as one continuous time-to-Bingo readout.</w:t>
      </w:r>
    </w:p>
    <w:p>
      <w:pPr>
        <w:pStyle w:val="Normal"/>
      </w:pPr>
      <w:r>
        <w:t xml:space="preserve">v1.1 adds a fuel jettison system (review item 6): gravity dump valves on each tank shed up to 200 L in under two minutes. The operations manual restricts dumping to altitudes above 50 m AGL, clear of the treatment corridor, personnel, and any fire edge, so the vapour disperses before reaching an ignition source. The system exists for one scenario: an impending forced landing, where landing 100 kg lighter at a fraction of the fuel load cuts both impact energy and post-crash fire risk dramatically. The frangible tank design remains as the passive backstop.</w:t>
      </w:r>
    </w:p>
    <w:p>
      <w:pPr>
        <w:pStyle w:val="Heading1"/>
      </w:pPr>
      <w:r>
        <w:t xml:space="preserve">5. Laser Carbonization Array</w:t>
      </w:r>
    </w:p>
    <w:p>
      <w:pPr>
        <w:pStyle w:val="Heading2"/>
      </w:pPr>
      <w:r>
        <w:t xml:space="preserve">5.1 Sources and Optics</w:t>
      </w:r>
    </w:p>
    <w:p>
      <w:pPr>
        <w:pStyle w:val="Normal"/>
      </w:pPr>
      <w:r>
        <w:t xml:space="preserve">Two Raycus RFL-C2000S continuous-wave fibre lasers (2 kW each, 1080 nm, 18 kg each) mount inside the belly pod on elastomeric vibration-isolation cradles inside a sealed, temperature-conditioned enclosure. Review item 2 challenged the use of industrial sources on a vibrating airborne platform, and the design answers in two parts. First, no aerospace-qualified 2 kW fibre laser exists as a procurable catalogue item at defensible mass and cost: military airborne laser hardware is custom defense procurement an order of magnitude heavier and dearer, and Section 20 documents that analysis. Second, the program therefore qualifies the compact industrial source for this environment: the pod passes random-vibration and thermal-cycling profiles drawn from MIL-STD-810H helicopter categories in Phase 5 testing, the isolation cradles attenuate engine-frequency content by design, dual sources provide graceful degradation, and a complete spare source with optics rides in the field kit (review item 25). A vendor qualification program for a fully hardened source enters the production-phase plan as a documented upgrade path.</w:t>
      </w:r>
    </w:p>
    <w:p>
      <w:pPr>
        <w:pStyle w:val="Normal"/>
      </w:pPr>
      <w:r>
        <w:t xml:space="preserve">Each source feeds its treatment head through a 20 m armoured QBH delivery fibre. v1.1 moves the optics to a 500 mm focal-length class (review item 9) matched to the raised 3.5 to 4.5 m treatment standoff: each head's collimator and cylindrical top-hat array forms the same 0.7 m by 0.2 m line footprint as v1.0, now at 4.0 m nominal standoff. The two footprints run staggered: the lead head treats one belt, the trail head covers the adjacent belt offset by one patch depth, so the pair lays a 1.75 m corridor whose belts verify and backstop one another. The taller standoff halves the downwash velocity reaching the fuel bed compared to v1.0's 3 m geometry, compounding the 14 percent induced-velocity reduction from the 72-inch rotors, and doubles the abort reaction distance against flare-ups. A pre-flight alignment check (review item 24) fires each head at low power onto a calibrated ground target before every sortie; the FLIR confirms footprint geometry and the sortie proceeds only on a pass.</w:t>
      </w:r>
    </w:p>
    <w:p>
      <w:pPr>
        <w:pStyle w:val="Heading2"/>
      </w:pPr>
      <w:r>
        <w:t xml:space="preserve">5.2 Three-Axis Gimbal and Quick-Disconnect Pod</w:t>
      </w:r>
    </w:p>
    <w:p>
      <w:pPr>
        <w:pStyle w:val="Normal"/>
      </w:pPr>
      <w:r>
        <w:t xml:space="preserve">v1.1 replaces the two-axis gimbal with a three-axis unit (review item 5): unrestricted 360-degree azimuth rotation plus pitch and roll stabilization with tilt hard-stopped at 20 degrees off nadir. Azimuth freedom lets the aircraft hold a wind-efficient heading or fly a straight transect while the pod rotates to track a curving corridor; the tilt stop preserves the absolute beam-safety envelope, since the beam cone stays beneath the aircraft regardless of azimuth. Slip-ring azimuth joints carry power and fibre with unlimited rotation.</w:t>
      </w:r>
    </w:p>
    <w:p>
      <w:pPr>
        <w:pStyle w:val="Normal"/>
      </w:pPr>
      <w:r>
        <w:t xml:space="preserve">The pod attaches through tool-less quick-disconnect latches with blind-mate electrical connectors and self-sealing fluid couplings (review item 12): a two-person crew swaps pods in under ten minutes in the field, enabling a maintenance-pod rotation, rapid configuration changes, and depot-level diagnostics without aircraft downtime. The emergency jettison function rides on the same latches with an independent release actuator; jettisoning restores roughly 90 kg of thrust margin. The pod's lower skin is ablative carbon phenolic over a mineral-fibre liner, protecting sources and optics from their own plume and from ground radiant heat.</w:t>
      </w:r>
    </w:p>
    <w:p>
      <w:pPr>
        <w:pStyle w:val="Heading2"/>
      </w:pPr>
      <w:r>
        <w:t xml:space="preserve">5.3 What Stays on the Ground</w:t>
      </w:r>
    </w:p>
    <w:p>
      <w:pPr>
        <w:pStyle w:val="Normal"/>
      </w:pPr>
      <w:r>
        <w:t xml:space="preserve">The Rugged v1.2 variant's 6 kW source and scanning head do not fit this airframe. v1.1 restores airborne moisture awareness in a lighter form: a five-band multispectral camera (review item 16) maps fuel moisture indices across the corridor ahead of treatment, calibrated by the retained ground-crew spot checks, and the dose controller adjusts dwell per patch against the resulting map. The treatment planner still assigns the E6 to dry fuel windows; the camera refines dose inside them.</w:t>
      </w:r>
    </w:p>
    <w:p>
      <w:pPr>
        <w:pStyle w:val="Heading1"/>
      </w:pPr>
      <w:r>
        <w:t xml:space="preserve">6. Thermal Management</w:t>
      </w:r>
    </w:p>
    <w:p>
      <w:pPr>
        <w:pStyle w:val="Normal"/>
      </w:pPr>
      <w:r>
        <w:t xml:space="preserve">The two laser sources reject roughly 4.2 kW of heat at full treatment duty. A compact liquid loop circulates a glycol-water mix through the sources' cold plates and a plate heat exchanger mounted in a ram-air duct on the pod's spine. Rotor downwash supplies the airflow at hover, and forward flight supplies it in transit, so the exchanger needs no dedicated fan in normal operation; a small ducted fan covers the ground-idle case, fed from the ground power unit during pre-flight so the main engines stay off until launch (review item 13, implemented as a ground cart rather than an onboard APU to avoid carrying dead weight in flight). The loop holds source coolant at 22 to 28 degrees C up to 35 degrees C ambient, above which the treatment scheduler derates laser duty cycle in 10 percent steps and the endurance model credits the reduced electrical load. Engine cooling follows standard Rotax practice with cowled radiators fed from the downwash.</w:t>
      </w:r>
    </w:p>
    <w:p>
      <w:pPr>
        <w:pStyle w:val="Normal"/>
      </w:pPr>
      <w:r>
        <w:t xml:space="preserve">v1.1 adds a purge-air system over every optical window (review item 17): filtered positive-pressure air curtains across the beam exits, spectrometer fore-optics, and camera windows keep dust, ash, and downwash-lofted debris off the glass. This replaces the review's suggested aerodynamic ducting or skirt, which analysis rejects: ducting eight rotors adds prohibitive mass, and a skirt interacts dangerously with ground effect at 4 m standoff. The pod's thermal shielding keeps plume heat and ground radiant heat below 60 degrees C at the sources' inlet faces, verified in Phase 4 testing against controlled burns.</w:t>
      </w:r>
    </w:p>
    <w:p>
      <w:pPr>
        <w:pStyle w:val="Heading1"/>
      </w:pPr>
      <w:r>
        <w:t xml:space="preserve">7. Sensing and Perception</w:t>
      </w:r>
    </w:p>
    <w:tbl>
      <w:tblPr>
        <w:tblW w:w="9016" w:type="dxa"/>
        <w:tblBorders>
          <w:top w:val="single" w:color="7B3F24" w:sz="12"/>
          <w:left w:val="nil"/>
          <w:bottom w:val="single" w:color="7B3F24" w:sz="12"/>
          <w:right w:val="nil"/>
          <w:insideH w:val="single" w:color="D9C9BC" w:sz="2"/>
          <w:insideV w:val="nil"/>
        </w:tblBorders>
      </w:tblPr>
      <w:tblGrid>
        <w:gridCol w:w="2500"/>
        <w:gridCol w:w="3000"/>
        <w:gridCol w:w="3516"/>
      </w:tblGrid>
      <w:tr>
        <w:trPr>
          <w:tblHeader/>
        </w:trPr>
        <w:tc>
          <w:tcPr>
            <w:tcW w:w="2500" w:type="dxa"/>
            <w:shd w:val="clear" w:fill="7B3F24"/>
            <w:tcMar>
              <w:top w:w="60" w:type="dxa"/>
              <w:left w:w="100" w:type="dxa"/>
              <w:bottom w:w="60" w:type="dxa"/>
              <w:right w:w="100" w:type="dxa"/>
            </w:tcMar>
          </w:tcPr>
          <w:p>
            <w:pPr>
              <w:spacing w:after="0" w:line="240" w:lineRule="auto"/>
            </w:pPr>
            <w:r>
              <w:rPr>
                <w:b/>
                <w:color w:val="FFFFFF"/>
                <w:sz w:val="17"/>
              </w:rPr>
              <w:t xml:space="preserve">Sensor</w:t>
            </w:r>
          </w:p>
        </w:tc>
        <w:tc>
          <w:tcPr>
            <w:tcW w:w="3000" w:type="dxa"/>
            <w:shd w:val="clear" w:fill="7B3F24"/>
            <w:tcMar>
              <w:top w:w="60" w:type="dxa"/>
              <w:left w:w="100" w:type="dxa"/>
              <w:bottom w:w="60" w:type="dxa"/>
              <w:right w:w="100" w:type="dxa"/>
            </w:tcMar>
          </w:tcPr>
          <w:p>
            <w:pPr>
              <w:spacing w:after="0" w:line="240" w:lineRule="auto"/>
            </w:pPr>
            <w:r>
              <w:rPr>
                <w:b/>
                <w:color w:val="FFFFFF"/>
                <w:sz w:val="17"/>
              </w:rPr>
              <w:t xml:space="preserve">Model / class</w:t>
            </w:r>
          </w:p>
        </w:tc>
        <w:tc>
          <w:tcPr>
            <w:tcW w:w="3516" w:type="dxa"/>
            <w:shd w:val="clear" w:fill="7B3F24"/>
            <w:tcMar>
              <w:top w:w="60" w:type="dxa"/>
              <w:left w:w="100" w:type="dxa"/>
              <w:bottom w:w="60" w:type="dxa"/>
              <w:right w:w="100" w:type="dxa"/>
            </w:tcMar>
          </w:tcPr>
          <w:p>
            <w:pPr>
              <w:spacing w:after="0" w:line="240" w:lineRule="auto"/>
            </w:pPr>
            <w:r>
              <w:rPr>
                <w:b/>
                <w:color w:val="FFFFFF"/>
                <w:sz w:val="17"/>
              </w:rPr>
              <w:t xml:space="preserve">Role</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Thermal cameras (x2)</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FLIR A70, 640 x 512 radiometric</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Lead unit watches the treatment footprints in real time; trail unit images treated belts 10 to 20 s after exposure for cooling-curve verification (Layer 2); both feed hotspot fire detection (item 14)</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OES spectrometer</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Avantes AvaSpec-ULS2048CL-EVO</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Closed-loop pyrolysis control: CO/CO2 ratio, C2 Swan bands, H-alpha abort (Layer 1 supervisor)</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Flame detectors (x2)</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Honeywell FS24X triple-IR plus FS20X UV/dual-IR</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Dissimilar redundant flame abort channels, sub-100 ms (item 8); independent power and signal paths</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3D lidar</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Ouster OS0 ultra-wide</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Terrain profile ahead of aircraft, terrain following fused with radar altimeter (item 10), canopy and snag avoidance, landing-zone clearing detection (item 4)</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Radar altimeter</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Nanoradar / LightWare class</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AGL hold fused with lidar profile; radar alone no longer trusted over canopy</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Multispectral camera</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MicaSense-class five-band</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Fuel moisture index mapping ahead of treatment; per-patch dose adjustment (item 16)</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Anemometer</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Gill WindSonic-class ultrasonic, 3-axis</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Continuous wind speed and direction; automatic treatment pause above 8 m/s; wind-aware gimbal scheduling (item 20)</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RTK GNSS</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Emlid Reach RS2+ rover, with ground base</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Centimetre corridor georeferencing, eco-strip routing</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Depth camera</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Intel RealSense D455, downward</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Landing-site assessment, ground texture for visual odometry backup</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Weather station (ground)</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Campbell Scientific compact</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Wind, RH, temperature; fuel-moisture inference and go/no-go</w:t>
            </w:r>
          </w:p>
        </w:tc>
      </w:tr>
    </w:tbl>
    <w:p>
      <w:pPr>
        <w:spacing w:after="80"/>
      </w:pPr>
    </w:p>
    <w:p>
      <w:pPr>
        <w:pStyle w:val="Caption"/>
      </w:pPr>
      <w:r>
        <w:t xml:space="preserve">Table 5: Sensor suite, v1.1. New entries respond to review items 4, 8, 10, 14, 16, and 20. Sensor mass total 9 kg within the 85 kg pod budget.</w:t>
      </w:r>
    </w:p>
    <w:p>
      <w:pPr>
        <w:pStyle w:val="Heading1"/>
      </w:pPr>
      <w:r>
        <w:t xml:space="preserve">8. Compute and Control</w:t>
      </w:r>
    </w:p>
    <w:p>
      <w:pPr>
        <w:pStyle w:val="Normal"/>
      </w:pPr>
      <w:r>
        <w:t xml:space="preserve">Three computers divide the work by criticality. A CubePilot Cube Orange+ flight controller owns aircraft attitude, position, and emergency logic, running ArduPilot with the octocopter motor-out patch and the ballistic-parachute trigger. An NVIDIA Jetson Orin NX (100 TOPS) runs the treatment supervisor: footprint tracking on the FLIR feed, OES spectral reduction, dose accounting per georeferenced patch, and corridor progress mapping. A Beckhoff CX9020 embedded PLC owns the hard real-time laser interlocks on EtherCAT: source enable, shutter control, gimbal tilt limits, altitude envelope, link-loss beam cut, and the dual flame-detector abort path. The interlock chain is hard-wired logic, not software policy; no single software fault enables the beam. All three computers timestamp against the RTK receiver's pulse-per-second so every spectral frame, thermal frame, and aircraft state shares one clock.</w:t>
      </w:r>
    </w:p>
    <w:p>
      <w:pPr>
        <w:pStyle w:val="Heading2"/>
      </w:pPr>
      <w:r>
        <w:t xml:space="preserve">8.1 Landing-Zone Finder (review item 4)</w:t>
      </w:r>
    </w:p>
    <w:p>
      <w:pPr>
        <w:pStyle w:val="Normal"/>
      </w:pPr>
      <w:r>
        <w:t xml:space="preserve">Forest emergencies leave no time for a human to scout a landing site, so v1.1 automates it three ways. A pre-surveyed landing-zone database rides onboard, built during corridor planning from orthophotos and lidar-derived clearing maps, with at least two rated zones inside buffer-battery range of every point on every route. In flight, the Ouster lidar continuously classifies the terrain below and ahead for clearing candidates: flat, unobstructed, slope under 8 degrees. A machine-learning classifier on the Jetson fuses lidar geometry with the depth-camera texture to grade each candidate. On any emergency descent command, the flight controller steers to the best graded zone inside energy range and the ground station sees the selection live.</w:t>
      </w:r>
    </w:p>
    <w:p>
      <w:pPr>
        <w:pStyle w:val="Heading2"/>
      </w:pPr>
      <w:r>
        <w:t xml:space="preserve">8.2 Fire Detection, Thermal Library, and Fleet Coordination</w:t>
      </w:r>
    </w:p>
    <w:p>
      <w:pPr>
        <w:pStyle w:val="Normal"/>
      </w:pPr>
      <w:r>
        <w:t xml:space="preserve">The FLIR pair now works a second job (review item 14): a hotspot detection layer scans ahead of the treatment corridor and flags thermal anomalies against the ambient background, georeferencing each for the ground station. The aircraft detects fires while it treats against them, at zero added mass.</w:t>
      </w:r>
    </w:p>
    <w:p>
      <w:pPr>
        <w:pStyle w:val="Normal"/>
      </w:pPr>
      <w:r>
        <w:t xml:space="preserve">Cooling-curve verification gains its missing objective criteria (review item 15): Phase 0 and Phase 4 testing build a thermal signature library of post-treatment cooling curves per fuel type and moisture class, with numeric pass/fail bands. The Layer 2 verifier scores every treated belt against the library automatically; a belt outside its band queues for retreatment, and the corridor log records the score per patch.</w:t>
      </w:r>
    </w:p>
    <w:p>
      <w:pPr>
        <w:pStyle w:val="Normal"/>
      </w:pPr>
      <w:r>
        <w:t xml:space="preserve">Fleet operations gain a coordination layer (review item 22): E6 units share position, fuel state, treatment progress, and corridor-boundary status over the mesh-capable primary radio, with automated deconfliction and corridor handoff at boundaries. One ground station supervises up to four aircraft on adjacent corridors.</w:t>
      </w:r>
    </w:p>
    <w:p>
      <w:pPr>
        <w:pStyle w:val="Heading2"/>
      </w:pPr>
      <w:r>
        <w:t xml:space="preserve">8.3 Black Box and Audit Trail (review items 21 and 23)</w:t>
      </w:r>
    </w:p>
    <w:p>
      <w:pPr>
        <w:pStyle w:val="Normal"/>
      </w:pPr>
      <w:r>
        <w:t xml:space="preserve">A crash-survivable recorder logs every flight parameter plus the complete laser audit trail: duty cycle, power level, and dwell per patch, every OES abort event with its spectral context, every interlock trip, and every georeferenced belt score. Telemetry records locally at full rate and forwards over any available link (store-and-forward), so deep-backcountry operations lose no data to link gaps. The laser interlock still requires a healthy link: recording autonomy never relaxes beam discipline. Fully autonomous missions without any link enter service only after the certification evidence base matures, tracked as a Phase 2 regulatory item.</w:t>
      </w:r>
    </w:p>
    <w:p>
      <w:pPr>
        <w:pStyle w:val="Heading1"/>
      </w:pPr>
      <w:r>
        <w:t xml:space="preserve">9. Treatment Logic and the Dose-Energy Budget</w:t>
      </w:r>
    </w:p>
    <w:p>
      <w:pPr>
        <w:pStyle w:val="Heading2"/>
      </w:pPr>
      <w:r>
        <w:t xml:space="preserve">9.1 Step-and-Hover Cycle</w:t>
      </w:r>
    </w:p>
    <w:p>
      <w:pPr>
        <w:pStyle w:val="Normal"/>
      </w:pPr>
      <w:r>
        <w:t xml:space="preserve">The E6 treats in a step-and-hover rhythm. The aircraft holds station over a patch pair for the computed dwell, then translates 0.2 m in about 2 seconds and holds again. The three-axis gimbal keeps both footprints registered on their patches through hover micro-motion and crosswind crab angles. Optical emission spectroscopy closes the loop on every patch: the supervisor watches the CO/CO2 ratio and C2 Swan bands, trims pulse duty between 35 and 50 percent to hold the pyrolysis window, and aborts the patch on H-alpha flare, which signals flaming combustion. The trail FLIR images each belt 10 to 20 seconds post-exposure and scores the cooling curve against the thermal signature library; a failing belt queues for a second pass. The anemometer pauses treatment automatically above 8 m/s and the planner resumes when gusts settle.</w:t>
      </w:r>
    </w:p>
    <w:p>
      <w:pPr>
        <w:pStyle w:val="Heading2"/>
      </w:pPr>
      <w:r>
        <w:t xml:space="preserve">9.2 The Honest Dose Budget</w:t>
      </w:r>
    </w:p>
    <w:p>
      <w:pPr>
        <w:pStyle w:val="Normal"/>
      </w:pPr>
      <w:r>
        <w:t xml:space="preserve">Laser treatment obeys one inviolable accounting rule: average optical power per unit area, multiplied by dwell time, equals delivered dose. Each 2 kW source at 45 percent pulse duty delivers 0.9 kW average into its 0.1 m2 active footprint, an effective irradiance of 9 kW/m2. Design dose for full carbonization of representative fine fuels stands at 1.0 MJ/m2, so the dwell is dose divided by irradiance: 111 seconds. Lower fuel loads accept proportionally lower doses.</w:t>
      </w:r>
    </w:p>
    <w:tbl>
      <w:tblPr>
        <w:tblW w:w="9016" w:type="dxa"/>
        <w:tblBorders>
          <w:top w:val="single" w:color="7B3F24" w:sz="12"/>
          <w:left w:val="nil"/>
          <w:bottom w:val="single" w:color="7B3F24" w:sz="12"/>
          <w:right w:val="nil"/>
          <w:insideH w:val="single" w:color="D9C9BC" w:sz="2"/>
          <w:insideV w:val="nil"/>
        </w:tblBorders>
      </w:tblPr>
      <w:tblGrid>
        <w:gridCol w:w="1700"/>
        <w:gridCol w:w="1500"/>
        <w:gridCol w:w="1500"/>
        <w:gridCol w:w="1900"/>
        <w:gridCol w:w="2416"/>
      </w:tblGrid>
      <w:tr>
        <w:trPr>
          <w:tblHeader/>
        </w:trPr>
        <w:tc>
          <w:tcPr>
            <w:tcW w:w="1700" w:type="dxa"/>
            <w:shd w:val="clear" w:fill="7B3F24"/>
            <w:tcMar>
              <w:top w:w="60" w:type="dxa"/>
              <w:left w:w="100" w:type="dxa"/>
              <w:bottom w:w="60" w:type="dxa"/>
              <w:right w:w="100" w:type="dxa"/>
            </w:tcMar>
          </w:tcPr>
          <w:p>
            <w:pPr>
              <w:spacing w:after="0" w:line="240" w:lineRule="auto"/>
            </w:pPr>
            <w:r>
              <w:rPr>
                <w:b/>
                <w:color w:val="FFFFFF"/>
                <w:sz w:val="18"/>
              </w:rPr>
              <w:t xml:space="preserve">Design dose</w:t>
            </w:r>
          </w:p>
        </w:tc>
        <w:tc>
          <w:tcPr>
            <w:tcW w:w="1500" w:type="dxa"/>
            <w:shd w:val="clear" w:fill="7B3F24"/>
            <w:tcMar>
              <w:top w:w="60" w:type="dxa"/>
              <w:left w:w="100" w:type="dxa"/>
              <w:bottom w:w="60" w:type="dxa"/>
              <w:right w:w="100" w:type="dxa"/>
            </w:tcMar>
          </w:tcPr>
          <w:p>
            <w:pPr>
              <w:spacing w:after="0" w:line="240" w:lineRule="auto"/>
            </w:pPr>
            <w:r>
              <w:rPr>
                <w:b/>
                <w:color w:val="FFFFFF"/>
                <w:sz w:val="18"/>
              </w:rPr>
              <w:t xml:space="preserve">Dwell per patch</w:t>
            </w:r>
          </w:p>
        </w:tc>
        <w:tc>
          <w:tcPr>
            <w:tcW w:w="1500" w:type="dxa"/>
            <w:shd w:val="clear" w:fill="7B3F24"/>
            <w:tcMar>
              <w:top w:w="60" w:type="dxa"/>
              <w:left w:w="100" w:type="dxa"/>
              <w:bottom w:w="60" w:type="dxa"/>
              <w:right w:w="100" w:type="dxa"/>
            </w:tcMar>
          </w:tcPr>
          <w:p>
            <w:pPr>
              <w:spacing w:after="0" w:line="240" w:lineRule="auto"/>
            </w:pPr>
            <w:r>
              <w:rPr>
                <w:b/>
                <w:color w:val="FFFFFF"/>
                <w:sz w:val="18"/>
              </w:rPr>
              <w:t xml:space="preserve">Cycle (dwell + 2 s move)</w:t>
            </w:r>
          </w:p>
        </w:tc>
        <w:tc>
          <w:tcPr>
            <w:tcW w:w="1900" w:type="dxa"/>
            <w:shd w:val="clear" w:fill="7B3F24"/>
            <w:tcMar>
              <w:top w:w="60" w:type="dxa"/>
              <w:left w:w="100" w:type="dxa"/>
              <w:bottom w:w="60" w:type="dxa"/>
              <w:right w:w="100" w:type="dxa"/>
            </w:tcMar>
          </w:tcPr>
          <w:p>
            <w:pPr>
              <w:spacing w:after="0" w:line="240" w:lineRule="auto"/>
            </w:pPr>
            <w:r>
              <w:rPr>
                <w:b/>
                <w:color w:val="FFFFFF"/>
                <w:sz w:val="18"/>
              </w:rPr>
              <w:t xml:space="preserve">Advance rate</w:t>
            </w:r>
          </w:p>
        </w:tc>
        <w:tc>
          <w:tcPr>
            <w:tcW w:w="2416" w:type="dxa"/>
            <w:shd w:val="clear" w:fill="7B3F24"/>
            <w:tcMar>
              <w:top w:w="60" w:type="dxa"/>
              <w:left w:w="100" w:type="dxa"/>
              <w:bottom w:w="60" w:type="dxa"/>
              <w:right w:w="100" w:type="dxa"/>
            </w:tcMar>
          </w:tcPr>
          <w:p>
            <w:pPr>
              <w:spacing w:after="0" w:line="240" w:lineRule="auto"/>
            </w:pPr>
            <w:r>
              <w:rPr>
                <w:b/>
                <w:color w:val="FFFFFF"/>
                <w:sz w:val="18"/>
              </w:rPr>
              <w:t xml:space="preserve">Corridor per 5.6 h sortie</w:t>
            </w:r>
          </w:p>
        </w:tc>
      </w:tr>
      <w:tr>
        <w:tc>
          <w:tcPr>
            <w:tcW w:w="1700" w:type="dxa"/>
            <w:shd w:val="clear" w:fill="FFFFFF"/>
            <w:tcMar>
              <w:top w:w="60" w:type="dxa"/>
              <w:left w:w="100" w:type="dxa"/>
              <w:bottom w:w="60" w:type="dxa"/>
              <w:right w:w="100" w:type="dxa"/>
            </w:tcMar>
          </w:tcPr>
          <w:p>
            <w:pPr>
              <w:spacing w:after="0" w:line="240" w:lineRule="auto"/>
            </w:pPr>
            <w:r>
              <w:rPr>
                <w:b/>
                <w:color w:val="3A2E28"/>
                <w:sz w:val="18"/>
              </w:rPr>
              <w:t xml:space="preserve">0.25 MJ/m2 (sparse dry grass)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28 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30 s</w:t>
            </w:r>
          </w:p>
        </w:tc>
        <w:tc>
          <w:tcPr>
            <w:tcW w:w="1900" w:type="dxa"/>
            <w:shd w:val="clear" w:fill="FFFFFF"/>
            <w:tcMar>
              <w:top w:w="60" w:type="dxa"/>
              <w:left w:w="100" w:type="dxa"/>
              <w:bottom w:w="60" w:type="dxa"/>
              <w:right w:w="100" w:type="dxa"/>
            </w:tcMar>
          </w:tcPr>
          <w:p>
            <w:pPr>
              <w:spacing w:after="0" w:line="240" w:lineRule="auto"/>
            </w:pPr>
            <w:r>
              <w:rPr>
                <w:color w:val="3A2E28"/>
                <w:sz w:val="18"/>
              </w:rPr>
              <w:t xml:space="preserve">24.2 m/h</w:t>
            </w:r>
          </w:p>
        </w:tc>
        <w:tc>
          <w:tcPr>
            <w:tcW w:w="2416" w:type="dxa"/>
            <w:shd w:val="clear" w:fill="FFFFFF"/>
            <w:tcMar>
              <w:top w:w="60" w:type="dxa"/>
              <w:left w:w="100" w:type="dxa"/>
              <w:bottom w:w="60" w:type="dxa"/>
              <w:right w:w="100" w:type="dxa"/>
            </w:tcMar>
          </w:tcPr>
          <w:p>
            <w:pPr>
              <w:spacing w:after="0" w:line="240" w:lineRule="auto"/>
            </w:pPr>
            <w:r>
              <w:rPr>
                <w:color w:val="3A2E28"/>
                <w:sz w:val="18"/>
              </w:rPr>
              <w:t xml:space="preserve">136 m</w:t>
            </w:r>
          </w:p>
        </w:tc>
      </w:tr>
      <w:tr>
        <w:tc>
          <w:tcPr>
            <w:tcW w:w="1700" w:type="dxa"/>
            <w:shd w:val="clear" w:fill="FFFFFF"/>
            <w:tcMar>
              <w:top w:w="60" w:type="dxa"/>
              <w:left w:w="100" w:type="dxa"/>
              <w:bottom w:w="60" w:type="dxa"/>
              <w:right w:w="100" w:type="dxa"/>
            </w:tcMar>
          </w:tcPr>
          <w:p>
            <w:pPr>
              <w:spacing w:after="0" w:line="240" w:lineRule="auto"/>
            </w:pPr>
            <w:r>
              <w:rPr>
                <w:b/>
                <w:color w:val="3A2E28"/>
                <w:sz w:val="18"/>
              </w:rPr>
              <w:t xml:space="preserve">0.50 MJ/m2 (light grass)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56 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58 s</w:t>
            </w:r>
          </w:p>
        </w:tc>
        <w:tc>
          <w:tcPr>
            <w:tcW w:w="1900" w:type="dxa"/>
            <w:shd w:val="clear" w:fill="FFFFFF"/>
            <w:tcMar>
              <w:top w:w="60" w:type="dxa"/>
              <w:left w:w="100" w:type="dxa"/>
              <w:bottom w:w="60" w:type="dxa"/>
              <w:right w:w="100" w:type="dxa"/>
            </w:tcMar>
          </w:tcPr>
          <w:p>
            <w:pPr>
              <w:spacing w:after="0" w:line="240" w:lineRule="auto"/>
            </w:pPr>
            <w:r>
              <w:rPr>
                <w:color w:val="3A2E28"/>
                <w:sz w:val="18"/>
              </w:rPr>
              <w:t xml:space="preserve">12.5 m/h</w:t>
            </w:r>
          </w:p>
        </w:tc>
        <w:tc>
          <w:tcPr>
            <w:tcW w:w="2416" w:type="dxa"/>
            <w:shd w:val="clear" w:fill="FFFFFF"/>
            <w:tcMar>
              <w:top w:w="60" w:type="dxa"/>
              <w:left w:w="100" w:type="dxa"/>
              <w:bottom w:w="60" w:type="dxa"/>
              <w:right w:w="100" w:type="dxa"/>
            </w:tcMar>
          </w:tcPr>
          <w:p>
            <w:pPr>
              <w:spacing w:after="0" w:line="240" w:lineRule="auto"/>
            </w:pPr>
            <w:r>
              <w:rPr>
                <w:color w:val="3A2E28"/>
                <w:sz w:val="18"/>
              </w:rPr>
              <w:t xml:space="preserve">70 m</w:t>
            </w:r>
          </w:p>
        </w:tc>
      </w:tr>
      <w:tr>
        <w:tc>
          <w:tcPr>
            <w:tcW w:w="1700" w:type="dxa"/>
            <w:shd w:val="clear" w:fill="FFFFFF"/>
            <w:tcMar>
              <w:top w:w="60" w:type="dxa"/>
              <w:left w:w="100" w:type="dxa"/>
              <w:bottom w:w="60" w:type="dxa"/>
              <w:right w:w="100" w:type="dxa"/>
            </w:tcMar>
          </w:tcPr>
          <w:p>
            <w:pPr>
              <w:spacing w:after="0" w:line="240" w:lineRule="auto"/>
            </w:pPr>
            <w:r>
              <w:rPr>
                <w:b/>
                <w:color w:val="3A2E28"/>
                <w:sz w:val="18"/>
              </w:rPr>
              <w:t xml:space="preserve">0.75 MJ/m2 (mixed grass and needles)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83 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85 s</w:t>
            </w:r>
          </w:p>
        </w:tc>
        <w:tc>
          <w:tcPr>
            <w:tcW w:w="1900" w:type="dxa"/>
            <w:shd w:val="clear" w:fill="FFFFFF"/>
            <w:tcMar>
              <w:top w:w="60" w:type="dxa"/>
              <w:left w:w="100" w:type="dxa"/>
              <w:bottom w:w="60" w:type="dxa"/>
              <w:right w:w="100" w:type="dxa"/>
            </w:tcMar>
          </w:tcPr>
          <w:p>
            <w:pPr>
              <w:spacing w:after="0" w:line="240" w:lineRule="auto"/>
            </w:pPr>
            <w:r>
              <w:rPr>
                <w:color w:val="3A2E28"/>
                <w:sz w:val="18"/>
              </w:rPr>
              <w:t xml:space="preserve">8.4 m/h</w:t>
            </w:r>
          </w:p>
        </w:tc>
        <w:tc>
          <w:tcPr>
            <w:tcW w:w="2416" w:type="dxa"/>
            <w:shd w:val="clear" w:fill="FFFFFF"/>
            <w:tcMar>
              <w:top w:w="60" w:type="dxa"/>
              <w:left w:w="100" w:type="dxa"/>
              <w:bottom w:w="60" w:type="dxa"/>
              <w:right w:w="100" w:type="dxa"/>
            </w:tcMar>
          </w:tcPr>
          <w:p>
            <w:pPr>
              <w:spacing w:after="0" w:line="240" w:lineRule="auto"/>
            </w:pPr>
            <w:r>
              <w:rPr>
                <w:color w:val="3A2E28"/>
                <w:sz w:val="18"/>
              </w:rPr>
              <w:t xml:space="preserve">47 m</w:t>
            </w:r>
          </w:p>
        </w:tc>
      </w:tr>
      <w:tr>
        <w:tc>
          <w:tcPr>
            <w:tcW w:w="1700" w:type="dxa"/>
            <w:shd w:val="clear" w:fill="FFFFFF"/>
            <w:tcMar>
              <w:top w:w="60" w:type="dxa"/>
              <w:left w:w="100" w:type="dxa"/>
              <w:bottom w:w="60" w:type="dxa"/>
              <w:right w:w="100" w:type="dxa"/>
            </w:tcMar>
          </w:tcPr>
          <w:p>
            <w:pPr>
              <w:spacing w:after="0" w:line="240" w:lineRule="auto"/>
            </w:pPr>
            <w:r>
              <w:rPr>
                <w:b/>
                <w:color w:val="3A2E28"/>
                <w:sz w:val="18"/>
              </w:rPr>
              <w:t xml:space="preserve">1.00 MJ/m2 (design dose, dense fine fuels)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111 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113 s</w:t>
            </w:r>
          </w:p>
        </w:tc>
        <w:tc>
          <w:tcPr>
            <w:tcW w:w="1900" w:type="dxa"/>
            <w:shd w:val="clear" w:fill="FFFFFF"/>
            <w:tcMar>
              <w:top w:w="60" w:type="dxa"/>
              <w:left w:w="100" w:type="dxa"/>
              <w:bottom w:w="60" w:type="dxa"/>
              <w:right w:w="100" w:type="dxa"/>
            </w:tcMar>
          </w:tcPr>
          <w:p>
            <w:pPr>
              <w:spacing w:after="0" w:line="240" w:lineRule="auto"/>
            </w:pPr>
            <w:r>
              <w:rPr>
                <w:color w:val="3A2E28"/>
                <w:sz w:val="18"/>
              </w:rPr>
              <w:t xml:space="preserve">6.4 m/h</w:t>
            </w:r>
          </w:p>
        </w:tc>
        <w:tc>
          <w:tcPr>
            <w:tcW w:w="2416" w:type="dxa"/>
            <w:shd w:val="clear" w:fill="FFFFFF"/>
            <w:tcMar>
              <w:top w:w="60" w:type="dxa"/>
              <w:left w:w="100" w:type="dxa"/>
              <w:bottom w:w="60" w:type="dxa"/>
              <w:right w:w="100" w:type="dxa"/>
            </w:tcMar>
          </w:tcPr>
          <w:p>
            <w:pPr>
              <w:spacing w:after="0" w:line="240" w:lineRule="auto"/>
            </w:pPr>
            <w:r>
              <w:rPr>
                <w:color w:val="3A2E28"/>
                <w:sz w:val="18"/>
              </w:rPr>
              <w:t xml:space="preserve">36 m</w:t>
            </w:r>
          </w:p>
        </w:tc>
      </w:tr>
    </w:tbl>
    <w:p>
      <w:pPr>
        <w:spacing w:after="80"/>
      </w:pPr>
    </w:p>
    <w:p>
      <w:pPr>
        <w:pStyle w:val="Caption"/>
      </w:pPr>
      <w:r>
        <w:t xml:space="preserve">Table 6: Dose, dwell, and throughput, derived directly from average optical power. Corridor width 1.75 m, two staggered belts. On-station time rose to 5.6 h in v1.1 with the endurance gain.</w:t>
      </w:r>
    </w:p>
    <w:p>
      <w:pPr>
        <w:pStyle w:val="Normal"/>
      </w:pPr>
      <w:r>
        <w:t xml:space="preserve">A standard sortie budgets 5.6 hours on station: 6.4 hours of mission endurance minus transit and a protected fuel reserve. The E6 therefore delivers 36 to 136 m of corridor per sortie depending on fuel load class, in terrain where the alternative is a hand crew at similar or slower rates with far higher risk exposure.</w:t>
      </w:r>
    </w:p>
    <w:p>
      <w:pPr>
        <w:pStyle w:val="Heading2"/>
      </w:pPr>
      <w:r>
        <w:t xml:space="preserve">9.3 Correction to Earlier Program Throughput Tables</w:t>
      </w:r>
    </w:p>
    <w:p>
      <w:pPr>
        <w:pStyle w:val="Normal"/>
      </w:pPr>
      <w:r>
        <w:t xml:space="preserve">Building this budget from first principles surfaced an error that this document corrects on the record. The dwell and throughput tables in Rugged v1.1 and v1.2 imply effective irradiances that the arrays' average optical power does not deliver: the implied doses come up short by a factor of roughly four in the Mk I tables, roughly eleven in the v1.1 step-and-dwell tables, and by a much larger factor in the v1.2 stroboscopic tables, where each 500 ms burst deposits about 13.5 kJ/m2 per patch against the 1.0 MJ/m2 design dose. The treatment physics, safety interlocks, and carbonization thresholds in those documents remain valid; the rates at which the ground units deliver the design dose are slower than tabulated. Every variant's test plan already routes final dose figures through Phase 0 bench calibration with cone-calorimetry verification, and that calibration governs. Corrected ground-variant tables follow as a numbered update in the program's planned correction cycle.</w:t>
      </w:r>
    </w:p>
    <w:p>
      <w:pPr>
        <w:pStyle w:val="Heading2"/>
      </w:pPr>
      <w:r>
        <w:t xml:space="preserve">9.4 The Four-Laser Trade</w:t>
      </w:r>
    </w:p>
    <w:p>
      <w:pPr>
        <w:pStyle w:val="Normal"/>
      </w:pPr>
      <w:r>
        <w:t xml:space="preserve">Doubling the array to four sources (8 kW peak, 121 kg payload) halves dwell times and doubles throughput to 72 to 272 m per sortie, but the added 36 kg of sources plus 10 kg of cooling pushes MTOW past 790 kg and cuts standard-mission endurance to roughly 5.4 hours, or else demands 280 kg of fuel and an 830 kg aircraft that exceeds the twin Rotax 914's healthy continuous output. The E6 configuration chooses endurance and engine margin. A future variant with a 130 kW-class engine pair opens the four-laser door, and the bus, frame hardpoints, quick-disconnect pod interfaces, and pod geometry already reserve space for it.</w:t>
      </w:r>
    </w:p>
    <w:p>
      <w:pPr>
        <w:pStyle w:val="Heading1"/>
      </w:pPr>
      <w:r>
        <w:t xml:space="preserve">10. Communications and Ground Control</w:t>
      </w:r>
    </w:p>
    <w:p>
      <w:pPr>
        <w:pStyle w:val="Normal"/>
      </w:pPr>
      <w:r>
        <w:t xml:space="preserve">Three independent links serve the aircraft. The primary command and telemetry link is a Microhard pMDDL2350 encrypted radio at 2.3 GHz, mesh-capable for fleet coordination and line-of-sight rated well past visual range. A Starlink Mini terminal provides beyond-line-of-sight backhaul where terrain masks the primary link. A third, physically separate 900 MHz RC link carries nothing but the operator's kill and land commands. A crash-survivable black box records everything at full rate and forwards over whichever link is available, so telemetry survives both link gaps and, in the worst case, the aircraft itself (review items 21 and 23).</w:t>
      </w:r>
    </w:p>
    <w:p>
      <w:pPr>
        <w:pStyle w:val="Normal"/>
      </w:pPr>
      <w:r>
        <w:t xml:space="preserve">The ground control station is a Panasonic Toughbook 55 running QGroundControl plus the Contra Favillas treatment planner, which renders corridor progress, dose-per-patch maps, fuel-quantity and endurance readouts, engine-health trend pages, and flagged fire-detection hotspots. Link loss triggers an immediate beam cut from the Beckhoff interlock chain, a 30-second hover hold, then a return-to-launch along the recorded corridor; the aircraft never carries an enabled beam without a healthy link. A 28 V ground power cart (review item 13, implemented on the ground rather than onboard) powers laser pre-heating, cooling-loop checks, and alignment verification before engine start, so the Rotax pair runs only from launch to landing.</w:t>
      </w:r>
    </w:p>
    <w:p>
      <w:pPr>
        <w:pStyle w:val="Heading1"/>
      </w:pPr>
      <w:r>
        <w:t xml:space="preserve">11. Safety Architecture</w:t>
      </w:r>
    </w:p>
    <w:p>
      <w:pPr>
        <w:pStyle w:val="Normal"/>
      </w:pPr>
      <w:r>
        <w:t xml:space="preserve">The safety case divides into laser safety and flight safety, and the design treats their intersection, a Class 4 laser carried on an aircraft, as the governing hazard. v1.1 hardens both chains in response to the review.</w:t>
      </w:r>
    </w:p>
    <w:p>
      <w:pPr>
        <w:pStyle w:val="Heading2"/>
      </w:pPr>
      <w:r>
        <w:t xml:space="preserve">11.1 Laser Safety</w:t>
      </w:r>
    </w:p>
    <w:p>
      <w:pPr>
        <w:pStyle w:val="Normal"/>
        <w:numPr>
          <w:ilvl w:val="0"/>
          <w:numId w:val="1"/>
        </w:numPr>
      </w:pPr>
      <w:r>
        <w:t xml:space="preserve">Beam geometry: the gimbal hard-stops tilt at 20 degrees off nadir on every azimuth, so the beam physically reaches only the ground inside a small circle below the aircraft; the nominal hazard zone sits entirely within the treatment footprint area at ground level.</w:t>
      </w:r>
    </w:p>
    <w:p>
      <w:pPr>
        <w:pStyle w:val="Normal"/>
        <w:numPr>
          <w:ilvl w:val="0"/>
          <w:numId w:val="1"/>
        </w:numPr>
      </w:pPr>
      <w:r>
        <w:t xml:space="preserve">Altitude interlock: the Beckhoff chain enables the beam only between 2 and 6 m AGL on the fused lidar-radar altitude; outside that envelope the shutters close in hardware.</w:t>
      </w:r>
    </w:p>
    <w:p>
      <w:pPr>
        <w:pStyle w:val="Normal"/>
        <w:numPr>
          <w:ilvl w:val="0"/>
          <w:numId w:val="1"/>
        </w:numPr>
      </w:pPr>
      <w:r>
        <w:t xml:space="preserve">Attitude interlock: pitch or roll beyond 25 degrees cuts the beam in under 50 ms.</w:t>
      </w:r>
    </w:p>
    <w:p>
      <w:pPr>
        <w:pStyle w:val="Normal"/>
        <w:numPr>
          <w:ilvl w:val="0"/>
          <w:numId w:val="1"/>
        </w:numPr>
      </w:pPr>
      <w:r>
        <w:t xml:space="preserve">Link interlock: any degradation of all three command links cuts the beam immediately; the store-and-forward recorder changes nothing about beam discipline.</w:t>
      </w:r>
    </w:p>
    <w:p>
      <w:pPr>
        <w:pStyle w:val="Normal"/>
        <w:numPr>
          <w:ilvl w:val="0"/>
          <w:numId w:val="1"/>
        </w:numPr>
      </w:pPr>
      <w:r>
        <w:t xml:space="preserve">Wind interlock: the onboard anemometer pauses treatment above 8 m/s sustained and the beam stays off until winds settle (review item 20).</w:t>
      </w:r>
    </w:p>
    <w:p>
      <w:pPr>
        <w:pStyle w:val="Normal"/>
        <w:numPr>
          <w:ilvl w:val="0"/>
          <w:numId w:val="1"/>
        </w:numPr>
      </w:pPr>
      <w:r>
        <w:t xml:space="preserve">Exclusion: a 150 m ground exclusion radius applies during treatment, with OD7+ curtains screening the launch and recovery zone and OD7+ eyewear for all crew.</w:t>
      </w:r>
    </w:p>
    <w:p>
      <w:pPr>
        <w:pStyle w:val="Normal"/>
        <w:numPr>
          <w:ilvl w:val="0"/>
          <w:numId w:val="1"/>
        </w:numPr>
      </w:pPr>
      <w:r>
        <w:t xml:space="preserve">Alignment verification: each sortie begins with a low-power shot onto the calibrated ground target; a failed footprint check grounds the laser stack (review item 24).</w:t>
      </w:r>
    </w:p>
    <w:p>
      <w:pPr>
        <w:pStyle w:val="Normal"/>
        <w:numPr>
          <w:ilvl w:val="0"/>
          <w:numId w:val="1"/>
        </w:numPr>
      </w:pPr>
      <w:r>
        <w:t xml:space="preserve">Fire behavior: the dose controller holds treatment below the flaming threshold by design, two dissimilar flame detectors (triple-IR plus UV/dual-IR) abort any patch that flares within 100 ms (review item 8), and the trail FLIR scores cooling curves against the signature library on every belt before the corridor counts as treated.</w:t>
      </w:r>
    </w:p>
    <w:p>
      <w:pPr>
        <w:pStyle w:val="Heading2"/>
      </w:pPr>
      <w:r>
        <w:t xml:space="preserve">11.2 Flight Safety</w:t>
      </w:r>
    </w:p>
    <w:p>
      <w:pPr>
        <w:pStyle w:val="Normal"/>
        <w:numPr>
          <w:ilvl w:val="0"/>
          <w:numId w:val="1"/>
        </w:numPr>
      </w:pPr>
      <w:r>
        <w:t xml:space="preserve">Single engine out: the surviving engine-generator plus buffer battery sustain roughly 60 percent of hover demand; the aircraft executes an immediate powered descent, with the pod release available to restore full margin.</w:t>
      </w:r>
    </w:p>
    <w:p>
      <w:pPr>
        <w:pStyle w:val="Normal"/>
        <w:numPr>
          <w:ilvl w:val="0"/>
          <w:numId w:val="1"/>
        </w:numPr>
      </w:pPr>
      <w:r>
        <w:t xml:space="preserve">Both engines out: the 7.8 kWh buffer sustains 3.6 minutes at full hover power and over 5 minutes in the descent profile, steered to the best graded landing zone by the finder in Section 8.1 (review items 3 and 4); the ballistic parachute covers failures above 40 m AGL.</w:t>
      </w:r>
    </w:p>
    <w:p>
      <w:pPr>
        <w:pStyle w:val="Normal"/>
        <w:numPr>
          <w:ilvl w:val="0"/>
          <w:numId w:val="1"/>
        </w:numPr>
      </w:pPr>
      <w:r>
        <w:t xml:space="preserve">Motor or ESC out: the octocopter retains yaw and translation authority on seven stations at partial throttle and lands immediately.</w:t>
      </w:r>
    </w:p>
    <w:p>
      <w:pPr>
        <w:pStyle w:val="Normal"/>
        <w:numPr>
          <w:ilvl w:val="0"/>
          <w:numId w:val="1"/>
        </w:numPr>
      </w:pPr>
      <w:r>
        <w:t xml:space="preserve">Fuel jettison: ahead of any anticipated forced landing, gravity dump valves shed up to 200 L, cutting landing mass and post-crash fire load (review item 6).</w:t>
      </w:r>
    </w:p>
    <w:p>
      <w:pPr>
        <w:pStyle w:val="Normal"/>
        <w:numPr>
          <w:ilvl w:val="0"/>
          <w:numId w:val="1"/>
        </w:numPr>
      </w:pPr>
      <w:r>
        <w:t xml:space="preserve">Engine health: per-cylinder CHT/EGT, oil trends, and vibration spectra watch both engines continuously; amber bands end the sortie, red bands command descent (review item 7).</w:t>
      </w:r>
    </w:p>
    <w:p>
      <w:pPr>
        <w:pStyle w:val="Normal"/>
        <w:numPr>
          <w:ilvl w:val="0"/>
          <w:numId w:val="1"/>
        </w:numPr>
      </w:pPr>
      <w:r>
        <w:t xml:space="preserve">Downwash and embers: the 4 m standoff plus the 72-inch rotors' 14 percent lower induced velocity cut ground-level wash roughly in half against v1.0; the OES and dual flame-detector aborts address flare-ups, and the planner excludes patch-level winds above 8 m/s (review items 9 and 19).</w:t>
      </w:r>
    </w:p>
    <w:p>
      <w:pPr>
        <w:pStyle w:val="Normal"/>
        <w:numPr>
          <w:ilvl w:val="0"/>
          <w:numId w:val="1"/>
        </w:numPr>
      </w:pPr>
      <w:r>
        <w:t xml:space="preserve">Geofence: a hard geofence bounds every operation, with a maximum treatment altitude of 6 m AGL and transit corridors planned over pre-surveyed landing zones.</w:t>
      </w:r>
    </w:p>
    <w:p>
      <w:pPr>
        <w:pStyle w:val="Heading1"/>
      </w:pPr>
      <w:r>
        <w:t xml:space="preserve">12. Tethered Operations Option</w:t>
      </w:r>
    </w:p>
    <w:p>
      <w:pPr>
        <w:pStyle w:val="Normal"/>
      </w:pPr>
      <w:r>
        <w:t xml:space="preserve">For fixed-site work, a tether kit converts the E6 to unlimited endurance. The kit comprises a motorized reel with 120 m of high-voltage tether, a slip-ring pod interface, and a 30 kW ground generator set feeding the aircraft's bus through the tether at 800 V DC. Tethered, the aircraft treats continuously at full duty with no fuel burn and no endurance clock, at the cost of a 120 m operating radius. The kit suits linear fuel breaks along roads, powerline corridors, and helipad-adjacent sites where a ground station sits securely. The free-flight E6 remains the primary configuration; the tether kit prices separately in Section 13 as an option, not a dependency. Tethered operations also offer the gentlest regulatory entry point for early flight testing, since the aircraft never leaves a defined volume.</w:t>
      </w:r>
    </w:p>
    <w:p>
      <w:pPr>
        <w:pStyle w:val="Heading1"/>
      </w:pPr>
      <w:r>
        <w:t xml:space="preserve">13. Consolidated Bill of Materials</w:t>
      </w:r>
    </w:p>
    <w:p>
      <w:pPr>
        <w:pStyle w:val="Normal"/>
      </w:pPr>
      <w:r>
        <w:t xml:space="preserve">Every line names a real, procurable part or a clearly flagged budgetary class. Prices are Canadian dollars; Appendix A lists sourcing notes and exchange assumptions. Budgetary lines carry composite-shop or vendor-class estimates and carry the 15 percent program contingency. v1.1 additions and changed lines reflect the review dispositions recorded in Section 20.</w:t>
      </w:r>
    </w:p>
    <w:tbl>
      <w:tblPr>
        <w:tblW w:w="9016" w:type="dxa"/>
        <w:tblBorders>
          <w:top w:val="single" w:color="7B3F24" w:sz="12"/>
          <w:left w:val="nil"/>
          <w:bottom w:val="single" w:color="7B3F24" w:sz="12"/>
          <w:right w:val="nil"/>
          <w:insideH w:val="single" w:color="D9C9BC" w:sz="2"/>
          <w:insideV w:val="nil"/>
        </w:tblBorders>
      </w:tblPr>
      <w:tblGrid>
        <w:gridCol w:w="3600"/>
        <w:gridCol w:w="700"/>
        <w:gridCol w:w="1150"/>
        <w:gridCol w:w="1250"/>
        <w:gridCol w:w="2316"/>
      </w:tblGrid>
      <w:tr>
        <w:trPr>
          <w:tblHeader/>
        </w:trPr>
        <w:tc>
          <w:tcPr>
            <w:tcW w:w="3600" w:type="dxa"/>
            <w:shd w:val="clear" w:fill="7B3F24"/>
            <w:tcMar>
              <w:top w:w="60" w:type="dxa"/>
              <w:left w:w="100" w:type="dxa"/>
              <w:bottom w:w="60" w:type="dxa"/>
              <w:right w:w="100" w:type="dxa"/>
            </w:tcMar>
          </w:tcPr>
          <w:p>
            <w:pPr>
              <w:spacing w:after="0" w:line="240" w:lineRule="auto"/>
            </w:pPr>
            <w:r>
              <w:rPr>
                <w:b/>
                <w:color w:val="FFFFFF"/>
                <w:sz w:val="16"/>
              </w:rPr>
              <w:t xml:space="preserve">Part</w:t>
            </w:r>
          </w:p>
        </w:tc>
        <w:tc>
          <w:tcPr>
            <w:tcW w:w="700" w:type="dxa"/>
            <w:shd w:val="clear" w:fill="7B3F24"/>
            <w:tcMar>
              <w:top w:w="60" w:type="dxa"/>
              <w:left w:w="100" w:type="dxa"/>
              <w:bottom w:w="60" w:type="dxa"/>
              <w:right w:w="100" w:type="dxa"/>
            </w:tcMar>
          </w:tcPr>
          <w:p>
            <w:pPr>
              <w:spacing w:after="0" w:line="240" w:lineRule="auto"/>
            </w:pPr>
            <w:r>
              <w:rPr>
                <w:b/>
                <w:color w:val="FFFFFF"/>
                <w:sz w:val="16"/>
              </w:rPr>
              <w:t xml:space="preserve">Qty</w:t>
            </w:r>
          </w:p>
        </w:tc>
        <w:tc>
          <w:tcPr>
            <w:tcW w:w="1150" w:type="dxa"/>
            <w:shd w:val="clear" w:fill="7B3F24"/>
            <w:tcMar>
              <w:top w:w="60" w:type="dxa"/>
              <w:left w:w="100" w:type="dxa"/>
              <w:bottom w:w="60" w:type="dxa"/>
              <w:right w:w="100" w:type="dxa"/>
            </w:tcMar>
          </w:tcPr>
          <w:p>
            <w:pPr>
              <w:spacing w:after="0" w:line="240" w:lineRule="auto"/>
            </w:pPr>
            <w:r>
              <w:rPr>
                <w:b/>
                <w:color w:val="FFFFFF"/>
                <w:sz w:val="16"/>
              </w:rPr>
              <w:t xml:space="preserve">Unit CAD</w:t>
            </w:r>
          </w:p>
        </w:tc>
        <w:tc>
          <w:tcPr>
            <w:tcW w:w="1250" w:type="dxa"/>
            <w:shd w:val="clear" w:fill="7B3F24"/>
            <w:tcMar>
              <w:top w:w="60" w:type="dxa"/>
              <w:left w:w="100" w:type="dxa"/>
              <w:bottom w:w="60" w:type="dxa"/>
              <w:right w:w="100" w:type="dxa"/>
            </w:tcMar>
          </w:tcPr>
          <w:p>
            <w:pPr>
              <w:spacing w:after="0" w:line="240" w:lineRule="auto"/>
            </w:pPr>
            <w:r>
              <w:rPr>
                <w:b/>
                <w:color w:val="FFFFFF"/>
                <w:sz w:val="16"/>
              </w:rPr>
              <w:t xml:space="preserve">Total CAD</w:t>
            </w:r>
          </w:p>
        </w:tc>
        <w:tc>
          <w:tcPr>
            <w:tcW w:w="2316" w:type="dxa"/>
            <w:shd w:val="clear" w:fill="7B3F24"/>
            <w:tcMar>
              <w:top w:w="60" w:type="dxa"/>
              <w:left w:w="100" w:type="dxa"/>
              <w:bottom w:w="60" w:type="dxa"/>
              <w:right w:w="100" w:type="dxa"/>
            </w:tcMar>
          </w:tcPr>
          <w:p>
            <w:pPr>
              <w:spacing w:after="0" w:line="240" w:lineRule="auto"/>
            </w:pPr>
            <w:r>
              <w:rPr>
                <w:b/>
                <w:color w:val="FFFFFF"/>
                <w:sz w:val="16"/>
              </w:rPr>
              <w:t xml:space="preserve">Source</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Rotax 914 UL aircraft engine, 86 kW continuous, turbo EFI</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51,247</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102,494</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Rotech Motor Ltd., Vernon, BC (2026 CA list)</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Rotax HD tuned exhaust system</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3,209</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6,418</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Rotech Motor Ltd., Vernon, BC</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Axial-flux generator, 60 kW class, with active rectifier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17,000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Emrax-class via UAV integrators;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400 V HV DC bus panel: contactors, pre-charge, distribution</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6,500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Custom assembly, Gigavac/TE parts;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Heavy-lift outrunner motor, 35 kW high-torque class (72-inch)</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8</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4,400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35,200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MAD 72-inch class, MAD Components;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HV ESC, 400 V / 300 A</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8</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16,000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MAD / T-Motor Flame-class;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72-inch carbon folding propeller (8 fitted + 4 spares)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750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9,000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T-Motor / MAD 72-inch 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Carbon flat-octocopter frame, long folding arms, 7.1 m span</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31,000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31,000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Composite shop fabrication;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Tall-stance carbon landing gear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Composite fabrication;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Ballistic recovery parachute, 750 kg class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32,000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32,000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Mars Parachutes / AVSS heavy-UAV 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Cube Orange+ flight controller with Here3 RTK and power modules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CubePilot via Canadian resellers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Engine condition monitoring: per-cyl CHT/EGT, oil trends, vibration</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8,500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Kanardia / MGL class with vibration kit;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Tattu Pro 12S 22000 mAh smart LiPo (buffer battery)</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8</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9,600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GensTattu via Canadian UAV distributors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Battery management, contactors, balancing loom</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Fuel system: 2 x 170 L tanks, pumps, filters, plumbing</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8,500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Aircraft Spruce parts, custom bladders;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Fuel jettison dump valves and plumbing</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Aircraft Spruce / custom;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Capacitive fuel quantity probe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Aircraft Spruce / CiES 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Vibration isolation, fasteners, brackets, integration hardware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6,000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Raycus RFL-C2000S 2 kW CW fibre laser source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5,040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10,080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Raycus via Alibaba / Cloudray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QBH delivery fibre, 20 m armoured</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3,600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Raycus / OEOLabs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Collimator and cylindrical top-hat optics, 500 mm FL pair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1,100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Edmund Optics / Thorlabs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Three-axis gimbal (360 deg azimuth) with carbon belly rack, 30 kg rated</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21,000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21,000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Custom with slip-ring azimuth joints;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Tool-less quick-disconnect set: blind-mate electrical, self-sealing fluid</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Staubli / CPC-class fittings;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Liquid cooling loop: plate HX, ram-air duct, pump, 6 L, window purge air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6,200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Boyd / Lytron-class components;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FLIR A70 radiometric thermal camera core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10,400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20,800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Teledyne FLIR via Mouser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Avantes AvaSpec-ULS2048CL-EVO OES spectrometer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6,200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Avantes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Honeywell FS24X triple-IR flame detector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7,525</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7,525</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Honeywell via Anixter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Honeywell FS20X UV/dual-IR flame detector (dissimilar backup)</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6,000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Honeywell via Anixter Canada; budgetary CAD</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Ouster OS0 ultra-wide 3D lidar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8,200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Ouster via RobotShop; budgetary CAD</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Emlid Reach RS2+ RTK base and rover kit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8,400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8,400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Emlid</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Intel RealSense D455 depth camera</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700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700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Intel via Digi-Key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Radar altimeter, 0 to 100 m AGL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Nanoradar / LightWare 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Ultrasonic 3-axis anemometer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Gill WindSonic class; budgetary CAD</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Five-band multispectral camera (fuel moisture index)</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9,000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9,000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MicaSense RedEdge-class via AgEagle; budgetary CAD</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Campbell Scientific compact weather station</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1,100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1,100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Campbell Scientific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NVIDIA Jetson Orin NX 16 GB kit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NVIDIA distributors (Firefly kit)</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Beckhoff CX9020 embedded safety PLC</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1,600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1,600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Beckhoff Canada / PLC Parts Solution</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Beckhoff EtherCAT I/O terminal set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Beckhoff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IP67 enclosures, connectors, cable harness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Microhard pMDDL2350 encrypted mesh data link</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1,540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1,540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Microhard via RF Design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Panasonic Toughbook 55 ground control laptop</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4,800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Panasonic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Starlink Mini terminal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399</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399</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Starlink</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Independent 900 MHz RC kill link</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DragonLink-class;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Crash-survivable black-box recorder and audit storage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OD7+ laser safety curtain set, 4 panels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2,300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2,300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Lasermet / Kentek</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OD7+ laser safety eyewear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6</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Lasermet / Uvex</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Laser warning signage set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350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350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Pilz safety-rated e-stop station</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120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240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Pilz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Pre-flight laser alignment target kit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28 V ground power unit cart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8,000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START PAC / Red Box class; budgetary CAD</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Spare laser source with collimator and optics, field kit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7,700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7,700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Raycus / Edmund Optics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Software: landing-zone finder, fire detection, fleet mesh, thermal library</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12,000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12,000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 development</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Integration, assembly, and ground-run test labour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22,000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22,000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SUBTOTAL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488,646</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Program contingency, 15 percent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73,297</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TOTAL, E6 v1.1 as specified</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561,943</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OPTION: tether kit, 120 m HV tether with motorized reel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45,000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45,000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Elistair-class; budgetary; excluded from total</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OPTION: 30 kW ground generator set for tether ops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24,000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24,000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Cummins / Generac class; excluded from total</w:t>
            </w:r>
          </w:p>
        </w:tc>
      </w:tr>
    </w:tbl>
    <w:p>
      <w:pPr>
        <w:spacing w:after="80"/>
      </w:pPr>
    </w:p>
    <w:p>
      <w:pPr>
        <w:pStyle w:val="Caption"/>
      </w:pPr>
      <w:r>
        <w:t xml:space="preserve">Table 7: Consolidated bill of materials, Contra Favillas Aerial E6 v1.1. Optional tether equipment listed separately and excluded from the total.</w:t>
      </w:r>
    </w:p>
    <w:p>
      <w:pPr>
        <w:pStyle w:val="Heading1"/>
      </w:pPr>
      <w:r>
        <w:t xml:space="preserve">14. Cost Summary</w:t>
      </w:r>
    </w:p>
    <w:tbl>
      <w:tblPr>
        <w:tblW w:w="9016" w:type="dxa"/>
        <w:tblBorders>
          <w:top w:val="single" w:color="7B3F24" w:sz="12"/>
          <w:left w:val="nil"/>
          <w:bottom w:val="single" w:color="7B3F24" w:sz="12"/>
          <w:right w:val="nil"/>
          <w:insideH w:val="single" w:color="D9C9BC" w:sz="2"/>
          <w:insideV w:val="nil"/>
        </w:tblBorders>
      </w:tblPr>
      <w:tblGrid>
        <w:gridCol w:w="4500"/>
        <w:gridCol w:w="2200"/>
        <w:gridCol w:w="2316"/>
      </w:tblGrid>
      <w:tr>
        <w:trPr>
          <w:tblHeader/>
        </w:trPr>
        <w:tc>
          <w:tcPr>
            <w:tcW w:w="4500" w:type="dxa"/>
            <w:shd w:val="clear" w:fill="7B3F24"/>
            <w:tcMar>
              <w:top w:w="60" w:type="dxa"/>
              <w:left w:w="100" w:type="dxa"/>
              <w:bottom w:w="60" w:type="dxa"/>
              <w:right w:w="100" w:type="dxa"/>
            </w:tcMar>
          </w:tcPr>
          <w:p>
            <w:pPr>
              <w:spacing w:after="0" w:line="240" w:lineRule="auto"/>
            </w:pPr>
            <w:r>
              <w:rPr>
                <w:b/>
                <w:color w:val="FFFFFF"/>
                <w:sz w:val="18"/>
              </w:rPr>
              <w:t xml:space="preserve">Subsystem group</w:t>
            </w:r>
          </w:p>
        </w:tc>
        <w:tc>
          <w:tcPr>
            <w:tcW w:w="2200" w:type="dxa"/>
            <w:shd w:val="clear" w:fill="7B3F24"/>
            <w:tcMar>
              <w:top w:w="60" w:type="dxa"/>
              <w:left w:w="100" w:type="dxa"/>
              <w:bottom w:w="60" w:type="dxa"/>
              <w:right w:w="100" w:type="dxa"/>
            </w:tcMar>
          </w:tcPr>
          <w:p>
            <w:pPr>
              <w:spacing w:after="0" w:line="240" w:lineRule="auto"/>
            </w:pPr>
            <w:r>
              <w:rPr>
                <w:b/>
                <w:color w:val="FFFFFF"/>
                <w:sz w:val="18"/>
              </w:rPr>
              <w:t xml:space="preserve">Cost (CAD)</w:t>
            </w:r>
          </w:p>
        </w:tc>
        <w:tc>
          <w:tcPr>
            <w:tcW w:w="2316" w:type="dxa"/>
            <w:shd w:val="clear" w:fill="7B3F24"/>
            <w:tcMar>
              <w:top w:w="60" w:type="dxa"/>
              <w:left w:w="100" w:type="dxa"/>
              <w:bottom w:w="60" w:type="dxa"/>
              <w:right w:w="100" w:type="dxa"/>
            </w:tcMar>
          </w:tcPr>
          <w:p>
            <w:pPr>
              <w:spacing w:after="0" w:line="240" w:lineRule="auto"/>
            </w:pPr>
            <w:r>
              <w:rPr>
                <w:b/>
                <w:color w:val="FFFFFF"/>
                <w:sz w:val="18"/>
              </w:rPr>
              <w:t xml:space="preserve">Share</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Engines and fuel system</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122,712</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25.1%</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Sensing</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72,725</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14.9%</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Airframe and recovery</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71,800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14.7%</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Propulsion (motors, ESCs, propellers)</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60,200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12.3%</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Laser and thermal</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45,580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9.3%</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Hybrid powertrain (generators, bus, battery)</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34,000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7.0%</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Integration and software</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34,000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7.0%</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Safety equipment and spares</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11,190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2.3%</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Avionics</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10,700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2.2%</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Communications and ground control</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10,139</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2.1%</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Ground support equipment</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9,000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1.8%</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Compute</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6,600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1.4%</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Subtotal</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488,646</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100%</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Contingency, 15 percent</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73,297</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Total</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561,943</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
            </w:r>
          </w:p>
        </w:tc>
      </w:tr>
    </w:tbl>
    <w:p>
      <w:pPr>
        <w:spacing w:after="80"/>
      </w:pPr>
    </w:p>
    <w:p>
      <w:pPr>
        <w:pStyle w:val="Caption"/>
      </w:pPr>
      <w:r>
        <w:t xml:space="preserve">Table 8: Cost by subsystem group, v1.1.</w:t>
      </w:r>
    </w:p>
    <w:p>
      <w:pPr>
        <w:keepNext/>
        <w:spacing w:before="200" w:after="80"/>
        <w:jc w:val="center"/>
      </w:pPr>
      <w:r>
        <w:drawing>
          <wp:inline distT="0" distB="0" distL="0" distR="0">
            <wp:extent cx="5760000" cy="2103652"/>
            <wp:effectExtent l="0" t="0" r="0" b="0"/>
            <wp:docPr id="3" name="Cost by subsystem v1.1"/>
            <wp:cNvGraphicFramePr>
              <a:graphicFrameLocks noChangeAspect="1"/>
            </wp:cNvGraphicFramePr>
            <a:graphic>
              <a:graphicData uri="http://schemas.openxmlformats.org/drawingml/2006/picture">
                <pic:pic>
                  <pic:nvPicPr>
                    <pic:cNvPr id="0" name="Cost by subsystem v1.1.png"/>
                    <pic:cNvPicPr/>
                  </pic:nvPicPr>
                  <pic:blipFill>
                    <a:blip r:embed="Raf6eceb5a92044c6"/>
                    <a:stretch>
                      <a:fillRect/>
                    </a:stretch>
                  </pic:blipFill>
                  <pic:spPr>
                    <a:xfrm>
                      <a:off x="0" y="0"/>
                      <a:ext cx="5760000" cy="2103652"/>
                    </a:xfrm>
                    <a:prstGeom prst="rect"/>
                  </pic:spPr>
                </pic:pic>
              </a:graphicData>
            </a:graphic>
          </wp:inline>
        </w:drawing>
      </w:r>
    </w:p>
    <w:p>
      <w:pPr>
        <w:pStyle w:val="Caption"/>
      </w:pPr>
      <w:r>
        <w:t xml:space="preserve">Figure 3: Cost distribution. The twin aircraft engines remain the largest single block; the review additions concentrate in sensing, propulsion, and the laser pod.</w:t>
      </w:r>
    </w:p>
    <w:p>
      <w:pPr>
        <w:pStyle w:val="Normal"/>
      </w:pPr>
      <w:r>
        <w:t xml:space="preserve">The engines and their fuel system take 25 percent of the budget, and that proportion is the signature of truth in a six-hour design: endurance costs displacement, and displacement costs money. The laser treatment stack itself, sources, optics, gimbal, cooling, and the full sensing suite, comes to 118,305 CAD, about 21 percent of the aircraft it rides on. The 25-item review added 90,000 CAD to the subtotal, and the disposition trail in Section 20 accounts for every dollar of it.</w:t>
      </w:r>
    </w:p>
    <w:p>
      <w:pPr>
        <w:pStyle w:val="Heading1"/>
      </w:pPr>
      <w:r>
        <w:t xml:space="preserve">15. Assembly and Integration</w:t>
      </w:r>
    </w:p>
    <w:p>
      <w:pPr>
        <w:pStyle w:val="Normal"/>
        <w:numPr>
          <w:ilvl w:val="0"/>
          <w:numId w:val="1"/>
        </w:numPr>
      </w:pPr>
      <w:r>
        <w:t xml:space="preserve">Stage 1, powertrain bench: mount both engine-generator sets on the dynamometer frame, run the full fuel and electrical system, and characterize the bus across the load range; this bench run also validates the generator-chain efficiency used in Section 2 and baselines the engine vibration spectra for the health-monitoring library.</w:t>
      </w:r>
    </w:p>
    <w:p>
      <w:pPr>
        <w:pStyle w:val="Normal"/>
        <w:numPr>
          <w:ilvl w:val="0"/>
          <w:numId w:val="1"/>
        </w:numPr>
      </w:pPr>
      <w:r>
        <w:t xml:space="preserve">Stage 2, frame build: laminate and assemble the centre frame, arms, and folding locks; proof-load each arm hinge to 1.5 times limit load; install landing gear and gimbal hardpoint.</w:t>
      </w:r>
    </w:p>
    <w:p>
      <w:pPr>
        <w:pStyle w:val="Normal"/>
        <w:numPr>
          <w:ilvl w:val="0"/>
          <w:numId w:val="1"/>
        </w:numPr>
      </w:pPr>
      <w:r>
        <w:t xml:space="preserve">Stage 3, propulsion installation: mount motors, ESCs, and 72-inch propellers; run each station to rated thrust on the bench with telemetry correlation against the sizing model.</w:t>
      </w:r>
    </w:p>
    <w:p>
      <w:pPr>
        <w:pStyle w:val="Normal"/>
        <w:numPr>
          <w:ilvl w:val="0"/>
          <w:numId w:val="1"/>
        </w:numPr>
      </w:pPr>
      <w:r>
        <w:t xml:space="preserve">Stage 4, systems integration: install tanks, dump valves, quantity probes, buffer battery, avionics, flight controller, anemometer, recorder, and parachute; complete harness continuity and EMI checks; weigh and balance against the Table 4 budget.</w:t>
      </w:r>
    </w:p>
    <w:p>
      <w:pPr>
        <w:pStyle w:val="Normal"/>
        <w:numPr>
          <w:ilvl w:val="0"/>
          <w:numId w:val="1"/>
        </w:numPr>
      </w:pPr>
      <w:r>
        <w:t xml:space="preserve">Stage 5, pod build: assemble the laser pod offline with sources, isolation cradles, optics, purge air, cooling, sensors, and compute; bench-run the full treatment stack on a static target from the ground power cart, including the alignment-verification shot, before aircraft mating.</w:t>
      </w:r>
    </w:p>
    <w:p>
      <w:pPr>
        <w:pStyle w:val="Normal"/>
        <w:numPr>
          <w:ilvl w:val="0"/>
          <w:numId w:val="1"/>
        </w:numPr>
      </w:pPr>
      <w:r>
        <w:t xml:space="preserve">Stage 6, mate and ground-run: dock the pod on the quick-disconnects, run engines at full power on the tiedown, verify the interlock chain end to end including the dump valves and dual flame aborts, then proceed to the flight program in Section 17.</w:t>
      </w:r>
    </w:p>
    <w:p>
      <w:pPr>
        <w:pStyle w:val="Heading1"/>
      </w:pPr>
      <w:r>
        <w:t xml:space="preserve">16. Regulatory Pathway</w:t>
      </w:r>
    </w:p>
    <w:p>
      <w:pPr>
        <w:pStyle w:val="Normal"/>
      </w:pPr>
      <w:r>
        <w:t xml:space="preserve">This aircraft is not a consumer drone, and the document treats its certification as a first-class workstream. In Canada, remotely piloted aircraft above 25 kg require a Special Flight Operations Certificate for each operating area, and at 747 kg MTOW the E6 sits outside every standard RPAS category, which points toward an experimental or limited airworthiness arrangement negotiated with Transport Canada. Expect the regulator to ask for exactly what this design carries: redundant power sources, a ballistic recovery system, hard geofencing, engine health monitoring, and a documented safety case. The v1.1 audit trail strengthens the application materially: the black box and laser log give investigators and auditors a complete, tamper-resistant record of every flight and every treated patch (review items 21 and 23). Beyond-visual-line-of-sight treatment corridors need their own SFOC with detect-and-avoid evidence; the Ouster lidar and triple-link architecture form the technical core of that application. The outdoor Class 4 laser adds a parallel track: coordination with provincial authorities and notification where operations fall near aerodromes, plus Nav Canada awareness for operations near controlled airspace.</w:t>
      </w:r>
    </w:p>
    <w:p>
      <w:pPr>
        <w:pStyle w:val="Normal"/>
      </w:pPr>
      <w:r>
        <w:t xml:space="preserve">The fastest credible path runs through sponsorship: a provincial wildfire agency or research partnership operating the E6 as a public aircraft under agency authority, with the fire-service operational need documented. The program budgets 18 to 24 months of regulatory work running in parallel with the build and test phases, and flags plainly that this effort rivals the airframe engineering in scale. Tethered fixed-site operations offer the gentlest entry point for early flight authority. The pilot of record holds an Advanced RPAS certificate with flight review, and the operations manual grows directly from Sections 11 and 17 of this document.</w:t>
      </w:r>
    </w:p>
    <w:p>
      <w:pPr>
        <w:pStyle w:val="Heading1"/>
      </w:pPr>
      <w:r>
        <w:t xml:space="preserve">17. Test and Validation Program</w:t>
      </w:r>
    </w:p>
    <w:tbl>
      <w:tblPr>
        <w:tblW w:w="9016" w:type="dxa"/>
        <w:tblBorders>
          <w:top w:val="single" w:color="7B3F24" w:sz="12"/>
          <w:left w:val="nil"/>
          <w:bottom w:val="single" w:color="7B3F24" w:sz="12"/>
          <w:right w:val="nil"/>
          <w:insideH w:val="single" w:color="D9C9BC" w:sz="2"/>
          <w:insideV w:val="nil"/>
        </w:tblBorders>
      </w:tblPr>
      <w:tblGrid>
        <w:gridCol w:w="1100"/>
        <w:gridCol w:w="2600"/>
        <w:gridCol w:w="3400"/>
        <w:gridCol w:w="1916"/>
      </w:tblGrid>
      <w:tr>
        <w:trPr>
          <w:tblHeader/>
        </w:trPr>
        <w:tc>
          <w:tcPr>
            <w:tcW w:w="1100" w:type="dxa"/>
            <w:shd w:val="clear" w:fill="7B3F24"/>
            <w:tcMar>
              <w:top w:w="60" w:type="dxa"/>
              <w:left w:w="100" w:type="dxa"/>
              <w:bottom w:w="60" w:type="dxa"/>
              <w:right w:w="100" w:type="dxa"/>
            </w:tcMar>
          </w:tcPr>
          <w:p>
            <w:pPr>
              <w:spacing w:after="0" w:line="240" w:lineRule="auto"/>
            </w:pPr>
            <w:r>
              <w:rPr>
                <w:b/>
                <w:color w:val="FFFFFF"/>
                <w:sz w:val="17"/>
              </w:rPr>
              <w:t xml:space="preserve">Phase</w:t>
            </w:r>
          </w:p>
        </w:tc>
        <w:tc>
          <w:tcPr>
            <w:tcW w:w="2600" w:type="dxa"/>
            <w:shd w:val="clear" w:fill="7B3F24"/>
            <w:tcMar>
              <w:top w:w="60" w:type="dxa"/>
              <w:left w:w="100" w:type="dxa"/>
              <w:bottom w:w="60" w:type="dxa"/>
              <w:right w:w="100" w:type="dxa"/>
            </w:tcMar>
          </w:tcPr>
          <w:p>
            <w:pPr>
              <w:spacing w:after="0" w:line="240" w:lineRule="auto"/>
            </w:pPr>
            <w:r>
              <w:rPr>
                <w:b/>
                <w:color w:val="FFFFFF"/>
                <w:sz w:val="17"/>
              </w:rPr>
              <w:t xml:space="preserve">Scope</w:t>
            </w:r>
          </w:p>
        </w:tc>
        <w:tc>
          <w:tcPr>
            <w:tcW w:w="3400" w:type="dxa"/>
            <w:shd w:val="clear" w:fill="7B3F24"/>
            <w:tcMar>
              <w:top w:w="60" w:type="dxa"/>
              <w:left w:w="100" w:type="dxa"/>
              <w:bottom w:w="60" w:type="dxa"/>
              <w:right w:w="100" w:type="dxa"/>
            </w:tcMar>
          </w:tcPr>
          <w:p>
            <w:pPr>
              <w:spacing w:after="0" w:line="240" w:lineRule="auto"/>
            </w:pPr>
            <w:r>
              <w:rPr>
                <w:b/>
                <w:color w:val="FFFFFF"/>
                <w:sz w:val="17"/>
              </w:rPr>
              <w:t xml:space="preserve">Key measurements</w:t>
            </w:r>
          </w:p>
        </w:tc>
        <w:tc>
          <w:tcPr>
            <w:tcW w:w="1916" w:type="dxa"/>
            <w:shd w:val="clear" w:fill="7B3F24"/>
            <w:tcMar>
              <w:top w:w="60" w:type="dxa"/>
              <w:left w:w="100" w:type="dxa"/>
              <w:bottom w:w="60" w:type="dxa"/>
              <w:right w:w="100" w:type="dxa"/>
            </w:tcMar>
          </w:tcPr>
          <w:p>
            <w:pPr>
              <w:spacing w:after="0" w:line="240" w:lineRule="auto"/>
            </w:pPr>
            <w:r>
              <w:rPr>
                <w:b/>
                <w:color w:val="FFFFFF"/>
                <w:sz w:val="17"/>
              </w:rPr>
              <w:t xml:space="preserve">Exit criteria</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0</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Bench dose calibration (shared with ground program)</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Dose-response curves by fuel type and moisture; cone-calorimetry PHRR verification; thermal signature library seeds</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Calibrated dwell tables and cooling-curve pass/fail bands replace all estimates program-wide</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1</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Powertrain dynamometer</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Generator-chain efficiency, engine BSFC map, bus stability under laser pulse load, engine vibration baselines</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Measured efficiency meets or beats Section 2 assumptions; health-monitoring bands validated</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2</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Tethered hover and free-flight envelope</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Actual hover power vs model for the 72-inch disk, figure-of-merit verification, endurance flight to fuel exhaustion, dump-valve operation</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Endurance within 10 percent of Table 2 predictions; jettison and probe telemetry verified</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3</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Laser integration, inert</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Beam registration through full gimbal azimuth, interlock trip timing, altitude and wind envelope logic, alignment-check procedure, landing-zone finder scoring</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All interlocks trip within specified latency over 200 induced faults; LZ finder grades match surveyed truth</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4</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Live treatment on controlled plots</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Char quality, cooling-curve scoring against library, downwash plume behavior at 4 m, purge-air effectiveness, dual abort response</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Corridor passes Layer 2 verification end to end at design dose; no optics fouling events</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5</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Pod environmental qualification</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Random vibration and thermal cycling per MIL-STD-810H helicopter profiles on the populated pod, isolation-cradle performance</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Sources and optics hold alignment and full power through the qualification profile</w:t>
            </w:r>
          </w:p>
        </w:tc>
      </w:tr>
    </w:tbl>
    <w:p>
      <w:pPr>
        <w:spacing w:after="80"/>
      </w:pPr>
    </w:p>
    <w:p>
      <w:pPr>
        <w:pStyle w:val="Caption"/>
      </w:pPr>
      <w:r>
        <w:t xml:space="preserve">Table 9: Test program, v1.1. Phase 0 governs final dose figures for every Contra Favillas variant; Phase 5 qualifies the industrial laser sources for the airborne environment (review item 2).</w:t>
      </w:r>
    </w:p>
    <w:p>
      <w:pPr>
        <w:pStyle w:val="Heading1"/>
      </w:pPr>
      <w:r>
        <w:t xml:space="preserve">18. Operational Economics</w:t>
      </w:r>
    </w:p>
    <w:p>
      <w:pPr>
        <w:pStyle w:val="Normal"/>
      </w:pPr>
      <w:r>
        <w:t xml:space="preserve">A 6-hour E6 v1.1 sortie costs approximately 3,300 CAD all-in: 533 CAD of fuel at 1.60 CAD/L, a two-person crew day at 1,600 CAD, and roughly 1,200 CAD of maintenance reserve dominated by engine TBO accrual. Against Table 6 throughput, the aerial corridor costs 24 to 92 CAD per metre depending on fuel class. Applying the Section 9.3 energy-budget correction to the ground variants puts the Rugged v1.2 at an honest 40 to 160 m of corridor per day at a day cost near 1,400 CAD, or roughly 9 to 35 CAD per metre. The corrected comparison narrows the old gap considerably: the E6 costs about two and a half to three times the ground unit per corridor-metre, not an order of magnitude.</w:t>
      </w:r>
    </w:p>
    <w:p>
      <w:pPr>
        <w:pStyle w:val="Normal"/>
      </w:pPr>
      <w:r>
        <w:t xml:space="preserve">The economics therefore write a clear fleet doctrine. Ground units treat everything their wheels and tracks reach, because they remain cheaper per metre and they run longer daily windows. The E6 treats the 10 to 15 percent of corridor that terrain denies to wheels and tracks: canyon walls, muskeg islands, rock fields, and remote ridge systems, plus rapid-response spot treatment ahead of approaching fire fronts where a 40-minute drive equals a 4-minute flight. Remote staging follows standard wildfire-service practice: forward fuel caches positioned by road or helicopter sling along planned corridor systems (review item 18, implemented as logistics doctrine rather than a bespoke transfer system, which the review analysis rejects as program scope). Used that way, one E6 sortie closes the gap that otherwise forces a hand crew into the worst terrain on the map, and that risk transfer, not metres per dollar, justifies the aircraft. The fire-detection layer adds a second revenue-grade capability: the same sortie that treats also maps hotspots for the agency, at zero marginal cost (review item 14).</w:t>
      </w:r>
    </w:p>
    <w:p>
      <w:pPr>
        <w:pStyle w:val="Heading1"/>
      </w:pPr>
      <w:r>
        <w:t xml:space="preserve">19. Risks and Mitigations</w:t>
      </w:r>
    </w:p>
    <w:tbl>
      <w:tblPr>
        <w:tblW w:w="9016" w:type="dxa"/>
        <w:tblBorders>
          <w:top w:val="single" w:color="7B3F24" w:sz="12"/>
          <w:left w:val="nil"/>
          <w:bottom w:val="single" w:color="7B3F24" w:sz="12"/>
          <w:right w:val="nil"/>
          <w:insideH w:val="single" w:color="D9C9BC" w:sz="2"/>
          <w:insideV w:val="nil"/>
        </w:tblBorders>
      </w:tblPr>
      <w:tblGrid>
        <w:gridCol w:w="2500"/>
        <w:gridCol w:w="1300"/>
        <w:gridCol w:w="2600"/>
        <w:gridCol w:w="2616"/>
      </w:tblGrid>
      <w:tr>
        <w:trPr>
          <w:tblHeader/>
        </w:trPr>
        <w:tc>
          <w:tcPr>
            <w:tcW w:w="2500" w:type="dxa"/>
            <w:shd w:val="clear" w:fill="7B3F24"/>
            <w:tcMar>
              <w:top w:w="60" w:type="dxa"/>
              <w:left w:w="100" w:type="dxa"/>
              <w:bottom w:w="60" w:type="dxa"/>
              <w:right w:w="100" w:type="dxa"/>
            </w:tcMar>
          </w:tcPr>
          <w:p>
            <w:pPr>
              <w:spacing w:after="0" w:line="240" w:lineRule="auto"/>
            </w:pPr>
            <w:r>
              <w:rPr>
                <w:b/>
                <w:color w:val="FFFFFF"/>
                <w:sz w:val="16"/>
              </w:rPr>
              <w:t xml:space="preserve">Risk</w:t>
            </w:r>
          </w:p>
        </w:tc>
        <w:tc>
          <w:tcPr>
            <w:tcW w:w="1300" w:type="dxa"/>
            <w:shd w:val="clear" w:fill="7B3F24"/>
            <w:tcMar>
              <w:top w:w="60" w:type="dxa"/>
              <w:left w:w="100" w:type="dxa"/>
              <w:bottom w:w="60" w:type="dxa"/>
              <w:right w:w="100" w:type="dxa"/>
            </w:tcMar>
          </w:tcPr>
          <w:p>
            <w:pPr>
              <w:spacing w:after="0" w:line="240" w:lineRule="auto"/>
            </w:pPr>
            <w:r>
              <w:rPr>
                <w:b/>
                <w:color w:val="FFFFFF"/>
                <w:sz w:val="16"/>
              </w:rPr>
              <w:t xml:space="preserve">Level</w:t>
            </w:r>
          </w:p>
        </w:tc>
        <w:tc>
          <w:tcPr>
            <w:tcW w:w="2600" w:type="dxa"/>
            <w:shd w:val="clear" w:fill="7B3F24"/>
            <w:tcMar>
              <w:top w:w="60" w:type="dxa"/>
              <w:left w:w="100" w:type="dxa"/>
              <w:bottom w:w="60" w:type="dxa"/>
              <w:right w:w="100" w:type="dxa"/>
            </w:tcMar>
          </w:tcPr>
          <w:p>
            <w:pPr>
              <w:spacing w:after="0" w:line="240" w:lineRule="auto"/>
            </w:pPr>
            <w:r>
              <w:rPr>
                <w:b/>
                <w:color w:val="FFFFFF"/>
                <w:sz w:val="16"/>
              </w:rPr>
              <w:t xml:space="preserve">Consequence</w:t>
            </w:r>
          </w:p>
        </w:tc>
        <w:tc>
          <w:tcPr>
            <w:tcW w:w="2616" w:type="dxa"/>
            <w:shd w:val="clear" w:fill="7B3F24"/>
            <w:tcMar>
              <w:top w:w="60" w:type="dxa"/>
              <w:left w:w="100" w:type="dxa"/>
              <w:bottom w:w="60" w:type="dxa"/>
              <w:right w:w="100" w:type="dxa"/>
            </w:tcMar>
          </w:tcPr>
          <w:p>
            <w:pPr>
              <w:spacing w:after="0" w:line="240" w:lineRule="auto"/>
            </w:pPr>
            <w:r>
              <w:rPr>
                <w:b/>
                <w:color w:val="FFFFFF"/>
                <w:sz w:val="16"/>
              </w:rPr>
              <w:t xml:space="preserve">Mitigation</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Endurance falls short of 6 h</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Mission window shrinks; requirement missed</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All three profiles now clear 6 h with margin; assumptions stay conservative (FM 0.74, rich BSFC); Phase 1 and 2 measure actuals before pod integration; ER fuel margin in tanks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Single engine failure over fuel bed</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Forced landing in treatment area</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Doubled buffer battery descent reserve, 4 m treatment envelope, pod jettison, fuel dump, landing-zone finder, exclusion zone kept clear of assets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Motor or ESC failure</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Degraded flight</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Seven-station authority, immediate auto-descent, parachute above 40 m</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Patch flares during treatment</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Spot ignition</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Sub-flaming dose design, dual dissimilar flame detectors with 100 ms abort, trail FLIR library scoring, wind auto-pause</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Downwash lofts embers</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Fire spread beyond corridor</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4 m standoff, 72-inch rotors at 14 percent lower induced velocity, dose below flaming threshold, plot trials in Phase 4 before ops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Industrial laser sources fail airborne</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Lost sortie or lost pod</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Isolation cradles, sealed conditioned enclosure, Phase 5 MIL-STD-810H qualification, dual sources, field spare kit, vendor hardening path for production</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Regulatory timeline extends</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High</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Deployment slips</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18 to 24 month parallel track, agency sponsorship strategy, phased SFOC applications starting with tethered fixed-site ops, full audit trail as evidence</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Laser escape from envelope</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Eye hazard</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Gimbal tilt hard stops at 20 degrees on all azimuths, altitude and attitude interlocks in hard-wired PLC chain, link-loss beam cut, pre-flight alignment verification</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Cost growth on custom classes</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Budget overrun</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15 percent contingency, budgetary lines flagged, engines and known parts already fixed-price</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Crash fuel fire</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Post-crash ignition</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Fuel jettison before forced landing, frangible tanks, parachute, ballistic descent keeps tanks intact, crew standoff procedures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Dose estimates still optimistic</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Throughput below Table 6</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Phase 0 cone-calorimetry calibration governs; throughput scales linearly with measured dose and never compromises safety thresholds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7.1 m span complicates staging</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Site constraints</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Folding arms to 3.3 x 1.8 m trailer footprint; launch-site survey checklist in operations manual</w:t>
            </w:r>
          </w:p>
        </w:tc>
      </w:tr>
    </w:tbl>
    <w:p>
      <w:pPr>
        <w:spacing w:after="80"/>
      </w:pPr>
    </w:p>
    <w:p>
      <w:pPr>
        <w:pStyle w:val="Caption"/>
      </w:pPr>
      <w:r>
        <w:t xml:space="preserve">Table 10: Risk register, v1.1. Review items 3, 4, 6, 7, 8, 9, 19, and 24 directly closed or downgraded eight of these entries.</w:t>
      </w:r>
    </w:p>
    <w:p>
      <w:pPr>
        <w:pStyle w:val="Heading1"/>
      </w:pPr>
      <w:r>
        <w:t xml:space="preserve">20. v1.1 Change Register: Disposition of the 25-Item Review</w:t>
      </w:r>
    </w:p>
    <w:p>
      <w:pPr>
        <w:pStyle w:val="Normal"/>
      </w:pPr>
      <w:r>
        <w:t xml:space="preserve">The 25-item engineering review of v1.0 received a line-by-line disposition. Nineteen items enter the design as proposed. Five items enter with modified implementations where analysis supports a better path; the register states both the item's intent and the engineering reason for the change. One item defers to the planned ground-variant correction cycle. No item was dismissed without a recorded reason.</w:t>
      </w:r>
    </w:p>
    <w:tbl>
      <w:tblPr>
        <w:tblW w:w="9016" w:type="dxa"/>
        <w:tblBorders>
          <w:top w:val="single" w:color="7B3F24" w:sz="12"/>
          <w:left w:val="nil"/>
          <w:bottom w:val="single" w:color="7B3F24" w:sz="12"/>
          <w:right w:val="nil"/>
          <w:insideH w:val="single" w:color="D9C9BC" w:sz="2"/>
          <w:insideV w:val="nil"/>
        </w:tblBorders>
      </w:tblPr>
      <w:tblGrid>
        <w:gridCol w:w="500"/>
        <w:gridCol w:w="2150"/>
        <w:gridCol w:w="1300"/>
        <w:gridCol w:w="5066"/>
      </w:tblGrid>
      <w:tr>
        <w:trPr>
          <w:tblHeader/>
        </w:trPr>
        <w:tc>
          <w:tcPr>
            <w:tcW w:w="500" w:type="dxa"/>
            <w:shd w:val="clear" w:fill="7B3F24"/>
            <w:tcMar>
              <w:top w:w="60" w:type="dxa"/>
              <w:left w:w="100" w:type="dxa"/>
              <w:bottom w:w="60" w:type="dxa"/>
              <w:right w:w="100" w:type="dxa"/>
            </w:tcMar>
          </w:tcPr>
          <w:p>
            <w:pPr>
              <w:spacing w:after="0" w:line="240" w:lineRule="auto"/>
            </w:pPr>
            <w:r>
              <w:rPr>
                <w:b/>
                <w:color w:val="FFFFFF"/>
                <w:sz w:val="15"/>
              </w:rPr>
              <w:t xml:space="preserve">#</w:t>
            </w:r>
          </w:p>
        </w:tc>
        <w:tc>
          <w:tcPr>
            <w:tcW w:w="2150" w:type="dxa"/>
            <w:shd w:val="clear" w:fill="7B3F24"/>
            <w:tcMar>
              <w:top w:w="60" w:type="dxa"/>
              <w:left w:w="100" w:type="dxa"/>
              <w:bottom w:w="60" w:type="dxa"/>
              <w:right w:w="100" w:type="dxa"/>
            </w:tcMar>
          </w:tcPr>
          <w:p>
            <w:pPr>
              <w:spacing w:after="0" w:line="240" w:lineRule="auto"/>
            </w:pPr>
            <w:r>
              <w:rPr>
                <w:b/>
                <w:color w:val="FFFFFF"/>
                <w:sz w:val="15"/>
              </w:rPr>
              <w:t xml:space="preserve">Review item</w:t>
            </w:r>
          </w:p>
        </w:tc>
        <w:tc>
          <w:tcPr>
            <w:tcW w:w="1300" w:type="dxa"/>
            <w:shd w:val="clear" w:fill="7B3F24"/>
            <w:tcMar>
              <w:top w:w="60" w:type="dxa"/>
              <w:left w:w="100" w:type="dxa"/>
              <w:bottom w:w="60" w:type="dxa"/>
              <w:right w:w="100" w:type="dxa"/>
            </w:tcMar>
          </w:tcPr>
          <w:p>
            <w:pPr>
              <w:spacing w:after="0" w:line="240" w:lineRule="auto"/>
            </w:pPr>
            <w:r>
              <w:rPr>
                <w:b/>
                <w:color w:val="FFFFFF"/>
                <w:sz w:val="15"/>
              </w:rPr>
              <w:t xml:space="preserve">Disposition</w:t>
            </w:r>
          </w:p>
        </w:tc>
        <w:tc>
          <w:tcPr>
            <w:tcW w:w="5066" w:type="dxa"/>
            <w:shd w:val="clear" w:fill="7B3F24"/>
            <w:tcMar>
              <w:top w:w="60" w:type="dxa"/>
              <w:left w:w="100" w:type="dxa"/>
              <w:bottom w:w="60" w:type="dxa"/>
              <w:right w:w="100" w:type="dxa"/>
            </w:tcMar>
          </w:tcPr>
          <w:p>
            <w:pPr>
              <w:spacing w:after="0" w:line="240" w:lineRule="auto"/>
            </w:pPr>
            <w:r>
              <w:rPr>
                <w:b/>
                <w:color w:val="FFFFFF"/>
                <w:sz w:val="15"/>
              </w:rPr>
              <w:t xml:space="preserve">Engineering rationale</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Correct dose error across all variants</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Deferred (scheduled)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The Aerial tables already use the corrected energy-budget method (Section 9.2). Ground-variant corrections belong to the planned update cycle for those documents, sequenced after Phase 0 calibration data lands.</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2</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Aerospace-qualified laser sources</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 modified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No procurable aerospace-qualified 2 kW fibre laser exists at defensible mass or cost; military airborne laser hardware runs an order of magnitude heavier and dearer. Adopted instead: isolation cradles, sealed conditioned enclosure, Phase 5 MIL-STD-810H pod qualification, dual-source redundancy, field spare kit, and a vendor hardening path for production.</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3</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Buffer battery to 8-10 kWh</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Doubled to 7.8 kWh (8 packs): 3.6 min at full hover power, over 5 min in descent profile. The 72-inch rotor efficiency gain (item 19) funds the 19 kg mass increase with endurance to spare.</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4</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Automated landing-zone finder</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Section 8.1: pre-surveyed zone database plus real-time lidar clearing detection plus ML grading. Forest emergencies leave no time for manual site search.</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5</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Full 360-degree azimuth gimbal</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 modified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Azimuth axis adopted so the aircraft holds efficient headings while the pod tracks curved corridors. Tilt hard stops retained at 20 degrees off nadir, so the beam cone stays beneath the aircraft on any azimuth and the safety case stands unchanged.</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6</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Fuel jettison system</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Gravity dump valves shed 200 L in under two minutes ahead of a forced landing; interlocked with altitude and location restrictions. Frangible tanks remain as passive backstop.</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7</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Engine condition monitoring</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Per-cylinder CHT/EGT, oil pressure and temperature trends, crankcase vibration spectra on both engines; amber and red band logic in Section 4.2.</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8</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Redundant flame detection</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Dissimilar FS20X UV/dual-IR added alongside the FS24X, with independent power and signal paths; the FLIR algorithm and OES H-alpha already provided partial coverage, now two independent hardware channels.</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9</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Raise treatment standoff</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Standoff raised to 3.5-4.5 m nominal 4.0 m with 500 mm optics holding the same 0.7 m footprint; downwash at the fuel bed roughly halves combined with the larger rotors; abort reaction distance doubles.</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10</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Lidar terrain following</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Radar altimeter fused with Ouster lidar terrain profile; radar alone no longer trusted over canopy.</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11</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Fuel quantity gauging</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Capacitive probes per tank feeding the endurance estimator: fuel remaining, time to exhaustion, fuel to return with reserve.</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12</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Tool-less pod removal</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Quick-disconnect latches, blind-mate electrical, self-sealing fluid couplings; two-person field swap under ten minutes.</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13</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Auxiliary power for ground ops</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 modified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Intent adopted, implementation moved to the ground: a 28 V GPU cart powers pre-heat, cooling checks, and alignment shots. An onboard APU adds 15-20 kg of flight-dead mass for a ground-only function.</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14</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Fire detection layer</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FLIR hotspot scanning ahead of the corridor with georeferenced flags; zero added mass, direct agency value.</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15</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Thermal signature library</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Phase 0 and 4 build per-fuel cooling-curve libraries with numeric pass/fail bands; Layer 2 scoring becomes objective.</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16</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Onboard fuel moisture sensing</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Five-band multispectral camera maps moisture indices ahead of treatment; ground spot checks retained for calibration.</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17</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Downwash and dust management</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 modified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Adopted: purge-air curtains over all optical windows, higher standoff, lower-induced-velocity rotors, and scheduling discipline. Rejected: rotor ducting (prohibitive mass) and ground-effect skirt (hazardous at 4 m).</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18</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Aerial fuel transfer system</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 modified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Intent (remote staging) adopted through standard wildfire-service forward fuel caching by road or helicopter sling. A bespoke aerial transfer system is out of program scope and adds a failure mode for no measured benefit.</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19</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Larger 72-inch propellers</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The review's biggest win: 16 percent lower hover power funds the doubled battery and all new hardware with net endurance gain on every profile, plus 14 percent lower downwash. Span grows to 7.1 m flight, 3.3 x 1.8 m folded; Section 2.3 corrects the v1.0 span figure on the record.</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20</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Wind measurement and compensation</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Ultrasonic 3-axis anemometer with automatic treatment pause above 8 m/s and wind-aware gimbal scheduling.</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21</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Telemetry-only flight mode</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 modified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Black-box recording at full rate with store-and-forward adopted. The beam stays hard-interlocked to a healthy link; fully autonomous link-free missions deferred to certification Phase 2.</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22</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Fleet coordination link</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Mesh coordination over the existing primary radio: position, fuel, status sharing, deconfliction, corridor-boundary handoff, one ground station supervising up to four aircraft.</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23</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Laser audit telemetry log</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Tamper-resistant per-patch log of duty, power, dwell, and abort events; regulatory gold and an operational improvement feed.</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24</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Pre-flight alignment verification</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Low-power shot onto a calibrated ground target before every sortie; FLIR confirms footprint geometry; failure grounds the laser stack.</w:t>
            </w:r>
          </w:p>
        </w:tc>
      </w:tr>
      <w:tr>
        <w:tc>
          <w:tcPr>
            <w:tcW w:w="500" w:type="dxa"/>
            <w:shd w:val="clear" w:fill="FFFFFF"/>
            <w:tcMar>
              <w:top w:w="60" w:type="dxa"/>
              <w:left w:w="100" w:type="dxa"/>
              <w:bottom w:w="60" w:type="dxa"/>
              <w:right w:w="100" w:type="dxa"/>
            </w:tcMar>
          </w:tcPr>
          <w:p>
            <w:pPr>
              <w:spacing w:after="0" w:line="240" w:lineRule="auto"/>
            </w:pPr>
            <w:r>
              <w:rPr>
                <w:b/>
                <w:color w:val="3A2E28"/>
                <w:sz w:val="15"/>
              </w:rPr>
              <w:t xml:space="preserve">25</w:t>
            </w:r>
          </w:p>
        </w:tc>
        <w:tc>
          <w:tcPr>
            <w:tcW w:w="2150" w:type="dxa"/>
            <w:shd w:val="clear" w:fill="FFFFFF"/>
            <w:tcMar>
              <w:top w:w="60" w:type="dxa"/>
              <w:left w:w="100" w:type="dxa"/>
              <w:bottom w:w="60" w:type="dxa"/>
              <w:right w:w="100" w:type="dxa"/>
            </w:tcMar>
          </w:tcPr>
          <w:p>
            <w:pPr>
              <w:spacing w:after="0" w:line="240" w:lineRule="auto"/>
            </w:pPr>
            <w:r>
              <w:rPr>
                <w:color w:val="3A2E28"/>
                <w:sz w:val="15"/>
              </w:rPr>
              <w:t xml:space="preserve">Spare laser source and optics kit</w:t>
            </w:r>
          </w:p>
        </w:tc>
        <w:tc>
          <w:tcPr>
            <w:tcW w:w="1300" w:type="dxa"/>
            <w:shd w:val="clear" w:fill="FFFFFF"/>
            <w:tcMar>
              <w:top w:w="60" w:type="dxa"/>
              <w:left w:w="100" w:type="dxa"/>
              <w:bottom w:w="60" w:type="dxa"/>
              <w:right w:w="100" w:type="dxa"/>
            </w:tcMar>
          </w:tcPr>
          <w:p>
            <w:pPr>
              <w:spacing w:after="0" w:line="240" w:lineRule="auto"/>
            </w:pPr>
            <w:r>
              <w:rPr>
                <w:color w:val="3A2E28"/>
                <w:sz w:val="15"/>
              </w:rPr>
              <w:t xml:space="preserve">Accepted</w:t>
            </w:r>
          </w:p>
        </w:tc>
        <w:tc>
          <w:tcPr>
            <w:tcW w:w="5066" w:type="dxa"/>
            <w:shd w:val="clear" w:fill="FFFFFF"/>
            <w:tcMar>
              <w:top w:w="60" w:type="dxa"/>
              <w:left w:w="100" w:type="dxa"/>
              <w:bottom w:w="60" w:type="dxa"/>
              <w:right w:w="100" w:type="dxa"/>
            </w:tcMar>
          </w:tcPr>
          <w:p>
            <w:pPr>
              <w:spacing w:after="0" w:line="240" w:lineRule="auto"/>
            </w:pPr>
            <w:r>
              <w:rPr>
                <w:color w:val="3A2E28"/>
                <w:sz w:val="15"/>
              </w:rPr>
              <w:t xml:space="preserve">Complete spare source with collimator and optics in field logistics; the tool-less pod makes field replacement realistic.</w:t>
            </w:r>
          </w:p>
        </w:tc>
      </w:tr>
    </w:tbl>
    <w:p>
      <w:pPr>
        <w:spacing w:after="80"/>
      </w:pPr>
    </w:p>
    <w:p>
      <w:pPr>
        <w:pStyle w:val="Caption"/>
      </w:pPr>
      <w:r>
        <w:t xml:space="preserve">Table 11: Disposition of all 25 review items: 19 accepted, 5 accepted with modified implementation, 1 deferred into the scheduled ground-variant correction cycle.</w:t>
      </w:r>
    </w:p>
    <w:p>
      <w:pPr>
        <w:pStyle w:val="Heading1"/>
      </w:pPr>
      <w:r>
        <w:t xml:space="preserve">Appendix A: Pricing and Sourcing Notes</w:t>
      </w:r>
    </w:p>
    <w:p>
      <w:pPr>
        <w:pStyle w:val="Normal"/>
        <w:numPr>
          <w:ilvl w:val="0"/>
          <w:numId w:val="1"/>
        </w:numPr>
      </w:pPr>
      <w:r>
        <w:t xml:space="preserve">Rotax pricing comes from the 2026 Rotech Motor Ltd. (Vernon, BC) Canadian list: 914 UL at 51,247 CAD, HD tuned exhaust at 3,209 CAD. The 912 iS alternative prices at 41,075 CAD and the 915 iS3A at 66,076 CAD for reference.</w:t>
      </w:r>
    </w:p>
    <w:p>
      <w:pPr>
        <w:pStyle w:val="Normal"/>
        <w:numPr>
          <w:ilvl w:val="0"/>
          <w:numId w:val="1"/>
        </w:numPr>
      </w:pPr>
      <w:r>
        <w:t xml:space="preserve">US-dollar sources convert at 1.40 CAD/USD: Tattu Pro 12S 22Ah at 857 USD, Jetson Orin NX 16 GB kit at 1,429 USD, Beckhoff CX9020 at 1,140 USD.</w:t>
      </w:r>
    </w:p>
    <w:p>
      <w:pPr>
        <w:pStyle w:val="Normal"/>
        <w:numPr>
          <w:ilvl w:val="0"/>
          <w:numId w:val="1"/>
        </w:numPr>
      </w:pPr>
      <w:r>
        <w:t xml:space="preserve">Budgetary classes carry vendor-class estimates rather than quotes: MAD 72-inch-class motors at 4,400 CAD (the smaller MAD AM50 lists at 1,257 USD and anchors the class), axial-flux generators, the carbon frame, three-axis gimbal, parachute (heavy-UAV market guide: 20,000 to 50,000 USD for 300 kg and up), fuel dump and probe hardware, engine monitoring kit, black box, GPU cart, software development, tether kit, and integration labour.</w:t>
      </w:r>
    </w:p>
    <w:p>
      <w:pPr>
        <w:pStyle w:val="Normal"/>
        <w:numPr>
          <w:ilvl w:val="0"/>
          <w:numId w:val="1"/>
        </w:numPr>
      </w:pPr>
      <w:r>
        <w:t xml:space="preserve">Laser, sensing, compute, communications, and safety pricing carries forward from the Contra Favillas ground-variant procurement records to keep the program on one consistent cost basis; v1.1 additions (FS20X, anemometer, multispectral camera, spare laser kit) price at distributor-class CAD estimates flagged budgetary.</w:t>
      </w:r>
    </w:p>
    <w:p>
      <w:pPr>
        <w:pStyle w:val="Normal"/>
        <w:numPr>
          <w:ilvl w:val="0"/>
          <w:numId w:val="1"/>
        </w:numPr>
      </w:pPr>
      <w:r>
        <w:t xml:space="preserve">Fuel cost assumes 1.60 CAD/L for 91-octane mogas; crew and maintenance reserves follow standard Canadian UAV operator rates with engine TBO accrual at 40 CAD per engine-hour.</w:t>
      </w:r>
    </w:p>
    <w:p>
      <w:pPr>
        <w:pStyle w:val="Heading1"/>
      </w:pPr>
      <w:r>
        <w:t xml:space="preserve">Appendix B: Conformance and Correction Notes</w:t>
      </w:r>
    </w:p>
    <w:p>
      <w:pPr>
        <w:pStyle w:val="Normal"/>
      </w:pPr>
      <w:r>
        <w:t xml:space="preserve">This document follows the Immutable Matrix v2.5 drafting rules. The text runs in active present tense throughout, excludes every prohibited modal verb and future auxiliary, contains no em dashes, and keeps a space after every colon. The cover uses borders and shaded tables rather than background images, and the unpacked package passes both floating-background attribute checks that the drafting rules define. Contrast spot checks: cover title 7B3F24 on F4E6DC, header 8C7A6B on white, body 3A2E28 on white, all within the required ratios.</w:t>
      </w:r>
    </w:p>
    <w:p>
      <w:pPr>
        <w:pStyle w:val="Normal"/>
      </w:pPr>
      <w:r>
        <w:t xml:space="preserve">Corrections of record. First, the energy-budget methodology of Section 9.3 supersedes the throughput tables published in Contra Favillas Mk I, Rugged v1.1, and Rugged v1.2; the carbonization physics, interlocks, and safety thresholds in those documents stand unchanged, and revised ground-variant tables follow in the planned correction cycle. Second, v1.0 of this aerial document stated a 4.4 m flight span for the 60-inch layout; that figure assumed rotor tip overlap that same-plane disks do not tolerate, and Section 2.3 publishes the corrected 5.9 m figure for that layout and the 7.1 m figure for the v1.1 72-inch configuration.</w:t>
      </w:r>
    </w:p>
    <w:sectPr>
      <w:headerReference w:type="default" r:id="R2d12148d2a83461b"/>
      <w:footerReference w:type="default" r:id="R415920ca30b34766"/>
      <w:pgSz w:w="11906" w:h="16838"/>
      <w:pgMar w:top="1440" w:right="1440" w:bottom="1440" w:left="1440" w:header="720" w:footer="720"/>
    </w:sectPr>
  </w:body>
</w:document>
</file>

<file path=word/footer1.xml><?xml version="1.0" encoding="utf-8"?>
<w:ftr xmlns:w="http://schemas.openxmlformats.org/wordprocessingml/2006/main">
  <w:p>
    <w:pPr>
      <w:spacing w:after="0"/>
      <w:jc w:val="center"/>
    </w:pPr>
    <w:r>
      <w:rPr>
        <w:color w:val="8C7A6B"/>
        <w:sz w:val="16"/>
      </w:rPr>
      <w:t>Page </w:t>
    </w:r>
    <w:r>
      <w:rPr>
        <w:color w:val="8C7A6B"/>
        <w:sz w:val="16"/>
      </w:rPr>
      <w:fldChar w:fldCharType="begin"/>
    </w:r>
    <w:r>
      <w:rPr>
        <w:color w:val="8C7A6B"/>
        <w:sz w:val="16"/>
      </w:rPr>
      <w:instrText xml:space="preserve"> PAGE </w:instrText>
    </w:r>
    <w:r>
      <w:rPr>
        <w:color w:val="8C7A6B"/>
        <w:sz w:val="16"/>
      </w:rPr>
      <w:fldChar w:fldCharType="separate"/>
    </w:r>
    <w:r>
      <w:rPr>
        <w:color w:val="8C7A6B"/>
        <w:sz w:val="16"/>
      </w:rPr>
      <w:t>1</w:t>
    </w:r>
    <w:r>
      <w:rPr>
        <w:color w:val="8C7A6B"/>
        <w:sz w:val="16"/>
      </w:rPr>
      <w:fldChar w:fldCharType="end"/>
    </w:r>
    <w:r>
      <w:rPr>
        <w:color w:val="8C7A6B"/>
        <w:sz w:val="16"/>
      </w:rPr>
      <w:t> of </w:t>
    </w:r>
    <w:r>
      <w:rPr>
        <w:color w:val="8C7A6B"/>
        <w:sz w:val="16"/>
      </w:rPr>
      <w:fldChar w:fldCharType="begin"/>
    </w:r>
    <w:r>
      <w:rPr>
        <w:color w:val="8C7A6B"/>
        <w:sz w:val="16"/>
      </w:rPr>
      <w:instrText xml:space="preserve"> NUMPAGES </w:instrText>
    </w:r>
    <w:r>
      <w:rPr>
        <w:color w:val="8C7A6B"/>
        <w:sz w:val="16"/>
      </w:rPr>
      <w:fldChar w:fldCharType="separate"/>
    </w:r>
    <w:r>
      <w:rPr>
        <w:color w:val="8C7A6B"/>
        <w:sz w:val="16"/>
      </w:rPr>
      <w:t>24</w:t>
    </w:r>
    <w:r>
      <w:rPr>
        <w:color w:val="8C7A6B"/>
        <w:sz w:val="16"/>
      </w:rPr>
      <w:fldChar w:fldCharType="end"/>
    </w:r>
  </w:p>
</w:ftr>
</file>

<file path=word/header1.xml><?xml version="1.0" encoding="utf-8"?>
<w:hdr xmlns:w="http://schemas.openxmlformats.org/wordprocessingml/2006/main">
  <w:p>
    <w:pPr>
      <w:pBdr>
        <w:bottom w:val="single" w:color="A85B36" w:sz="6"/>
      </w:pBdr>
      <w:spacing w:after="0"/>
      <w:jc w:val="right"/>
    </w:pPr>
    <w:r>
      <w:rPr>
        <w:i/>
        <w:color w:val="8C7A6B"/>
        <w:sz w:val="16"/>
      </w:rPr>
      <w:t>Contra Favillas Aerial v1.1  |  Airborne Laser Carbonization Platform (E6)</w:t>
    </w: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color w:val="A85B36"/>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40" w:line="276" w:lineRule="auto"/>
      <w:jc w:val="both"/>
    </w:pPr>
    <w:rPr>
      <w:rFonts w:ascii="Calibri" w:hAnsi="Calibri" w:eastAsia="Microsoft YaHei"/>
      <w:color w:val="3A2E28"/>
      <w:sz w:val="22"/>
      <w:szCs w:val="22"/>
    </w:rPr>
  </w:style>
  <w:style w:type="paragraph" w:styleId="Heading1">
    <w:name w:val="heading 1"/>
    <w:basedOn w:val="Normal"/>
    <w:next w:val="Normal"/>
    <w:pPr>
      <w:keepNext/>
      <w:keepLines/>
      <w:spacing w:before="520" w:after="200"/>
      <w:outlineLvl w:val="0"/>
    </w:pPr>
    <w:rPr>
      <w:rFonts w:ascii="Calibri" w:hAnsi="Calibri" w:eastAsia="Microsoft YaHei"/>
      <w:b/>
      <w:color w:val="7B3F24"/>
      <w:sz w:val="32"/>
    </w:rPr>
  </w:style>
  <w:style w:type="paragraph" w:styleId="Heading2">
    <w:name w:val="heading 2"/>
    <w:basedOn w:val="Normal"/>
    <w:next w:val="Normal"/>
    <w:pPr>
      <w:keepNext/>
      <w:keepLines/>
      <w:spacing w:before="360" w:after="160"/>
      <w:outlineLvl w:val="1"/>
    </w:pPr>
    <w:rPr>
      <w:rFonts w:ascii="Calibri" w:hAnsi="Calibri" w:eastAsia="Microsoft YaHei"/>
      <w:b/>
      <w:color w:val="A85B36"/>
      <w:sz w:val="26"/>
    </w:rPr>
  </w:style>
  <w:style w:type="paragraph" w:styleId="Heading3">
    <w:name w:val="heading 3"/>
    <w:basedOn w:val="Normal"/>
    <w:next w:val="Normal"/>
    <w:pPr>
      <w:keepNext/>
      <w:keepLines/>
      <w:spacing w:before="280" w:after="120"/>
      <w:outlineLvl w:val="2"/>
    </w:pPr>
    <w:rPr>
      <w:rFonts w:ascii="Calibri" w:hAnsi="Calibri" w:eastAsia="Microsoft YaHei"/>
      <w:b/>
      <w:color w:val="3A2E28"/>
      <w:sz w:val="23"/>
    </w:rPr>
  </w:style>
  <w:style w:type="paragraph" w:styleId="Caption">
    <w:name w:val="Caption"/>
    <w:basedOn w:val="Normal"/>
    <w:pPr>
      <w:spacing w:before="60" w:after="240"/>
      <w:jc w:val="center"/>
    </w:pPr>
    <w:rPr>
      <w:rFonts w:ascii="Calibri" w:hAnsi="Calibri" w:eastAsia="Microsoft YaHei"/>
      <w:i/>
      <w:color w:val="8C7A6B"/>
      <w:sz w:val="18"/>
    </w:rPr>
  </w:style>
  <w:style w:type="paragraph" w:styleId="TOC1">
    <w:name w:val="TOC 1"/>
    <w:basedOn w:val="Normal"/>
    <w:pPr>
      <w:tabs>
        <w:tab w:val="right" w:leader="dot" w:pos="9016"/>
      </w:tabs>
      <w:spacing w:before="120" w:after="60"/>
    </w:pPr>
    <w:rPr>
      <w:b/>
      <w:color w:val="7B3F24"/>
      <w:sz w:val="22"/>
    </w:rPr>
  </w:style>
  <w:style w:type="paragraph" w:styleId="TOC2">
    <w:name w:val="TOC 2"/>
    <w:basedOn w:val="Normal"/>
    <w:pPr>
      <w:tabs>
        <w:tab w:val="right" w:leader="dot" w:pos="9016"/>
      </w:tabs>
      <w:spacing w:after="40"/>
      <w:ind w:left="360"/>
    </w:pPr>
    <w:rPr>
      <w:color w:val="3A2E28"/>
      <w:sz w:val="20"/>
    </w:rPr>
  </w:style>
</w:styles>
</file>

<file path=word/_rels/document.xml.rels><?xml version='1.0' encoding='UTF-8'?>
<Relationships xmlns="http://schemas.openxmlformats.org/package/2006/relationships"><Relationship Type="http://schemas.openxmlformats.org/officeDocument/2006/relationships/styles" Target="styles.xml" Id="Rba43d0b0ddbc42cc" /><Relationship Type="http://schemas.openxmlformats.org/officeDocument/2006/relationships/numbering" Target="numbering.xml" Id="R5401ecff129743a4" /><Relationship Type="http://schemas.openxmlformats.org/officeDocument/2006/relationships/settings" Target="settings.xml" Id="Rbf8a4940644e48c4" /><Relationship Type="http://schemas.openxmlformats.org/officeDocument/2006/relationships/header" Target="header1.xml" Id="R2d12148d2a83461b" /><Relationship Type="http://schemas.openxmlformats.org/officeDocument/2006/relationships/footer" Target="footer1.xml" Id="R415920ca30b34766" /><Relationship Type="http://schemas.openxmlformats.org/officeDocument/2006/relationships/image" Target="media/image.png" Id="R80006fcc4b9c4956" /><Relationship Type="http://schemas.openxmlformats.org/officeDocument/2006/relationships/image" Target="media/image2.png" Id="Rbafaa9702bd24cb5" /><Relationship Type="http://schemas.openxmlformats.org/officeDocument/2006/relationships/image" Target="media/image3.png" Id="Raf6eceb5a92044c6" /></Relationships>
</file>