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418efb3d85647ed"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2200" w:after="0"/>
      </w:pPr>
    </w:p>
    <w:tbl>
      <w:tblPr>
        <w:tblW w:w="5000" w:type="pct"/>
        <w:tblBorders>
          <w:top w:val="single" w:color="7B3F24" w:sz="18"/>
          <w:left w:val="nil"/>
          <w:bottom w:val="single" w:color="7B3F24" w:sz="18"/>
          <w:right w:val="nil"/>
          <w:insideH w:val="nil"/>
          <w:insideV w:val="nil"/>
        </w:tblBorders>
      </w:tblPr>
      <w:tblGrid>
        <w:gridCol w:w="9640"/>
      </w:tblGrid>
      <w:tr>
        <w:tc>
          <w:tcPr>
            <w:tcW w:w="9640" w:type="dxa"/>
            <w:shd w:val="clear" w:fill="F4E6DC"/>
            <w:tcMar>
              <w:top w:w="300" w:type="dxa"/>
              <w:left w:w="200" w:type="dxa"/>
              <w:bottom w:w="300" w:type="dxa"/>
              <w:right w:w="200" w:type="dxa"/>
            </w:tcMar>
          </w:tcPr>
          <w:p>
            <w:pPr>
              <w:spacing w:before="120" w:after="100"/>
              <w:jc w:val="center"/>
            </w:pPr>
            <w:r>
              <w:rPr>
                <w:rFonts w:ascii="Calibri Light" w:hAnsi="Calibri Light"/>
                <w:b/>
                <w:color w:val="7B3F24"/>
                <w:spacing w:val="30"/>
                <w:sz w:val="64"/>
              </w:rPr>
              <w:t>CONTRA FAVILLAS</w:t>
            </w:r>
          </w:p>
          <w:p>
            <w:pPr>
              <w:spacing w:after="120"/>
              <w:jc w:val="center"/>
            </w:pPr>
            <w:r>
              <w:rPr>
                <w:rFonts w:ascii="Calibri Light" w:hAnsi="Calibri Light"/>
                <w:b/>
                <w:color w:val="A85B36"/>
                <w:spacing w:val="60"/>
                <w:sz w:val="44"/>
              </w:rPr>
              <w:t>RUGGED</w:t>
            </w:r>
          </w:p>
          <w:p>
            <w:pPr>
              <w:spacing w:after="60"/>
              <w:jc w:val="center"/>
            </w:pPr>
            <w:r>
              <w:rPr>
                <w:color w:val="3A2E28"/>
                <w:sz w:val="24"/>
              </w:rPr>
              <w:t>Engineering Specification for an Extreme-Terrain Laser-Carbonization</w:t>
            </w:r>
          </w:p>
          <w:p>
            <w:pPr>
              <w:spacing w:after="160"/>
              <w:jc w:val="center"/>
            </w:pPr>
            <w:r>
              <w:rPr>
                <w:color w:val="3A2E28"/>
                <w:sz w:val="24"/>
              </w:rPr>
              <w:t>Wildfire-Prevention Robot on the SHERP N 1200 Platform</w:t>
            </w:r>
          </w:p>
          <w:p>
            <w:pPr>
              <w:spacing w:after="80"/>
              <w:jc w:val="center"/>
            </w:pPr>
            <w:r>
              <w:rPr>
                <w:i/>
                <w:color w:val="A85B36"/>
                <w:sz w:val="20"/>
              </w:rPr>
              <w:t>Variant of Contra Favillas Mk I: single element, doubled array, doubled corridor.</w:t>
            </w:r>
          </w:p>
        </w:tc>
      </w:tr>
    </w:tbl>
    <w:p>
      <w:pPr>
        <w:spacing w:before="1200" w:after="0"/>
      </w:pPr>
    </w:p>
    <w:p>
      <w:pPr>
        <w:spacing w:after="60"/>
        <w:jc w:val="center"/>
      </w:pPr>
      <w:r>
        <w:rPr>
          <w:b/>
          <w:color w:val="A85B36"/>
          <w:sz w:val="21"/>
        </w:rPr>
        <w:t xml:space="preserve">Document class: </w:t>
      </w:r>
      <w:r>
        <w:rPr>
          <w:color w:val="3A2E28"/>
          <w:sz w:val="21"/>
        </w:rPr>
        <w:t xml:space="preserve">Engineering design document, prototype level</w:t>
      </w:r>
    </w:p>
    <w:p>
      <w:pPr>
        <w:spacing w:after="60"/>
        <w:jc w:val="center"/>
      </w:pPr>
      <w:r>
        <w:rPr>
          <w:b/>
          <w:color w:val="A85B36"/>
          <w:sz w:val="21"/>
        </w:rPr>
        <w:t xml:space="preserve">Platform: </w:t>
      </w:r>
      <w:r>
        <w:rPr>
          <w:color w:val="3A2E28"/>
          <w:sz w:val="21"/>
        </w:rPr>
        <w:t xml:space="preserve">Contra Favillas Rugged, SHERP N 1200 single-element treatment vehicle</w:t>
      </w:r>
    </w:p>
    <w:p>
      <w:pPr>
        <w:spacing w:after="60"/>
        <w:jc w:val="center"/>
      </w:pPr>
      <w:r>
        <w:rPr>
          <w:b/>
          <w:color w:val="A85B36"/>
          <w:sz w:val="21"/>
        </w:rPr>
        <w:t xml:space="preserve">Version: </w:t>
      </w:r>
      <w:r>
        <w:rPr>
          <w:color w:val="3A2E28"/>
          <w:sz w:val="21"/>
        </w:rPr>
        <w:t xml:space="preserve">1.1 (supersedes mobility and throughput chapters of v1.0)</w:t>
      </w:r>
    </w:p>
    <w:p>
      <w:pPr>
        <w:spacing w:after="60"/>
        <w:jc w:val="center"/>
      </w:pPr>
      <w:r>
        <w:rPr>
          <w:b/>
          <w:color w:val="A85B36"/>
          <w:sz w:val="21"/>
        </w:rPr>
        <w:t xml:space="preserve">Date: </w:t>
      </w:r>
      <w:r>
        <w:rPr>
          <w:color w:val="3A2E28"/>
          <w:sz w:val="21"/>
        </w:rPr>
        <w:t xml:space="preserve">August 1, 2026</w:t>
      </w:r>
    </w:p>
    <w:p>
      <w:pPr>
        <w:spacing w:after="60"/>
        <w:jc w:val="center"/>
      </w:pPr>
      <w:r>
        <w:rPr>
          <w:b/>
          <w:color w:val="A85B36"/>
          <w:sz w:val="21"/>
        </w:rPr>
        <w:t xml:space="preserve">Status: </w:t>
      </w:r>
      <w:r>
        <w:rPr>
          <w:color w:val="3A2E28"/>
          <w:sz w:val="21"/>
        </w:rPr>
        <w:t xml:space="preserve">Fully specified for prototyping; all parts named, costed (CAD), and sourced</w:t>
      </w:r>
    </w:p>
    <w:p>
      <w:pPr>
        <w:sectPr>
          <w:type w:val="nextPage"/>
          <w:pgSz w:w="11906" w:h="16838"/>
          <w:pgMar w:top="1440" w:right="1440" w:bottom="1440" w:left="1440" w:header="720" w:footer="720"/>
          <w:pgBorders w:offsetFrom="page">
            <w:top w:val="double" w:color="7B3F24" w:sz="18" w:space="24"/>
            <w:left w:val="double" w:color="7B3F24" w:sz="18" w:space="24"/>
            <w:bottom w:val="double" w:color="7B3F24" w:sz="18" w:space="24"/>
            <w:right w:val="double" w:color="7B3F24" w:sz="18" w:space="24"/>
          </w:pgBorders>
          <w:titlePg/>
        </w:sectPr>
      </w:pPr>
    </w:p>
    <w:p>
      <w:pPr>
        <w:pStyle w:val="Heading1"/>
      </w:pPr>
      <w:r>
        <w:t xml:space="preserve">Contents</w:t>
      </w:r>
    </w:p>
    <w:p>
      <w:r>
        <w:fldChar w:fldCharType="begin"/>
      </w:r>
      <w:r>
        <w:instrText xml:space="preserve"> TOC \o "1-2" \h \z \u </w:instrText>
      </w:r>
      <w:r>
        <w:fldChar w:fldCharType="separate"/>
      </w:r>
    </w:p>
    <w:p>
      <w:pPr>
        <w:pStyle w:val="TOC1"/>
      </w:pPr>
      <w:r>
        <w:t>1. Overview: Concept, Purpose, and Variant Differences</w:t>
      </w:r>
      <w:r>
        <w:tab/>
      </w:r>
      <w:r>
        <w:t>1</w:t>
      </w:r>
    </w:p>
    <w:p>
      <w:pPr>
        <w:pStyle w:val="TOC2"/>
      </w:pPr>
      <w:r>
        <w:t>1.1 From WUI Precision Tool to Corridor-Scale Prevention Machine</w:t>
      </w:r>
      <w:r>
        <w:tab/>
      </w:r>
      <w:r>
        <w:t>1</w:t>
      </w:r>
    </w:p>
    <w:p>
      <w:pPr>
        <w:pStyle w:val="TOC2"/>
      </w:pPr>
      <w:r>
        <w:t>1.2 Variant Differences Against Contra Favillas Mk I</w:t>
      </w:r>
      <w:r>
        <w:tab/>
      </w:r>
      <w:r>
        <w:t>1</w:t>
      </w:r>
    </w:p>
    <w:p>
      <w:pPr>
        <w:pStyle w:val="TOC2"/>
      </w:pPr>
      <w:r>
        <w:t>1.3 Mission Profile and Treatment Doctrine</w:t>
      </w:r>
      <w:r>
        <w:tab/>
      </w:r>
      <w:r>
        <w:t>1</w:t>
      </w:r>
    </w:p>
    <w:p>
      <w:pPr>
        <w:pStyle w:val="TOC2"/>
      </w:pPr>
      <w:r>
        <w:t>1.4 Evidence Base and Design Foundations</w:t>
      </w:r>
      <w:r>
        <w:tab/>
      </w:r>
      <w:r>
        <w:t>1</w:t>
      </w:r>
    </w:p>
    <w:p>
      <w:pPr>
        <w:pStyle w:val="TOC1"/>
      </w:pPr>
      <w:r>
        <w:t>2. System Architecture</w:t>
      </w:r>
      <w:r>
        <w:tab/>
      </w:r>
      <w:r>
        <w:t>1</w:t>
      </w:r>
    </w:p>
    <w:p>
      <w:pPr>
        <w:pStyle w:val="TOC2"/>
      </w:pPr>
      <w:r>
        <w:t>2.1 Single-Element Layout and Mass Budget</w:t>
      </w:r>
      <w:r>
        <w:tab/>
      </w:r>
      <w:r>
        <w:t>1</w:t>
      </w:r>
    </w:p>
    <w:p>
      <w:pPr>
        <w:pStyle w:val="TOC2"/>
      </w:pPr>
      <w:r>
        <w:t>2.2 Subsystem Map</w:t>
      </w:r>
      <w:r>
        <w:tab/>
      </w:r>
      <w:r>
        <w:t>1</w:t>
      </w:r>
    </w:p>
    <w:p>
      <w:pPr>
        <w:pStyle w:val="TOC2"/>
      </w:pPr>
      <w:r>
        <w:t>2.3 Power and Energy Budget</w:t>
      </w:r>
      <w:r>
        <w:tab/>
      </w:r>
      <w:r>
        <w:t>1</w:t>
      </w:r>
    </w:p>
    <w:p>
      <w:pPr>
        <w:pStyle w:val="TOC2"/>
      </w:pPr>
      <w:r>
        <w:t>2.4 Step-and-Dwell Treatment Throughput Model</w:t>
      </w:r>
      <w:r>
        <w:tab/>
      </w:r>
      <w:r>
        <w:t>1</w:t>
      </w:r>
    </w:p>
    <w:p>
      <w:pPr>
        <w:pStyle w:val="TOC1"/>
      </w:pPr>
      <w:r>
        <w:t>3. Mobility Platform: SHERP N 1200</w:t>
      </w:r>
      <w:r>
        <w:tab/>
      </w:r>
      <w:r>
        <w:t>1</w:t>
      </w:r>
    </w:p>
    <w:p>
      <w:pPr>
        <w:pStyle w:val="TOC2"/>
      </w:pPr>
      <w:r>
        <w:t>3.1 Platform Selection and Key Parameters</w:t>
      </w:r>
      <w:r>
        <w:tab/>
      </w:r>
      <w:r>
        <w:t>1</w:t>
      </w:r>
    </w:p>
    <w:p>
      <w:pPr>
        <w:pStyle w:val="TOC2"/>
      </w:pPr>
      <w:r>
        <w:t>3.2 Teleoperation Conversion</w:t>
      </w:r>
      <w:r>
        <w:tab/>
      </w:r>
      <w:r>
        <w:t>1</w:t>
      </w:r>
    </w:p>
    <w:p>
      <w:pPr>
        <w:pStyle w:val="TOC2"/>
      </w:pPr>
      <w:r>
        <w:t>3.3 The Minimum-Speed Constraint and the Step-and-Dwell Solution</w:t>
      </w:r>
      <w:r>
        <w:tab/>
      </w:r>
      <w:r>
        <w:t>1</w:t>
      </w:r>
    </w:p>
    <w:p>
      <w:pPr>
        <w:pStyle w:val="TOC1"/>
      </w:pPr>
      <w:r>
        <w:t>4. Laser Carbonization Array</w:t>
      </w:r>
      <w:r>
        <w:tab/>
      </w:r>
      <w:r>
        <w:t>1</w:t>
      </w:r>
    </w:p>
    <w:p>
      <w:pPr>
        <w:pStyle w:val="TOC2"/>
      </w:pPr>
      <w:r>
        <w:t>4.1 Doubled Laser Array: Eight Sources on Four Belts</w:t>
      </w:r>
      <w:r>
        <w:tab/>
      </w:r>
      <w:r>
        <w:t>1</w:t>
      </w:r>
    </w:p>
    <w:p>
      <w:pPr>
        <w:pStyle w:val="TOC2"/>
      </w:pPr>
      <w:r>
        <w:t>4.2 Beam Delivery and Wider Top-Hat Shaping</w:t>
      </w:r>
      <w:r>
        <w:tab/>
      </w:r>
      <w:r>
        <w:t>1</w:t>
      </w:r>
    </w:p>
    <w:p>
      <w:pPr>
        <w:pStyle w:val="TOC2"/>
      </w:pPr>
      <w:r>
        <w:t>4.3 Treatment Rack, Parallelogram Linkage, and Transit Mode</w:t>
      </w:r>
      <w:r>
        <w:tab/>
      </w:r>
      <w:r>
        <w:t>1</w:t>
      </w:r>
    </w:p>
    <w:p>
      <w:pPr>
        <w:pStyle w:val="TOC2"/>
      </w:pPr>
      <w:r>
        <w:t>4.4 Thermal Management: Enlarged Phase-Change Battery</w:t>
      </w:r>
      <w:r>
        <w:tab/>
      </w:r>
      <w:r>
        <w:t>1</w:t>
      </w:r>
    </w:p>
    <w:p>
      <w:pPr>
        <w:pStyle w:val="TOC2"/>
      </w:pPr>
      <w:r>
        <w:t>4.5 Smoke Management: Air Knife</w:t>
      </w:r>
      <w:r>
        <w:tab/>
      </w:r>
      <w:r>
        <w:t>1</w:t>
      </w:r>
    </w:p>
    <w:p>
      <w:pPr>
        <w:pStyle w:val="TOC1"/>
      </w:pPr>
      <w:r>
        <w:t>5. RF Pre-Drying Module</w:t>
      </w:r>
      <w:r>
        <w:tab/>
      </w:r>
      <w:r>
        <w:t>1</w:t>
      </w:r>
    </w:p>
    <w:p>
      <w:pPr>
        <w:pStyle w:val="TOC1"/>
      </w:pPr>
      <w:r>
        <w:t>6. Sensing and Perception</w:t>
      </w:r>
      <w:r>
        <w:tab/>
      </w:r>
      <w:r>
        <w:t>1</w:t>
      </w:r>
    </w:p>
    <w:p>
      <w:pPr>
        <w:pStyle w:val="TOC1"/>
      </w:pPr>
      <w:r>
        <w:t>7. Compute and Control Electronics</w:t>
      </w:r>
      <w:r>
        <w:tab/>
      </w:r>
      <w:r>
        <w:t>1</w:t>
      </w:r>
    </w:p>
    <w:p>
      <w:pPr>
        <w:pStyle w:val="TOC1"/>
      </w:pPr>
      <w:r>
        <w:t>8. Onboard Power System</w:t>
      </w:r>
      <w:r>
        <w:tab/>
      </w:r>
      <w:r>
        <w:t>1</w:t>
      </w:r>
    </w:p>
    <w:p>
      <w:pPr>
        <w:pStyle w:val="TOC1"/>
      </w:pPr>
      <w:r>
        <w:t>9. Stabilization Spray System</w:t>
      </w:r>
      <w:r>
        <w:tab/>
      </w:r>
      <w:r>
        <w:t>1</w:t>
      </w:r>
    </w:p>
    <w:p>
      <w:pPr>
        <w:pStyle w:val="TOC2"/>
      </w:pPr>
      <w:r>
        <w:t>9.1 Emergency Suppression System</w:t>
      </w:r>
      <w:r>
        <w:tab/>
      </w:r>
      <w:r>
        <w:t>1</w:t>
      </w:r>
    </w:p>
    <w:p>
      <w:pPr>
        <w:pStyle w:val="TOC1"/>
      </w:pPr>
      <w:r>
        <w:t>10. Communications and Ground Control</w:t>
      </w:r>
      <w:r>
        <w:tab/>
      </w:r>
      <w:r>
        <w:t>1</w:t>
      </w:r>
    </w:p>
    <w:p>
      <w:pPr>
        <w:pStyle w:val="TOC1"/>
      </w:pPr>
      <w:r>
        <w:t>11. Safety Architecture and Interlocks</w:t>
      </w:r>
      <w:r>
        <w:tab/>
      </w:r>
      <w:r>
        <w:t>1</w:t>
      </w:r>
    </w:p>
    <w:p>
      <w:pPr>
        <w:pStyle w:val="TOC1"/>
      </w:pPr>
      <w:r>
        <w:t>12. Control Software and Treatment Logic</w:t>
      </w:r>
      <w:r>
        <w:tab/>
      </w:r>
      <w:r>
        <w:t>1</w:t>
      </w:r>
    </w:p>
    <w:p>
      <w:pPr>
        <w:pStyle w:val="TOC1"/>
      </w:pPr>
      <w:r>
        <w:t>13. Consolidated Bill of Materials</w:t>
      </w:r>
      <w:r>
        <w:tab/>
      </w:r>
      <w:r>
        <w:t>1</w:t>
      </w:r>
    </w:p>
    <w:p>
      <w:pPr>
        <w:pStyle w:val="TOC1"/>
      </w:pPr>
      <w:r>
        <w:t>14. Cost Summary and Variant Comparison</w:t>
      </w:r>
      <w:r>
        <w:tab/>
      </w:r>
      <w:r>
        <w:t>1</w:t>
      </w:r>
    </w:p>
    <w:p>
      <w:pPr>
        <w:pStyle w:val="TOC1"/>
      </w:pPr>
      <w:r>
        <w:t>15. Assembly and Integration Plan</w:t>
      </w:r>
      <w:r>
        <w:tab/>
      </w:r>
      <w:r>
        <w:t>1</w:t>
      </w:r>
    </w:p>
    <w:p>
      <w:pPr>
        <w:pStyle w:val="TOC1"/>
      </w:pPr>
      <w:r>
        <w:t>16. Regulatory and Compliance Framework</w:t>
      </w:r>
      <w:r>
        <w:tab/>
      </w:r>
      <w:r>
        <w:t>1</w:t>
      </w:r>
    </w:p>
    <w:p>
      <w:pPr>
        <w:pStyle w:val="TOC1"/>
      </w:pPr>
      <w:r>
        <w:t>17. Test and Validation Plan</w:t>
      </w:r>
      <w:r>
        <w:tab/>
      </w:r>
      <w:r>
        <w:t>1</w:t>
      </w:r>
    </w:p>
    <w:p>
      <w:pPr>
        <w:pStyle w:val="TOC1"/>
      </w:pPr>
      <w:r>
        <w:t>18. Operational Economics</w:t>
      </w:r>
      <w:r>
        <w:tab/>
      </w:r>
      <w:r>
        <w:t>1</w:t>
      </w:r>
    </w:p>
    <w:p>
      <w:pPr>
        <w:pStyle w:val="TOC1"/>
      </w:pPr>
      <w:r>
        <w:t>19. Risks and Mitigations</w:t>
      </w:r>
      <w:r>
        <w:tab/>
      </w:r>
      <w:r>
        <w:t>1</w:t>
      </w:r>
    </w:p>
    <w:p>
      <w:pPr>
        <w:pStyle w:val="TOC1"/>
      </w:pPr>
      <w:r>
        <w:t>Appendix A: Currency, Pricing, and Sourcing Notes</w:t>
      </w:r>
      <w:r>
        <w:tab/>
      </w:r>
      <w:r>
        <w:t>1</w:t>
      </w:r>
    </w:p>
    <w:p>
      <w:pPr>
        <w:pStyle w:val="TOC1"/>
      </w:pPr>
      <w:r>
        <w:t>Appendix B: Document Conformance Statement</w:t>
      </w:r>
      <w:r>
        <w:tab/>
      </w:r>
      <w:r>
        <w:t>1</w:t>
      </w:r>
    </w:p>
    <w:p>
      <w:r>
        <w:fldChar w:fldCharType="end"/>
      </w:r>
    </w:p>
    <w:p>
      <w:pPr>
        <w:pStyle w:val="Heading1"/>
      </w:pPr>
      <w:r>
        <w:t xml:space="preserve">1. Overview: Concept, Purpose, and Variant Differences</w:t>
      </w:r>
    </w:p>
    <w:p>
      <w:pPr>
        <w:pStyle w:val="Heading2"/>
      </w:pPr>
      <w:r>
        <w:t xml:space="preserve">1.1 From WUI Precision Tool to Corridor-Scale Prevention Machine</w:t>
      </w:r>
    </w:p>
    <w:p>
      <w:r>
        <w:t xml:space="preserve">Contra Favillas Mk I treats fuel rather than fire: a controlled laser beam pyrolyzes fine ground fuels into high-temperature biochar in place, cutting peak heat release rates from 200 to 600 kW/m² down to 20 to 35 kW/m², a reduction of roughly 90 percent. The chemistry, sensing, control logic, and safety architecture of Mk I carry over unchanged. What changes in the Rugged variant is where the machine goes and how fast it works.</w:t>
      </w:r>
    </w:p>
    <w:p>
      <w:r>
        <w:t xml:space="preserve">Mk I pairs a Clearpath Warthog UGV with a towed power tender and excels at slow, precise work along wildland-urban interface belts and road edges. That architecture reaches its limit in the backcountry: towing on 35-degree grades, muskeg, deadfall, and river crossings defeats a two-element convoy. The Rugged variant collapses the entire system, generator included, onto a single SHERP N 1200 amphibious chassis, doubles the laser array from 8 kW to 16 kW peak, widens the treatment corridor from 1.5 m to about 5.5 m, and roughly doubles per-unit daily output. Remote corridors, backcountry choke points, steep cutblocks, and wet terrain that stops every other wheeled or tracked machine now fall inside the treatment envelope.</w:t>
      </w:r>
    </w:p>
    <w:p>
      <w:pPr>
        <w:pStyle w:val="Heading2"/>
      </w:pPr>
      <w:r>
        <w:t xml:space="preserve">1.2 Variant Differences Against Contra Favillas Mk I</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400"/>
        <w:gridCol w:w="3620"/>
        <w:gridCol w:w="3620"/>
      </w:tblGrid>
      <w:tr>
        <w:trPr>
          <w:tblHeader/>
        </w:trPr>
        <w:tc>
          <w:tcPr>
            <w:tcW w:w="2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Attribute</w:t>
            </w:r>
          </w:p>
        </w:tc>
        <w:tc>
          <w:tcPr>
            <w:tcW w:w="362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Mk I (v1.0)</w:t>
            </w:r>
          </w:p>
        </w:tc>
        <w:tc>
          <w:tcPr>
            <w:tcW w:w="362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Rugged (v1.1)</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Chassis</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Clearpath Warthog UGV + towed tender</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SHERP N 1200, single element</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Payload capacity</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272 kg (vehicle only)</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1,200 kg</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 × 2 kW, 8 kW peak</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 × 2 kW, 16 kW peak</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Belts per pass</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staggered 0.5 m belts</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 staggered 0.7 m belts, paired heads</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Corridor width</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 m</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≈5.5 m</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Dwell per patch (design)</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28 s</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s</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cycle</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Continuous crawl</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Step-and-dwell (Section 3.3)</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Daily corridor output</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0.14-0.28 km</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0.28-0.43 km</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Generator</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 kW on tender</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 kW onboard</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Thermal battery</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60 kg PCM</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90 kg PCM</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Emergency suppression</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None</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Dedicated 55 L nozzle system (Section 9.1)</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Terrain envelope</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Moderate off-road</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35° grade, 30° tilt, amphibious, muskeg</w:t>
            </w:r>
          </w:p>
        </w:tc>
      </w:tr>
      <w:tr>
        <w:tc>
          <w:tcPr>
            <w:tcW w:w="2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Transit speed</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18 km/h</w:t>
            </w:r>
          </w:p>
        </w:tc>
        <w:tc>
          <w:tcPr>
            <w:tcW w:w="362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 km/h</w:t>
            </w:r>
          </w:p>
        </w:tc>
      </w:tr>
      <w:tr>
        <w:tc>
          <w:tcPr>
            <w:tcW w:w="2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Prototype capex</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346,981</w:t>
            </w:r>
          </w:p>
        </w:tc>
        <w:tc>
          <w:tcPr>
            <w:tcW w:w="362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488,047</w:t>
            </w:r>
          </w:p>
        </w:tc>
      </w:tr>
    </w:tbl>
    <w:p>
      <w:pPr>
        <w:pStyle w:val="Caption"/>
      </w:pPr>
      <w:r>
        <w:t xml:space="preserve">Table 1: Variant differences, Contra Favillas Mk I against Rugged v1.1.</w:t>
      </w:r>
    </w:p>
    <w:p>
      <w:pPr>
        <w:pStyle w:val="Heading2"/>
      </w:pPr>
      <w:r>
        <w:t xml:space="preserve">1.3 Mission Profile and Treatment Doctrine</w:t>
      </w:r>
    </w:p>
    <w:p>
      <w:pPr>
        <w:numPr>
          <w:ilvl w:val="0"/>
          <w:numId w:val="1"/>
        </w:numPr>
        <w:spacing w:after="80"/>
      </w:pPr>
      <w:r>
        <w:rPr>
          <w:b/>
        </w:rPr>
        <w:t xml:space="preserve">Operating environment: </w:t>
      </w:r>
      <w:r>
        <w:t xml:space="preserve">remote fuel corridors, backcountry choke points, steep cutblocks, muskeg and riparian edges, post-logging slash fields, and WUI perimeters that lack road access. The machine treats where prescribed fire crews and mechanical thinners face the hardest access.</w:t>
      </w:r>
    </w:p>
    <w:p>
      <w:pPr>
        <w:numPr>
          <w:ilvl w:val="0"/>
          <w:numId w:val="1"/>
        </w:numPr>
        <w:spacing w:after="80"/>
      </w:pPr>
      <w:r>
        <w:rPr>
          <w:b/>
        </w:rPr>
        <w:t xml:space="preserve">Treatment geometry: </w:t>
      </w:r>
      <w:r>
        <w:t xml:space="preserve">four staggered 0.7 m carbonized belts with 0.8 to 1.0 m untreated gaps, painted in a single pass by eight treatment heads paired two per belt. The gapped mosaic preserves ecological connectivity and tolerates single-segment failures.</w:t>
      </w:r>
    </w:p>
    <w:p>
      <w:pPr>
        <w:numPr>
          <w:ilvl w:val="0"/>
          <w:numId w:val="1"/>
        </w:numPr>
        <w:spacing w:after="80"/>
      </w:pPr>
      <w:r>
        <w:rPr>
          <w:b/>
        </w:rPr>
        <w:t xml:space="preserve">Treatment cycle: </w:t>
      </w:r>
      <w:r>
        <w:t xml:space="preserve">step-and-dwell. The vehicle stops, fires the array for a 12 to 21 s dwell, advances 20 cm, and repeats. Stationary firing steadies the optical footprint and the OES sightline.</w:t>
      </w:r>
    </w:p>
    <w:p>
      <w:pPr>
        <w:numPr>
          <w:ilvl w:val="0"/>
          <w:numId w:val="1"/>
        </w:numPr>
        <w:spacing w:after="80"/>
      </w:pPr>
      <w:r>
        <w:rPr>
          <w:b/>
        </w:rPr>
        <w:t xml:space="preserve">Daily output: </w:t>
      </w:r>
      <w:r>
        <w:t xml:space="preserve">0.28 to 0.43 km of four-belt corridor per unit per 8-hour day. A fleet of four to six units treats a 10 km remote perimeter in about one to two weeks.</w:t>
      </w:r>
    </w:p>
    <w:p>
      <w:pPr>
        <w:numPr>
          <w:ilvl w:val="0"/>
          <w:numId w:val="1"/>
        </w:numPr>
        <w:spacing w:after="80"/>
      </w:pPr>
      <w:r>
        <w:rPr>
          <w:b/>
        </w:rPr>
        <w:t xml:space="preserve">Transit advantage: </w:t>
      </w:r>
      <w:r>
        <w:t xml:space="preserve">40 km/h land speed and amphibious crossing connect distant treatment segments in a single day. Routes chain long fast transits with short high-value treatment segments across large landscapes.</w:t>
      </w:r>
    </w:p>
    <w:p>
      <w:pPr>
        <w:numPr>
          <w:ilvl w:val="0"/>
          <w:numId w:val="1"/>
        </w:numPr>
        <w:spacing w:after="80"/>
      </w:pPr>
      <w:r>
        <w:rPr>
          <w:b/>
        </w:rPr>
        <w:t xml:space="preserve">Endurance: </w:t>
      </w:r>
      <w:r>
        <w:t xml:space="preserve">the SHERP carries 327 L of diesel across its main and wheel-disk tanks, supporting roughly 20 to 25 hours of combined drive and treatment operation between refuelling.</w:t>
      </w:r>
    </w:p>
    <w:p>
      <w:pPr>
        <w:pStyle w:val="Heading2"/>
      </w:pPr>
      <w:r>
        <w:t xml:space="preserve">1.4 Evidence Base and Design Foundations</w:t>
      </w:r>
    </w:p>
    <w:p>
      <w:r>
        <w:t xml:space="preserve">The Rugged variant inherits the full evidence base of Mk I (biochar chemistry, USDA laser ignition precedent, industrial OES process control, dust-suppression practice, LiDAR fuel mapping) and adds platform-specific foundations:</w:t>
      </w:r>
    </w:p>
    <w:p>
      <w:pPr>
        <w:numPr>
          <w:ilvl w:val="0"/>
          <w:numId w:val="1"/>
        </w:numPr>
        <w:spacing w:after="80"/>
      </w:pPr>
      <w:r>
        <w:t xml:space="preserve">SHERP N 1200 manufacturer data: 1,200 kg load capacity, 40 km/h land speed, 35° gradeability, 30° tilt tolerance, 60 cm ground clearance, 71-inch ultra-low-pressure tires with on-the-go inflation, ISO-certified ROPS, -40 to +45 °C operating range, and 0.07 to 0.15 kg/cm² ground pressure, the lowest among amphibious vehicles.</w:t>
      </w:r>
    </w:p>
    <w:p>
      <w:pPr>
        <w:numPr>
          <w:ilvl w:val="0"/>
          <w:numId w:val="1"/>
        </w:numPr>
        <w:spacing w:after="80"/>
      </w:pPr>
      <w:r>
        <w:t xml:space="preserve">Teleoperation precedent: the German Aerospace Center (DLR) AHEAD project, executed with Sensodrive and the UN World Food Programme, converted this exact vehicle class into a remotely operated land drone using a Bowden-cable actuation box behind the driver seat, with a 0.4 s emergency stop. Section 3.2 adapts that proven pattern.</w:t>
      </w:r>
    </w:p>
    <w:p>
      <w:pPr>
        <w:numPr>
          <w:ilvl w:val="0"/>
          <w:numId w:val="1"/>
        </w:numPr>
        <w:spacing w:after="80"/>
      </w:pPr>
      <w:r>
        <w:t xml:space="preserve">Canadian availability: Canadian dealers list new and recent SHERP N 1200 units at CAD 175,000 to 189,000 (MarketBook.ca, 2026), with dealer service inside Canada.</w:t>
      </w:r>
    </w:p>
    <w:p>
      <w:pPr>
        <w:pStyle w:val="Heading1"/>
      </w:pPr>
      <w:r>
        <w:t xml:space="preserve">2. System Architecture</w:t>
      </w:r>
    </w:p>
    <w:p>
      <w:pPr>
        <w:pStyle w:val="Heading2"/>
      </w:pPr>
      <w:r>
        <w:t xml:space="preserve">2.1 Single-Element Layout and Mass Budget</w:t>
      </w:r>
    </w:p>
    <w:p>
      <w:r>
        <w:t xml:space="preserve">The Rugged variant collapses the two-element Mk I layout into one vehicle. The 30 kW generator, battery bank, laser rack, PCM thermal battery, spray systems, sensing suite, and compute core all mount on the SHERP chassis: the generator occupies a vibration-isolated compartment in the rear cargo volume, the battery bank rides low inside the sealed hull, and the treatment rack bolts to the front frame and upper structure. No umbilical, no trailer, no articulated convoy on steep ground. The 5.8 m³ rear cargo volume and the roofline give every subsystem a protected home.</w:t>
      </w:r>
    </w:p>
    <w:p>
      <w:r>
        <w:t xml:space="preserve">The 1,200 kg payload absorbs the entire treatment system with a small margin. Water logistics exploit the amphibious hull: an onboard drafting pump refills the spray tanks from lakes and streams, so the vehicle carries modest tank volumes instead of a day’s water.</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5000"/>
        <w:gridCol w:w="1900"/>
        <w:gridCol w:w="2740"/>
      </w:tblGrid>
      <w:tr>
        <w:trPr>
          <w:tblHeader/>
        </w:trPr>
        <w:tc>
          <w:tcPr>
            <w:tcW w:w="5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Onboard payload item</w:t>
            </w:r>
          </w:p>
        </w:tc>
        <w:tc>
          <w:tcPr>
            <w:tcW w:w="19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Mass (kg)</w:t>
            </w:r>
          </w:p>
        </w:tc>
        <w:tc>
          <w:tcPr>
            <w:tcW w:w="27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Notes</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 kW compact generator in isolated compartment</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380</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Vehicle-mount class, Section 8</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Battery bank, 2 × 10.24 kWh LiFePO4</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190</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Low in hull, rollover-protected</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 laser sources with cooling plates</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144</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 × 18 kg single-module units</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rack, linkage, actuators, optics</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85</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Parallelogram linkage, Section 4.3</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PCM thermal battery panels</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105</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90 kg PCM plus sealed panels</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 suite and folding mast</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6</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Compute and control electronics</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Jetson, Beckhoff, enclosures</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Stabilization spray with 100 L fluid</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120</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9, drafting refill</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Emergency suppression with 50 L fluid</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68</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9.1</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Air knife and 24 V compressor</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4.5</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Teleoperation conversion kit</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3.2</w:t>
            </w:r>
          </w:p>
        </w:tc>
      </w:tr>
      <w:tr>
        <w:tc>
          <w:tcPr>
            <w:tcW w:w="5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Cabling, shielding, misc.</w:t>
            </w:r>
          </w:p>
        </w:tc>
        <w:tc>
          <w:tcPr>
            <w:tcW w:w="1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c>
          <w:tcPr>
            <w:tcW w:w="27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Short-run harness, Section 8</w:t>
            </w:r>
          </w:p>
        </w:tc>
      </w:tr>
      <w:tr>
        <w:tc>
          <w:tcPr>
            <w:tcW w:w="5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payload</w:t>
            </w:r>
          </w:p>
        </w:tc>
        <w:tc>
          <w:tcPr>
            <w:tcW w:w="19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1,175</w:t>
            </w:r>
          </w:p>
        </w:tc>
        <w:tc>
          <w:tcPr>
            <w:tcW w:w="27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vs. 1,200 kg rated payload: 2% margin</w:t>
            </w:r>
          </w:p>
        </w:tc>
      </w:tr>
    </w:tbl>
    <w:p>
      <w:pPr>
        <w:pStyle w:val="Caption"/>
      </w:pPr>
      <w:r>
        <w:t xml:space="preserve">Table 2: Onboard payload allocation against the SHERP N 1200 payload rating.</w:t>
      </w:r>
    </w:p>
    <w:p>
      <w:r>
        <w:t xml:space="preserve">The 2 percent margin is tight but deliberate: long campaigns add the optional SHERP amphibious cargo trailer (750 kg trailer payload) as a logistics element carrying water, diesel drums, and spares. The trailer never carries treatment-critical systems, so treatment continues if the trailer detaches or stays at a staging point.</w:t>
      </w:r>
    </w:p>
    <w:p>
      <w:pPr>
        <w:pStyle w:val="Heading2"/>
      </w:pPr>
      <w:r>
        <w:t xml:space="preserve">2.2 Subsystem Map</w:t>
      </w:r>
    </w:p>
    <w:p>
      <w:r>
        <w:t xml:space="preserve">Figure 1 shows the single-element signal and power flow. Every subsystem lives inside one chassis boundary; the hardwired interlock chain (Section 11) acts in milliseconds and sits outside software.</w:t>
      </w:r>
    </w:p>
    <w:p>
      <w:pPr>
        <w:keepNext/>
        <w:spacing w:before="200" w:after="60"/>
        <w:jc w:val="center"/>
      </w:pPr>
      <w:r>
        <w:drawing>
          <wp:inline distT="0" distB="0" distL="0" distR="0">
            <wp:extent cx="5400000" cy="2956097"/>
            <wp:effectExtent l="0" t="0" r="0" b="0"/>
            <wp:docPr id="100" name="Architecture"/>
            <wp:cNvGraphicFramePr>
              <a:graphicFrameLocks noChangeAspect="1"/>
            </wp:cNvGraphicFramePr>
            <a:graphic>
              <a:graphicData uri="http://schemas.openxmlformats.org/drawingml/2006/picture">
                <pic:pic>
                  <pic:nvPicPr>
                    <pic:cNvPr id="0" name="Architecture.png"/>
                    <pic:cNvPicPr/>
                  </pic:nvPicPr>
                  <pic:blipFill>
                    <a:blip r:embed="R87ff37c14e424fc1"/>
                    <a:stretch>
                      <a:fillRect/>
                    </a:stretch>
                  </pic:blipFill>
                  <pic:spPr>
                    <a:xfrm>
                      <a:off x="0" y="0"/>
                      <a:ext cx="5400000" cy="2956097"/>
                    </a:xfrm>
                    <a:prstGeom prst="rect"/>
                  </pic:spPr>
                </pic:pic>
              </a:graphicData>
            </a:graphic>
          </wp:inline>
        </w:drawing>
      </w:r>
    </w:p>
    <w:p>
      <w:pPr>
        <w:pStyle w:val="Caption"/>
      </w:pPr>
      <w:r>
        <w:t xml:space="preserve">Figure 1: Single-element subsystem signal and power flow, Contra Favillas Rugged v1.1.</w:t>
      </w:r>
    </w:p>
    <w:p>
      <w:pPr>
        <w:pStyle w:val="Heading2"/>
      </w:pPr>
      <w:r>
        <w:t xml:space="preserve">2.3 Power and Energy Budget</w:t>
      </w:r>
    </w:p>
    <w:p>
      <w:r>
        <w:t xml:space="preserve">The doubled array doubles optical demand: 16 kW peak across eight sources, run at a 40 percent treatment duty cycle, yields 6.4 kW average optical output at roughly 21 kW wall-plug draw. The 30 kW generator carries the full treatment load at about 83 percent of rating, inside its efficient band. The 20.5 kWh hull battery buffers the step-and-dwell transients, absorbs drive-motor regeneration, and provides a 45-minute silent battery-only treatment mode for work near structures or livestock. Dynamic duty management (Section 12) trims the duty cycle between 35 and 45 percent as terrain load on the vehicle engine rises.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600"/>
        <w:gridCol w:w="1800"/>
        <w:gridCol w:w="3240"/>
      </w:tblGrid>
      <w:tr>
        <w:trPr>
          <w:tblHeader/>
        </w:trPr>
        <w:tc>
          <w:tcPr>
            <w:tcW w:w="4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Load during active treatment</w:t>
            </w:r>
          </w:p>
        </w:tc>
        <w:tc>
          <w:tcPr>
            <w:tcW w:w="1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Avg. draw</w:t>
            </w:r>
          </w:p>
        </w:tc>
        <w:tc>
          <w:tcPr>
            <w:tcW w:w="32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Basis</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 (16 kW peak optical, 40% duty)</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21.3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6.4 kW avg. optical at 30% wall-plug efficiency</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pre-dryer (1.6 kW output, 60% duty)</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 kW input at 60% GaN efficiency</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Step-and-dwell mobility</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0.8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Short 20 cm steps, stationary during firing</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Avionics and compute</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0.6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Jetson, Beckhoff, sensors, radios, teleop</w:t>
            </w:r>
          </w:p>
        </w:tc>
      </w:tr>
      <w:tr>
        <w:tc>
          <w:tcPr>
            <w:tcW w:w="4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Compressor, pumps, radiator fans</w:t>
            </w:r>
          </w:p>
        </w:tc>
        <w:tc>
          <w:tcPr>
            <w:tcW w:w="1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0.7 kW</w:t>
            </w:r>
          </w:p>
        </w:tc>
        <w:tc>
          <w:tcPr>
            <w:tcW w:w="32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Air knife plus thermal loop</w:t>
            </w:r>
          </w:p>
        </w:tc>
      </w:tr>
      <w:tr>
        <w:tc>
          <w:tcPr>
            <w:tcW w:w="4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Total average load</w:t>
            </w:r>
          </w:p>
        </w:tc>
        <w:tc>
          <w:tcPr>
            <w:tcW w:w="1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25.0 kW</w:t>
            </w:r>
          </w:p>
        </w:tc>
        <w:tc>
          <w:tcPr>
            <w:tcW w:w="32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83% of the 30 kW generator rating</w:t>
            </w:r>
          </w:p>
        </w:tc>
      </w:tr>
    </w:tbl>
    <w:p>
      <w:pPr>
        <w:pStyle w:val="Caption"/>
      </w:pPr>
      <w:r>
        <w:t xml:space="preserve">Table 3: Average power budget during active treatment.</w:t>
      </w:r>
    </w:p>
    <w:p>
      <w:pPr>
        <w:keepNext/>
        <w:spacing w:before="200" w:after="60"/>
        <w:jc w:val="center"/>
      </w:pPr>
      <w:r>
        <w:drawing>
          <wp:inline distT="0" distB="0" distL="0" distR="0">
            <wp:extent cx="4680000" cy="1905219"/>
            <wp:effectExtent l="0" t="0" r="0" b="0"/>
            <wp:docPr id="101" name="PowerBudget"/>
            <wp:cNvGraphicFramePr>
              <a:graphicFrameLocks noChangeAspect="1"/>
            </wp:cNvGraphicFramePr>
            <a:graphic>
              <a:graphicData uri="http://schemas.openxmlformats.org/drawingml/2006/picture">
                <pic:pic>
                  <pic:nvPicPr>
                    <pic:cNvPr id="0" name="PowerBudget.png"/>
                    <pic:cNvPicPr/>
                  </pic:nvPicPr>
                  <pic:blipFill>
                    <a:blip r:embed="R21f561c3f04648de"/>
                    <a:stretch>
                      <a:fillRect/>
                    </a:stretch>
                  </pic:blipFill>
                  <pic:spPr>
                    <a:xfrm>
                      <a:off x="0" y="0"/>
                      <a:ext cx="4680000" cy="1905219"/>
                    </a:xfrm>
                    <a:prstGeom prst="rect"/>
                  </pic:spPr>
                </pic:pic>
              </a:graphicData>
            </a:graphic>
          </wp:inline>
        </w:drawing>
      </w:r>
    </w:p>
    <w:p>
      <w:pPr>
        <w:pStyle w:val="Caption"/>
      </w:pPr>
      <w:r>
        <w:t xml:space="preserve">Figure 2: Average power budget against the generator operating point.</w:t>
      </w:r>
    </w:p>
    <w:p>
      <w:pPr>
        <w:pStyle w:val="Heading2"/>
      </w:pPr>
      <w:r>
        <w:t xml:space="preserve">2.4 Step-and-Dwell Treatment Throughput Model</w:t>
      </w:r>
    </w:p>
    <w:p>
      <w:r>
        <w:t xml:space="preserve">Eight heads mount in four pairs; each pair fires onto one 0.7 m belt, so every belt receives 4 kW peak across a 70 × 20 cm footprint. Under the pulsed photothermal delivery model of Mk I (36 kW/m² effective irradiance per 2 kW head at 45 percent duty), a paired belt receives about 64 kW/m² effective at the 40 percent duty cycle, cutting the design dwell from 28 s to 16 s at the 1.0 MJ/m² dose. The step-and-dwell cycle adds a 1.5 s advance-and-settle move per 20 cm step.</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2000"/>
        <w:gridCol w:w="2000"/>
        <w:gridCol w:w="2200"/>
        <w:gridCol w:w="3440"/>
      </w:tblGrid>
      <w:tr>
        <w:trPr>
          <w:tblHeader/>
        </w:trPr>
        <w:tc>
          <w:tcPr>
            <w:tcW w:w="2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Fuel dose</w:t>
            </w:r>
          </w:p>
        </w:tc>
        <w:tc>
          <w:tcPr>
            <w:tcW w:w="2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Dwell per patch</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Cycle time</w:t>
            </w:r>
          </w:p>
        </w:tc>
        <w:tc>
          <w:tcPr>
            <w:tcW w:w="34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Four-belt corridor per 8 h day</w:t>
            </w:r>
          </w:p>
        </w:tc>
      </w:tr>
      <w:tr>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0.75 MJ/m²</w:t>
            </w:r>
          </w:p>
        </w:tc>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 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13.5 s</w:t>
            </w:r>
          </w:p>
        </w:tc>
        <w:tc>
          <w:tcPr>
            <w:tcW w:w="34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0.43 km (53 m/h)</w:t>
            </w:r>
          </w:p>
        </w:tc>
      </w:tr>
      <w:tr>
        <w:tc>
          <w:tcPr>
            <w:tcW w:w="2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 MJ/m² (design point)</w:t>
            </w:r>
          </w:p>
        </w:tc>
        <w:tc>
          <w:tcPr>
            <w:tcW w:w="2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 s</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17.5 s</w:t>
            </w:r>
          </w:p>
        </w:tc>
        <w:tc>
          <w:tcPr>
            <w:tcW w:w="34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0.33 km (41 m/h)</w:t>
            </w:r>
          </w:p>
        </w:tc>
      </w:tr>
      <w:tr>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 MJ/m²</w:t>
            </w:r>
          </w:p>
        </w:tc>
        <w:tc>
          <w:tcPr>
            <w:tcW w:w="2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21 s</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22.5 s</w:t>
            </w:r>
          </w:p>
        </w:tc>
        <w:tc>
          <w:tcPr>
            <w:tcW w:w="34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0.26 km (32 m/h)</w:t>
            </w:r>
          </w:p>
        </w:tc>
      </w:tr>
    </w:tbl>
    <w:p>
      <w:pPr>
        <w:pStyle w:val="Caption"/>
      </w:pPr>
      <w:r>
        <w:t xml:space="preserve">Table 4: Throughput sensitivity to fuel dose, four-belt corridor, 85 percent uptime.</w:t>
      </w:r>
    </w:p>
    <w:p>
      <w:r>
        <w:t xml:space="preserve">Per-belt dose integrity never trades away for speed: each belt still receives the full 1.0 MJ/m² design dose at the high-temperature regime, because the pairing doubles optical power per belt rather than spreading it thinner. The control loop retunes for the shorter dwell (Section 12), and Phase 0 bench validation re-confirms the OES abort signatures at the 16 s cycle before any field work.</w:t>
      </w:r>
    </w:p>
    <w:p>
      <w:pPr>
        <w:pStyle w:val="Heading1"/>
      </w:pPr>
      <w:r>
        <w:t xml:space="preserve">3. Mobility Platform: SHERP N 1200</w:t>
      </w:r>
    </w:p>
    <w:p>
      <w:pPr>
        <w:pStyle w:val="Heading2"/>
      </w:pPr>
      <w:r>
        <w:t xml:space="preserve">3.1 Platform Selection and Key Parameters</w:t>
      </w:r>
    </w:p>
    <w:p>
      <w:r>
        <w:t xml:space="preserve">The SHERP N 1200 is an amphibious extreme-terrain vehicle built around a hot-dip-galvanized steel hull with an aluminum cabin, ISO-certified ROPS, and 71-inch ultra-low-pressure tires that double as the suspension and as paddle wheels on water. Its ground pressure of 0.07 to 0.15 kg/cm² lets it cross muskeg and saturated ground that swallows conventional machines, and its skid steering rotates the vehicle within its own length in dense forest. Canadian dealers stock and service the platform.</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800"/>
        <w:gridCol w:w="5840"/>
      </w:tblGrid>
      <w:tr>
        <w:trPr>
          <w:tblHeader/>
        </w:trPr>
        <w:tc>
          <w:tcPr>
            <w:tcW w:w="3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SHERP N 1200 parameter</w:t>
            </w:r>
          </w:p>
        </w:tc>
        <w:tc>
          <w:tcPr>
            <w:tcW w:w="58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 (manufacturer data)</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Dimensions</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3.99 × 2.57 × 3.0 m (157 × 101 × 118 in)</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Dry weight</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2,400 kg</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Load capacity</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1,200 kg (2,645 lb); 2,100 kg with cargo trailer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Towing capacity</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2,350 kg</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Engine</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Doosan D18 1.8 L diesel, 41 kW (55 hp), 190 Nm, Stage V / Tier 4 Final</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Transmission</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6-speed manual, skid steering, oil-bath chain final drive</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Maximum speed</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 km/h land, 6 km/h water</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Minimum speed (low gear)</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km/h (drives Section 3.3 design choice)</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Gradeability / tilt</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35° grade, 30° side tilt</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clearance</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60 cm; overcomes 1 m obstacles</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Ground pressure</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0.07-0.15 kg/cm², lowest among amphibious vehicles</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95 L main + 4 × 58 L wheel-disk tanks, 327 L total</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 consumption</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5-8 L/h</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Operating temperature</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-40 to +45 °C</w:t>
            </w:r>
          </w:p>
        </w:tc>
      </w:tr>
      <w:tr>
        <w:tc>
          <w:tcPr>
            <w:tcW w:w="3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Turning radius</w:t>
            </w:r>
          </w:p>
        </w:tc>
        <w:tc>
          <w:tcPr>
            <w:tcW w:w="58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 m inner, rotates within own length</w:t>
            </w:r>
          </w:p>
        </w:tc>
      </w:tr>
      <w:tr>
        <w:tc>
          <w:tcPr>
            <w:tcW w:w="3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Occupant protection</w:t>
            </w:r>
          </w:p>
        </w:tc>
        <w:tc>
          <w:tcPr>
            <w:tcW w:w="58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ISO 3471 / 5700 certified ROPS, 3- and 4-point belts</w:t>
            </w:r>
          </w:p>
        </w:tc>
      </w:tr>
    </w:tbl>
    <w:p>
      <w:pPr>
        <w:pStyle w:val="Caption"/>
      </w:pPr>
      <w:r>
        <w:t xml:space="preserve">Table 5: Mobility platform key parameters (SHERP manufacturer data).</w:t>
      </w:r>
    </w:p>
    <w:p>
      <w:pPr>
        <w:pStyle w:val="Heading2"/>
      </w:pPr>
      <w:r>
        <w:t xml:space="preserve">3.2 Teleoperation Conversion</w:t>
      </w:r>
    </w:p>
    <w:p>
      <w:r>
        <w:t xml:space="preserve">The N 1200 ships with mechanical controls: steering levers, clutch, and a 6-speed gearbox, with no factory drive-by-wire. The conversion follows the proven DLR and Sensodrive AHEAD pattern: an actuation box mounts behind the driver seat and drives Bowden cables to the steering levers, clutch, and throttle. A human operator teleoperates from the ground control station with the treatment autonomy supervising route and firing; the cabin stays empty during laser operations. The conversion retains full manual drive for transport and positioning with the actuation box disengaged.</w:t>
      </w:r>
    </w:p>
    <w:p>
      <w:pPr>
        <w:numPr>
          <w:ilvl w:val="0"/>
          <w:numId w:val="1"/>
        </w:numPr>
        <w:spacing w:after="80"/>
      </w:pPr>
      <w:r>
        <w:rPr>
          <w:b/>
        </w:rPr>
        <w:t xml:space="preserve">Actuation: </w:t>
      </w:r>
      <w:r>
        <w:t xml:space="preserve">torque-controlled servo drives on Bowden cables, 565 N equivalent handle force class, 0.4 s emergency stop via a gas-spring brake actuator independent of vehicle power.</w:t>
      </w:r>
    </w:p>
    <w:p>
      <w:pPr>
        <w:numPr>
          <w:ilvl w:val="0"/>
          <w:numId w:val="1"/>
        </w:numPr>
        <w:spacing w:after="80"/>
      </w:pPr>
      <w:r>
        <w:rPr>
          <w:b/>
        </w:rPr>
        <w:t xml:space="preserve">Gear selection: </w:t>
      </w:r>
      <w:r>
        <w:t xml:space="preserve">the route planner locks treatment to low gear; gear changes occur only during supervised transit with a human driver aboard or via a supervised shift servo.</w:t>
      </w:r>
    </w:p>
    <w:p>
      <w:pPr>
        <w:numPr>
          <w:ilvl w:val="0"/>
          <w:numId w:val="1"/>
        </w:numPr>
        <w:spacing w:after="80"/>
      </w:pPr>
      <w:r>
        <w:rPr>
          <w:b/>
        </w:rPr>
        <w:t xml:space="preserve">Sensing: </w:t>
      </w:r>
      <w:r>
        <w:t xml:space="preserve">the conversion kit reports lever positions, gear state, and engine data to the Beckhoff controller; the hardwired interlock chain drops engine power and applies the brake on any safety fault.</w:t>
      </w:r>
    </w:p>
    <w:p>
      <w:pPr>
        <w:numPr>
          <w:ilvl w:val="0"/>
          <w:numId w:val="1"/>
        </w:numPr>
        <w:spacing w:after="80"/>
      </w:pPr>
      <w:r>
        <w:rPr>
          <w:b/>
        </w:rPr>
        <w:t xml:space="preserve">Fallback: </w:t>
      </w:r>
      <w:r>
        <w:t xml:space="preserve">lost data link for more than 2 s triggers a controlled stop, laser shutdown, and hold-position state.</w:t>
      </w:r>
    </w:p>
    <w:p>
      <w:pPr>
        <w:pStyle w:val="Heading2"/>
      </w:pPr>
      <w:r>
        <w:t xml:space="preserve">3.3 The Minimum-Speed Constraint and the Step-and-Dwell Solution</w:t>
      </w:r>
    </w:p>
    <w:p>
      <w:r>
        <w:t xml:space="preserve">The N 1200 low-gear minimum speed of 2 km/h runs roughly forty times faster than the 41 m/h treatment advance rate. A continuous crawl like Mk I’s is mechanically impossible on this drivetrain without an auxiliary creeper drive. The Rugged variant turns this constraint into a design improvement: step-and-dwell treatment.</w:t>
      </w:r>
    </w:p>
    <w:p>
      <w:r>
        <w:t xml:space="preserve">The vehicle stops, the array fires a stationary 12 to 21 s dwell over the full 5.5 m corridor, the vehicle advances exactly 20 cm in low gear (a 0.4 s move plus settle time), and the cycle repeats. Stationary firing delivers three concrete gains over continuous crawl:</w:t>
      </w:r>
    </w:p>
    <w:p>
      <w:pPr>
        <w:numPr>
          <w:ilvl w:val="0"/>
          <w:numId w:val="1"/>
        </w:numPr>
        <w:spacing w:after="80"/>
      </w:pPr>
      <w:r>
        <w:t xml:space="preserve">Optical stability: the top-hat footprint holds perfectly still on the fuel, eliminating motion smear and improving dose uniformity at belt edges.</w:t>
      </w:r>
    </w:p>
    <w:p>
      <w:pPr>
        <w:numPr>
          <w:ilvl w:val="0"/>
          <w:numId w:val="1"/>
        </w:numPr>
        <w:spacing w:after="80"/>
      </w:pPr>
      <w:r>
        <w:t xml:space="preserve">OES quality: the spectrometer sightline stays fixed on the plume through the whole pyrolysis event, sharpening the chemical abort signatures.</w:t>
      </w:r>
    </w:p>
    <w:p>
      <w:pPr>
        <w:numPr>
          <w:ilvl w:val="0"/>
          <w:numId w:val="1"/>
        </w:numPr>
        <w:spacing w:after="80"/>
      </w:pPr>
      <w:r>
        <w:t xml:space="preserve">Drivetrain health: the mechanical transmission and friction clutches see clean, full engagements instead of sustained slip at walking speed.</w:t>
      </w:r>
    </w:p>
    <w:p>
      <w:r>
        <w:t xml:space="preserve">The LiDAR terrain feed and RTK positioning close the loop on each 20 cm step, so belt registration error stays under 2 cm over a kilometre. A hydrostatic creeper-drive retrofit remains a Phase 2 option for continuous treatment, but the step-and-dwell baseline already exceeds Mk I throughput, so the retrofit is an optimization, not a dependency.</w:t>
      </w:r>
    </w:p>
    <w:p>
      <w:pPr>
        <w:pStyle w:val="Heading1"/>
      </w:pPr>
      <w:r>
        <w:t xml:space="preserve">4. Laser Carbonization Array</w:t>
      </w:r>
    </w:p>
    <w:p>
      <w:pPr>
        <w:pStyle w:val="Heading2"/>
      </w:pPr>
      <w:r>
        <w:t xml:space="preserve">4.1 Doubled Laser Array: Eight Sources on Four Belts</w:t>
      </w:r>
    </w:p>
    <w:p>
      <w:r>
        <w:t xml:space="preserve">Eight Raycus RFL-C2000S single-module 2 kW fiber laser sources (1080 nm) form the array, mounted as four pairs. Each pair fires onto one 0.7 m belt: four staggered belts per pass, 4 kW peak per belt, 16 kW peak across the array. The pairing doubles power per belt instead of spreading the array across more belts, which preserves dose integrity at higher speed. Sources accept the same 5 kHz analog pulse modulation as Mk I; the expanded Beckhoff I/O bundle supplies eight independent modulation channels. Array degradation stays graceful: the mission continues at reduced advance rate with seven, six, or five healthy sources, since each belt pair tolerates losing one source at double dwell.</w:t>
      </w:r>
    </w:p>
    <w:p>
      <w:pPr>
        <w:pStyle w:val="Heading2"/>
      </w:pPr>
      <w:r>
        <w:t xml:space="preserve">4.2 Beam Delivery and Wider Top-Hat Shaping</w:t>
      </w:r>
    </w:p>
    <w:p>
      <w:r>
        <w:t xml:space="preserve">Each source feeds a 100 µm, 10 m QBH process fiber into a treatment head holding a 100 mm collimator and a cylindrical lens array. The lens spacing shifts against Mk I to paint a 70 × 20 cm top-hat footprint at the 60 cm nominal standoff, widening belts from 0.5 m to 0.7 m per sherp guidance. Phase 0 optical bench work re-validates footprint flatness at every standoff from 10 to 80 cm, and the downward thermal camera verifies each footprint before source enable. Fused-silica AR-coated windows seal each head, angled 5 degrees off normal to steer reflections away from the SHERP aluminum bodywork, with the same low-pressure air purge as Mk I.</w:t>
      </w:r>
    </w:p>
    <w:p>
      <w:pPr>
        <w:pStyle w:val="Heading2"/>
      </w:pPr>
      <w:r>
        <w:t xml:space="preserve">4.3 Treatment Rack, Parallelogram Linkage, and Transit Mode</w:t>
      </w:r>
    </w:p>
    <w:p>
      <w:r>
        <w:t xml:space="preserve">The widened 80/20 rack spans the front frame and ties into the upper structure for torsional stiffness. Two structural differences from Mk I follow from the taller chassis:</w:t>
      </w:r>
    </w:p>
    <w:p>
      <w:pPr>
        <w:numPr>
          <w:ilvl w:val="0"/>
          <w:numId w:val="1"/>
        </w:numPr>
        <w:spacing w:after="80"/>
      </w:pPr>
      <w:r>
        <w:rPr>
          <w:b/>
        </w:rPr>
        <w:t xml:space="preserve">Parallelogram linkage: </w:t>
      </w:r>
      <w:r>
        <w:t xml:space="preserve">four 24-inch-stroke PA-17 actuators drive a parallelogram linkage that keeps all eight heads level over uneven ground while holding the 10 to 80 cm standoff; the LiDAR terrain feed drives the height loop at 10 Hz.</w:t>
      </w:r>
    </w:p>
    <w:p>
      <w:pPr>
        <w:numPr>
          <w:ilvl w:val="0"/>
          <w:numId w:val="1"/>
        </w:numPr>
        <w:spacing w:after="80"/>
      </w:pPr>
      <w:r>
        <w:rPr>
          <w:b/>
        </w:rPr>
        <w:t xml:space="preserve">Transit mode: </w:t>
      </w:r>
      <w:r>
        <w:t xml:space="preserve">the linkage folds the rack up and back against the front face for transit, restoring the full approach angle and protecting the optics from brush strike; mechanical stops and lockout pins secure the rack, and a rack-position interlock prevents laser enable outside treatment geometry.</w:t>
      </w:r>
    </w:p>
    <w:p>
      <w:r>
        <w:t xml:space="preserve">Wire-rope and elastomer isolators protect the collimators from the chassis shocks of 35-degree climbing and 1 m obstacle drops. Structural analysis of the rack and linkage against off-road shock loads forms part of the Phase 1 engineering validation.</w:t>
      </w:r>
    </w:p>
    <w:p>
      <w:pPr>
        <w:pStyle w:val="Heading2"/>
      </w:pPr>
      <w:r>
        <w:t xml:space="preserve">4.4 Thermal Management: Enlarged Phase-Change Battery</w:t>
      </w:r>
    </w:p>
    <w:p>
      <w:r>
        <w:t xml:space="preserve">The thermal battery grows from 60 kg to 90 kg of RT50-class paraffin PCM in sealed aluminum panels, absorbing about 4.3 kWh of transient heat from the eight-source cold-plate loop. A 24 V circulation pump and a radiator with low-power fans reject the steady-state load at roughly 0.4 kW. Two S&amp;A CWFL-3000 chillers at base recondition the coolant and re-solidify the PCM overnight and support bench testing. The 55 °C PCM interlock caps duty at 25 percent, unchanged from Mk I.</w:t>
      </w:r>
    </w:p>
    <w:p>
      <w:pPr>
        <w:pStyle w:val="Heading2"/>
      </w:pPr>
      <w:r>
        <w:t xml:space="preserve">4.5 Smoke Management: Air Knife</w:t>
      </w:r>
    </w:p>
    <w:p>
      <w:r>
        <w:t xml:space="preserve">The 36-inch EXAIR Super Air Knife remounts ahead of the taller rack with re-aimed geometry for the SHERP front profile; the 24 V Viair compressor moves beside the generator compartment. The weather station feeds wind data to the controller, which adjusts knife aim and pauses treatment above 40 km/h gusts. The air knife matters more on this variant: stationary firing concentrates the plume over a fixed patch, so clearing it continuously keeps the beam path at full transmission.</w:t>
      </w:r>
    </w:p>
    <w:p>
      <w:pPr>
        <w:pStyle w:val="Heading1"/>
      </w:pPr>
      <w:r>
        <w:t xml:space="preserve">5. RF Pre-Drying Module</w:t>
      </w:r>
    </w:p>
    <w:p>
      <w:r>
        <w:t xml:space="preserve">The RF pre-dryer carries over unchanged: an RFHIC RIM251K6-20G solid-state GaN generator (1.6 kW, 2.4 to 2.5 GHz ISM, 60 percent efficiency) drives a shielded waveguide applicator ahead of the rack, drying the top 2 cm of fuel in about 2 seconds when the moisture skid reads above 25 percent. The applicator recentres on the lead belt of the widened corridor. The grounded mesh skirt, skirt-lift interlock, and pre-deployment leakage survey with the meter all carry over. A second applicator for the outer belts remains a Mk II option; field data from Phase 1 decides whether one applicator suffices, since the staggered belt layout lets the laser dwell absorb residual moisture at the 21 s dose on damp lanes.</w:t>
      </w:r>
    </w:p>
    <w:p>
      <w:pPr>
        <w:pStyle w:val="Heading1"/>
      </w:pPr>
      <w:r>
        <w:t xml:space="preserve">6. Sensing and Perception</w:t>
      </w:r>
    </w:p>
    <w:p>
      <w:r>
        <w:t xml:space="preserve">The full Mk I sensing suite carries over: two FLIR A70 thermal cores (front targeting, rear cooling-curve verification), the Avantes OES spectrometer with its collimating probe on the rack, the FS24X triple-IR flame detector wired to the hardwired abort chain, the Ouster OS1-32 LiDAR, the Emlid Reach RS3 RTK base-rover pair, two TEROS 10 moisture probes on a lead skid, and the Davis Vantage Pro2 weather station.</w:t>
      </w:r>
    </w:p>
    <w:p>
      <w:r>
        <w:t xml:space="preserve">Two platform-specific adaptations apply:</w:t>
      </w:r>
    </w:p>
    <w:p>
      <w:pPr>
        <w:numPr>
          <w:ilvl w:val="0"/>
          <w:numId w:val="1"/>
        </w:numPr>
        <w:spacing w:after="80"/>
      </w:pPr>
      <w:r>
        <w:rPr>
          <w:b/>
        </w:rPr>
        <w:t xml:space="preserve">Folding sensor mast: </w:t>
      </w:r>
      <w:r>
        <w:t xml:space="preserve">the 3.0 m roofline and 71-inch tires demand a dedicated 1.2 m folding mast for the LiDAR, GNSS rover, weather station, and flame detector. The mast folds flat for transit under canopy and for trailer transport. Blind-spot and occlusion analysis for the higher mount point runs during Phase 1 calibration.</w:t>
      </w:r>
    </w:p>
    <w:p>
      <w:pPr>
        <w:numPr>
          <w:ilvl w:val="0"/>
          <w:numId w:val="1"/>
        </w:numPr>
        <w:spacing w:after="80"/>
      </w:pPr>
      <w:r>
        <w:rPr>
          <w:b/>
        </w:rPr>
        <w:t xml:space="preserve">Camera recalibration: </w:t>
      </w:r>
      <w:r>
        <w:t xml:space="preserve">front and rear FLIR mounts reposition to preserve the 45-degree downward sightlines and the ground pixel footprint of Mk I at the taller chassis; new mounts receive fresh geometric and radiometric calibration against the treatment zone.</w:t>
      </w:r>
    </w:p>
    <w:p>
      <w:pPr>
        <w:pStyle w:val="Heading1"/>
      </w:pPr>
      <w:r>
        <w:t xml:space="preserve">7. Compute and Control Electronics</w:t>
      </w:r>
    </w:p>
    <w:p>
      <w:r>
        <w:t xml:space="preserve">The two-domain compute architecture carries over unchanged: the Jetson AGX Orin 64 GB runs ROS 2 nodes for OES spectral classification, fuel classification, thermal-history lookup, step-and-dwell cycle timing, route optimization, and logging; the Beckhoff CX5140 with TwinCAT 3 and the expanded EtherCAT bundle (eight modulation channels, rack linkage control, spray and suppression valves, teleop actuation feedback) owns every safety-critical output through the hardwired Pilz chain. A crashed AI node degrades the mission to safe open-loop behaviour, never safety.</w:t>
      </w:r>
    </w:p>
    <w:p>
      <w:pPr>
        <w:pStyle w:val="Heading1"/>
      </w:pPr>
      <w:r>
        <w:t xml:space="preserve">8. Onboard Power System</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600"/>
        <w:gridCol w:w="6040"/>
      </w:tblGrid>
      <w:tr>
        <w:trPr>
          <w:tblHeader/>
        </w:trPr>
        <w:tc>
          <w:tcPr>
            <w:tcW w:w="3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Power element</w:t>
            </w:r>
          </w:p>
        </w:tc>
        <w:tc>
          <w:tcPr>
            <w:tcW w:w="60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Specification</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Prime mover</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30 kW compact vehicle-mount diesel generator in isolated rear compartment</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Buffer storage</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 10.24 kWh LiFePO4 (51.2 V, 200 Ah each), 20.5 kWh total, BMS managed, low in hull</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DC-DC tree</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 × Victron Orion-Tr 48/24-16 A; 2 × Victron Orion 24/12-40</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Charging</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Victron Skylla-i 48 V charger from generator or grid</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Switching</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 Kilovac EV200 contactors with Littelfuse fusing per branch</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Fuel</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Generator taps the SHERP 95 L main tank through filtered plumbing; 327 L total onboard fuel supports 20-25 h combined operation</w:t>
            </w:r>
          </w:p>
        </w:tc>
      </w:tr>
      <w:tr>
        <w:tc>
          <w:tcPr>
            <w:tcW w:w="3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Silent mode</w:t>
            </w:r>
          </w:p>
        </w:tc>
        <w:tc>
          <w:tcPr>
            <w:tcW w:w="60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Battery-only treatment for about 45 minutes at full duty</w:t>
            </w:r>
          </w:p>
        </w:tc>
      </w:tr>
      <w:tr>
        <w:tc>
          <w:tcPr>
            <w:tcW w:w="3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Harness</w:t>
            </w:r>
          </w:p>
        </w:tc>
        <w:tc>
          <w:tcPr>
            <w:tcW w:w="60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Short-run onboard harness, shielded, with EMI/EMC verification against the OES and GNSS receivers</w:t>
            </w:r>
          </w:p>
        </w:tc>
      </w:tr>
    </w:tbl>
    <w:p>
      <w:pPr>
        <w:pStyle w:val="Caption"/>
      </w:pPr>
      <w:r>
        <w:t xml:space="preserve">Table 6: Onboard power system summary.</w:t>
      </w:r>
    </w:p>
    <w:p>
      <w:r>
        <w:t xml:space="preserve">Generator integration follows three rules: vibration isolators rated for off-road shock decouple the genset from the hull; cooling airflow draws from the rear volume and exhausts high and aft, away from the sensor mast and the treatment zone; and exhaust routing crosses no optical sightline. The battery bank sits low in the sealed hull inside a steel cradle with rollover protection and maintenance access through the cargo doors. The deleted umbilical shortens every power run, cutting both resistive loss and failure points.</w:t>
      </w:r>
    </w:p>
    <w:p>
      <w:pPr>
        <w:pStyle w:val="Heading1"/>
      </w:pPr>
      <w:r>
        <w:t xml:space="preserve">9. Stabilization Spray System</w:t>
      </w:r>
    </w:p>
    <w:p>
      <w:r>
        <w:t xml:space="preserve">The stabilization system keeps the Mk I chemistry: water plus 1 to 2 percent food-grade lime slurry, or water plus 0.5 to 1 percent food-grade mineral-oil emulsion, applied at about 50 L per treated hectare through four TeeJet boomless nozzles across the widened corridor. A Shurflo 4000-series high-flow pump feeds the boom, with Beckhoff-controlled solenoids metering to cycle rate. The onboard tank drops to 100 L because the drafting pump refills it from any lake, river, or stream the amphibious hull reaches: the vehicle draws untreated water through a strainer, mixes lime concentrate onboard, and returns to the corridor in minutes. Consumable cost stays near 1 dollar per hectare.</w:t>
      </w:r>
    </w:p>
    <w:p>
      <w:pPr>
        <w:pStyle w:val="Heading2"/>
      </w:pPr>
      <w:r>
        <w:t xml:space="preserve">9.1 Emergency Suppression System</w:t>
      </w:r>
    </w:p>
    <w:p>
      <w:r>
        <w:t xml:space="preserve">The Rugged variant adds a dedicated suppression tool for the rare ignition event the treatment process itself creates. The system answers a simple regulatory and operational question with hardware: the robot not only avoids ignition, it cleans up its own mistakes. The core mission stays prevention, not firefighting.</w:t>
      </w:r>
    </w:p>
    <w:p>
      <w:pPr>
        <w:pStyle w:val="Heading3"/>
      </w:pPr>
      <w:r>
        <w:t xml:space="preserve">Hardware configuration</w:t>
      </w:r>
    </w:p>
    <w:p>
      <w:pPr>
        <w:numPr>
          <w:ilvl w:val="0"/>
          <w:numId w:val="1"/>
        </w:numPr>
        <w:spacing w:after="80"/>
      </w:pPr>
      <w:r>
        <w:rPr>
          <w:b/>
        </w:rPr>
        <w:t xml:space="preserve">Tank: </w:t>
      </w:r>
      <w:r>
        <w:t xml:space="preserve">55 L dedicated clean-water reserve, mounted low and central for stability, separate from the stabilization mix; optional small wetting-agent proportion where permitted.</w:t>
      </w:r>
    </w:p>
    <w:p>
      <w:pPr>
        <w:numPr>
          <w:ilvl w:val="0"/>
          <w:numId w:val="1"/>
        </w:numPr>
        <w:spacing w:after="80"/>
      </w:pPr>
      <w:r>
        <w:rPr>
          <w:b/>
        </w:rPr>
        <w:t xml:space="preserve">Pump: </w:t>
      </w:r>
      <w:r>
        <w:t xml:space="preserve">24 V DC high-flow diaphragm pump, 40 L/min, intermittent short-burst duty, Beckhoff-driven relay with manual override.</w:t>
      </w:r>
    </w:p>
    <w:p>
      <w:pPr>
        <w:numPr>
          <w:ilvl w:val="0"/>
          <w:numId w:val="1"/>
        </w:numPr>
        <w:spacing w:after="80"/>
      </w:pPr>
      <w:r>
        <w:rPr>
          <w:b/>
        </w:rPr>
        <w:t xml:space="preserve">Nozzle: </w:t>
      </w:r>
      <w:r>
        <w:t xml:space="preserve">adjustable-pattern unit (solid stream to wide cone) at the front corner of the rack, angled 30 to 45 degrees downward into the treatment zone, 3 to 5 m effective reach.</w:t>
      </w:r>
    </w:p>
    <w:p>
      <w:pPr>
        <w:numPr>
          <w:ilvl w:val="0"/>
          <w:numId w:val="1"/>
        </w:numPr>
        <w:spacing w:after="80"/>
      </w:pPr>
      <w:r>
        <w:rPr>
          <w:b/>
        </w:rPr>
        <w:t xml:space="preserve">Plumbing: </w:t>
      </w:r>
      <w:r>
        <w:t xml:space="preserve">dedicated line with check valve, isolation valve, and drain fittings for freeze protection.</w:t>
      </w:r>
    </w:p>
    <w:p>
      <w:pPr>
        <w:pStyle w:val="Heading3"/>
      </w:pPr>
      <w:r>
        <w:t xml:space="preserve">Control and activation logic</w:t>
      </w:r>
    </w:p>
    <w:p>
      <w:pPr>
        <w:numPr>
          <w:ilvl w:val="0"/>
          <w:numId w:val="1"/>
        </w:numPr>
        <w:spacing w:after="80"/>
      </w:pPr>
      <w:r>
        <w:rPr>
          <w:b/>
        </w:rPr>
        <w:t xml:space="preserve">Manual: </w:t>
      </w:r>
      <w:r>
        <w:t xml:space="preserve">an EMERGENCY SPRAY button on the GCS plus a physical button on the vehicle for local crew.</w:t>
      </w:r>
    </w:p>
    <w:p>
      <w:pPr>
        <w:numPr>
          <w:ilvl w:val="0"/>
          <w:numId w:val="1"/>
        </w:numPr>
        <w:spacing w:after="80"/>
      </w:pPr>
      <w:r>
        <w:rPr>
          <w:b/>
        </w:rPr>
        <w:t xml:space="preserve">Automatic (configurable): </w:t>
      </w:r>
      <w:r>
        <w:t xml:space="preserve">a confirmed FS24X flame alarm during treatment mode, with the exclusion zone clear, fires the sequence: laser enable drops instantly through the existing interlock, RF power cuts, the pump runs a 2 to 5 s burst into the flagged zone.</w:t>
      </w:r>
    </w:p>
    <w:p>
      <w:pPr>
        <w:numPr>
          <w:ilvl w:val="0"/>
          <w:numId w:val="1"/>
        </w:numPr>
        <w:spacing w:after="80"/>
      </w:pPr>
      <w:r>
        <w:rPr>
          <w:b/>
        </w:rPr>
        <w:t xml:space="preserve">Safety-chain integration: </w:t>
      </w:r>
      <w:r>
        <w:t xml:space="preserve">pump control wires through the Pilz relay chain so the emergency spray never runs while lasers stay enabled; any safety fault defaults to lasers-off, spray-allowed.</w:t>
      </w:r>
    </w:p>
    <w:p>
      <w:pPr>
        <w:pStyle w:val="Heading3"/>
      </w:pPr>
      <w:r>
        <w:t xml:space="preserve">Operational doctrine</w:t>
      </w:r>
    </w:p>
    <w:p>
      <w:r>
        <w:t xml:space="preserve">Use cases cover small flare-ups during treatment, smoldering pockets flagged by the rear thermal camera, and hot spots near infrastructure. The system explicitly does not serve as a wildfire suppression tool beyond a few metres and never substitutes for conventional firefighting resources. After any ignition event, the operator verifies extinguishment through the thermal cameras, and the segment enters the log as an ignition-plus-suppression event for post-mission review. The added mass of about 68 kg and the short 200 to 400 W bursts fit the payload and power budgets with margin.</w:t>
      </w:r>
    </w:p>
    <w:p>
      <w:pPr>
        <w:pStyle w:val="Heading1"/>
      </w:pPr>
      <w:r>
        <w:t xml:space="preserve">10. Communications and Ground Control</w:t>
      </w:r>
    </w:p>
    <w:p>
      <w:r>
        <w:t xml:space="preserve">The Microhard pMDDL2450 2.4 GHz MIMO data-link pair carries telemetry, radiometric video thumbnails, teleoperation command traffic, and the mission planner channel between the vehicle and the Panasonic Toughbook 40 ground control station. The GCS draws treatment corridors on satellite or LiDAR base maps, sets dose and belt geometry per segment, chains long transit legs between remote segments, and monitors every interlock channel live. A Starlink Mini provides backhaul from the staging point. The teleoperation link carries an independent RC kill channel, and the geofence stays active even when the autonomy runs the route. In deep backcountry beyond radio range, the vehicle executes its pre-loaded mission plan autonomously and holds position if link loss exceeds the 2 s threshold during any laser-enabled state.</w:t>
      </w:r>
    </w:p>
    <w:p>
      <w:pPr>
        <w:pStyle w:val="Heading1"/>
      </w:pPr>
      <w:r>
        <w:t xml:space="preserve">11. Safety Architecture and Interlocks</w:t>
      </w:r>
    </w:p>
    <w:p>
      <w:r>
        <w:t xml:space="preserve">The array remains a Class 4 laser product. The taller chassis changes the geometry, so the safety case recalculates: the beam path stays enclosed and downward with the 10 to 80 cm standoff, and the higher mounting point extends the diffuse-reflection nominal ocular hazard distance modestly, setting the operating exclusion zone at 20 m pending the Phase 1 NHZ verification. The rack-position interlock guarantees the beam never fires outside treatment geometry, including the folded transit position.</w:t>
      </w:r>
    </w:p>
    <w:p>
      <w:pPr>
        <w:numPr>
          <w:ilvl w:val="0"/>
          <w:numId w:val="1"/>
        </w:numPr>
        <w:spacing w:after="80"/>
      </w:pPr>
      <w:r>
        <w:rPr>
          <w:b/>
        </w:rPr>
        <w:t xml:space="preserve">Hardwired abort chain: </w:t>
      </w:r>
      <w:r>
        <w:t xml:space="preserve">FS24X flame relay, tilt sensor (armed beyond the vehicle’s 30° rating), contact bumpers, RF skirt-lift switch, rack-position switch, and three IP65 emergency stops all wire into two Pilz PNOZ s4 relays that drop laser enable, RF enable, generator output, and teleop engine power in under 100 ms.</w:t>
      </w:r>
    </w:p>
    <w:p>
      <w:pPr>
        <w:numPr>
          <w:ilvl w:val="0"/>
          <w:numId w:val="1"/>
        </w:numPr>
        <w:spacing w:after="80"/>
      </w:pPr>
      <w:r>
        <w:rPr>
          <w:b/>
        </w:rPr>
        <w:t xml:space="preserve">Controller interlocks: </w:t>
      </w:r>
      <w:r>
        <w:t xml:space="preserve">PCM above 55 °C caps duty at 25 percent; surface temperature above 650 °C for more than 2 s ramps power down; OES combustion signature drops power to 50 percent on a controlled descent; vehicle motion during firing (outside the commanded step window) cuts the beam.</w:t>
      </w:r>
    </w:p>
    <w:p>
      <w:pPr>
        <w:numPr>
          <w:ilvl w:val="0"/>
          <w:numId w:val="1"/>
        </w:numPr>
        <w:spacing w:after="80"/>
      </w:pPr>
      <w:r>
        <w:rPr>
          <w:b/>
        </w:rPr>
        <w:t xml:space="preserve">Environmental limits: </w:t>
      </w:r>
      <w:r>
        <w:t xml:space="preserve">wind gusts above 40 km/h, precipitation, or GNSS/RTK loss outside geofence pause treatment and hold position.</w:t>
      </w:r>
    </w:p>
    <w:p>
      <w:pPr>
        <w:numPr>
          <w:ilvl w:val="0"/>
          <w:numId w:val="1"/>
        </w:numPr>
        <w:spacing w:after="80"/>
      </w:pPr>
      <w:r>
        <w:rPr>
          <w:b/>
        </w:rPr>
        <w:t xml:space="preserve">Human safety kit: </w:t>
      </w:r>
      <w:r>
        <w:t xml:space="preserve">OD7+ 1064 nm eyewear inside the exclusion zone, warning beacon and signage, four OD7 laser curtains for the base test bay, and two 10 lb ABC extinguishers aboard.</w:t>
      </w:r>
    </w:p>
    <w:p>
      <w:pPr>
        <w:numPr>
          <w:ilvl w:val="0"/>
          <w:numId w:val="1"/>
        </w:numPr>
        <w:spacing w:after="80"/>
      </w:pPr>
      <w:r>
        <w:rPr>
          <w:b/>
        </w:rPr>
        <w:t xml:space="preserve">Suppression layer: </w:t>
      </w:r>
      <w:r>
        <w:t xml:space="preserve">the Section 9.1 emergency system gives operator and automatic knockdown of any ignition event, with the interlock guaranteeing spray-only-when-lasers-off.</w:t>
      </w:r>
    </w:p>
    <w:p>
      <w:pPr>
        <w:pStyle w:val="Heading1"/>
      </w:pPr>
      <w:r>
        <w:t xml:space="preserve">12. Control Software and Treatment Logic</w:t>
      </w:r>
    </w:p>
    <w:p>
      <w:r>
        <w:t xml:space="preserve">The four-part control architecture of Mk I carries over, retuned for the 12 to 21 s dwell and the step-and-dwell cycle.</w:t>
      </w:r>
    </w:p>
    <w:p>
      <w:pPr>
        <w:numPr>
          <w:ilvl w:val="0"/>
          <w:numId w:val="1"/>
        </w:numPr>
        <w:spacing w:after="80"/>
      </w:pPr>
      <w:r>
        <w:rPr>
          <w:b/>
        </w:rPr>
        <w:t xml:space="preserve">Closed-loop carbonization: </w:t>
      </w:r>
      <w:r>
        <w:t xml:space="preserve">the fused thermal, OES, and flame-detection loop ramps into the 550 to 650 °C carbonization band, holds while the C2 Swan signature confirms aromatization, and cuts before H-alpha or a CO2 spike. The shorter dwell tightens every timing threshold; Phase 0 re-validates abort latency at the 16 s design cycle.</w:t>
      </w:r>
    </w:p>
    <w:p>
      <w:pPr>
        <w:numPr>
          <w:ilvl w:val="0"/>
          <w:numId w:val="1"/>
        </w:numPr>
        <w:spacing w:after="80"/>
      </w:pPr>
      <w:r>
        <w:rPr>
          <w:b/>
        </w:rPr>
        <w:t xml:space="preserve">Layer 1, dead-reckoning fallback: </w:t>
      </w:r>
      <w:r>
        <w:t xml:space="preserve">the pre-characterized fuel lookup tables now include paired-head 4 kW entries; degraded sensors switch the affected belt pair to open-loop dwell at 20 percent power derate and log the segment.</w:t>
      </w:r>
    </w:p>
    <w:p>
      <w:pPr>
        <w:numPr>
          <w:ilvl w:val="0"/>
          <w:numId w:val="1"/>
        </w:numPr>
        <w:spacing w:after="80"/>
      </w:pPr>
      <w:r>
        <w:rPr>
          <w:b/>
        </w:rPr>
        <w:t xml:space="preserve">Layer 2, cooling verification: </w:t>
      </w:r>
      <w:r>
        <w:t xml:space="preserve">the rear camera checks each patch’s exponential cooling during the 30 to 60 s after firing, which spans the next two to three dwell cycles; smolder signatures trigger stop, reverse, re-treat, then mark-and-skip on a second failure.</w:t>
      </w:r>
    </w:p>
    <w:p>
      <w:pPr>
        <w:numPr>
          <w:ilvl w:val="0"/>
          <w:numId w:val="1"/>
        </w:numPr>
        <w:spacing w:after="80"/>
      </w:pPr>
      <w:r>
        <w:rPr>
          <w:b/>
        </w:rPr>
        <w:t xml:space="preserve">Layer 3, staggered-belt redundancy: </w:t>
      </w:r>
      <w:r>
        <w:t xml:space="preserve">four staggered belts mean a failed 1 m segment still leaves three intact neighbours; the wider corridor deepens the redundancy against fire spread.</w:t>
      </w:r>
    </w:p>
    <w:p>
      <w:pPr>
        <w:numPr>
          <w:ilvl w:val="0"/>
          <w:numId w:val="1"/>
        </w:numPr>
        <w:spacing w:after="80"/>
      </w:pPr>
      <w:r>
        <w:rPr>
          <w:b/>
        </w:rPr>
        <w:t xml:space="preserve">Cycle and terrain coupling: </w:t>
      </w:r>
      <w:r>
        <w:t xml:space="preserve">speed-adaptive scaling becomes step-adaptive scaling: the controller maps step frequency and laser duty to the Doosan torque curve, holding the vehicle engine in its efficient band on climbs; solar-insolation and aspect maps trim dose on dry south-facing slopes and extend dwell on moist north-facing ones, saving about 12 percent energy per kilometre across varied terrain.</w:t>
      </w:r>
    </w:p>
    <w:p>
      <w:pPr>
        <w:pStyle w:val="Heading1"/>
      </w:pPr>
      <w:r>
        <w:t xml:space="preserve">13. Consolidated Bill of Materials</w:t>
      </w:r>
    </w:p>
    <w:p>
      <w:r>
        <w:t xml:space="preserve">Table 7 lists every part in the Rugged prototype: name, quantity, unit cost in Canadian dollars, line cost, and a source to obtain it. Prices reflect vendor listings checked in late July and early August 2026; Appendix A states the currency basis and which lines are budgetary estimates.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40"/>
        <w:gridCol w:w="1050"/>
        <w:gridCol w:w="3300"/>
        <w:gridCol w:w="400"/>
        <w:gridCol w:w="800"/>
        <w:gridCol w:w="850"/>
        <w:gridCol w:w="2900"/>
      </w:tblGrid>
      <w:tr>
        <w:trPr>
          <w:tblHeader/>
        </w:trPr>
        <w:tc>
          <w:tcPr>
            <w:tcW w:w="3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w:t>
            </w:r>
          </w:p>
        </w:tc>
        <w:tc>
          <w:tcPr>
            <w:tcW w:w="105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Subsystem</w:t>
            </w:r>
          </w:p>
        </w:tc>
        <w:tc>
          <w:tcPr>
            <w:tcW w:w="33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Item</w:t>
            </w:r>
          </w:p>
        </w:tc>
        <w:tc>
          <w:tcPr>
            <w:tcW w:w="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Qty</w:t>
            </w:r>
          </w:p>
        </w:tc>
        <w:tc>
          <w:tcPr>
            <w:tcW w:w="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Unit CAD</w:t>
            </w:r>
          </w:p>
        </w:tc>
        <w:tc>
          <w:tcPr>
            <w:tcW w:w="85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Line CAD</w:t>
            </w:r>
          </w:p>
        </w:tc>
        <w:tc>
          <w:tcPr>
            <w:tcW w:w="29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6"/>
              </w:rPr>
              <w:t xml:space="preserve">Source</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SHERP N 1200 amphibious ATV, Doosan D18 55 hp, 1200 kg payload</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175,000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175,000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MarketBook.ca Canadian dealer listings (CAD 175,000-189,000); sherp.ca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Mobility Platform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Drive-by-wire teleoperation conversion: Bowden servo box, controller, force-feedback RC kit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integration per DLR/Sensodrive AHEAD pattern (budgetary, RFQ)</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Raycus RFL-C2000S 2 kW CW fiber laser source, 1080 nm, 5 kHz modulation</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5,040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40,320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Cloudray (cloudraylaser.com, USD 3,599 ea)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Beam delivery fiber 100 µm × 10 m, QBH connector, with collimator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Cloudray / Ospri (cloudraylaser.com)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Cylindrical lens top-hat beam shaper set, AR 1064 nm, with mounts (70 × 20 cm footprint)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Edmund Optics Canada (edmundoptics.ca)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Array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Fused-silica protective windows, AR 1064 nm, spare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Edmund Optics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80/20 aluminum extrusion, plate, and bracket lot for widened rack frame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80/20 Inc. via Canadian distributor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Progressive Automations PA-17 24-inch-stroke industrial actuator, 24 V, 2000 lb</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2,480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Progressive Automations, Victoria BC (progressiveautomations.ca)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Wire-rope and elastomer vibration isolators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VibraSystems / McMaster-Carr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Treatment Rack</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Phase-change thermal battery: 90 kg RT50-class paraffin PCM in sealed aluminum panels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Rubitherm RT line via distributor / technical paraffin supplier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RFHIC RIM251K6-20G 1.6 kW 2.45 GHz GaN solid-state microwave generator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RFHIC (rfhic.com, budgetary, RFQ)</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Waveguide applicator horn and RF-shielding mesh skirt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plus Laird / Leader Tech shielding</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RF Pre-Dryer</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Microwave leakage survey meter, 2.45 GHz ISM</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ETS-Lindgren HI-1501 via Canadian distributor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Teledyne FLIR A70 Thermal Core, 640 × 480, high-temp option to 1000 °C</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20,800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ITM Instruments, Ontario (itm.com, CAD 10,400 ea)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Avantes AvaSpec-ULS2048CL-EVO spectrometer 200-1100 nm, 600 µm fiber, collimating probe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Avantes via distributor (avantes.com)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Honeywell FS24X Plus triple-IR flame detector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7,525</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7,525</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Instrumart (USD 5,374)</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Ouster OS1-32 Rev 7 3D LiDAR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Ouster / MYBOTSHOP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Emlid Reach RS3 RTK GNSS base + rover survey kit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Emlid store (USD 5,998); RobotShop.ca carries RS3</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METER TEROS 10 soil moisture probe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Hoskin Scientific, Canada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Davis Vantage Pro2 wireless weather station</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Hoskin Scientific, Canada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Sensing</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Folding sensor mast, 1.2 m, vibration-isolated</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fabrication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NVIDIA Jetson AGX Orin 64 GB developer kit, 275 TOPS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6,900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6,900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RobotShop.ca / firefly.store</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CX5140-0125 embedded PC with TwinCAT 3</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4,565</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4,565</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Canada / plcpartssolution.com (USD 3,260)</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EtherCAT I/O terminal bundle, expanded (2 × EL1809, 2 × EL2809, EL3064, 2 × EL4132)</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Beckhoff Canada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Compute &amp; Control</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Fanless rugged compute enclosure with conductive heat sinking</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Custom plus Axiomtek / Stealth parts</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 kW compact vehicle-mount diesel generator, sound enclosure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Central Maine Diesel / Northern Lights dealer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51.2 V 200 Ah LiFePO4 rack battery, 10.24 kWh, BMS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JM Battery / CHARGEX (USD ~1,290 ea, DDP Canada)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Skylla-i 48 V charger</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(volts.ca / pkys.com)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Orion-Tr 48/24-16 A isolated DC-DC</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(pkys.com)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Orion 24/12-40 DC-DC</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260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Victron dealer (pkys.com)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 Kilovac EV200 contactors, Littelfuse fuses, busbars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Mouser.ca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Cable, lugs, DIN rail, breakers, glands (short-run harness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1,200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AutomationDirect</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Power System</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Generator fuel tap, filtration, and plumbing into SHERP main tank</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local hose shop</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Thermal (Base)</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S&amp;A TEYU CWFL-3000 industrial chiller, base re-cooling and bench</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6,160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TEYU S&amp;A (teyuchiller.com, USD 2,199 ea)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Thermal (Base)</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Onboard glycol loop plumbing and 24 V circulation pump</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McMaster-Carr / Princess Auto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EXAIR model 110036 36-inch aluminum Super Air Knife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EXAIR (exair.com, USD 966)</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Viair 24 V continuous-duty onboard air compressor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Viair via Canadian 4x4 distributors</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Smoke Management</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Air regulator, filter, and fittings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McMaster-Carr</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110 L polyethylene spray tank (stabilization mix)</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320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FIMCO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Shurflo 4000-series 12 V high-flow diaphragm pump</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380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agspray.com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boomless nozzle bodies and tips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280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via agspray.com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Solenoid valves, hose, and fittings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Stabilization Spray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Water drafting transfer pump with suction hose and strainer</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Waterax dealer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55 L polyethylene tank, dedicated clean-water reserve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220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FIMCO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 V high-flow pump, 40 L/min, intermittent duty</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agspray.com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Adjustable-pattern nozzle, solid stream to wide cone, 3-5 m reach</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130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TeeJet / agspray.com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Check valve, isolation valve, drain fittings, dedicated line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420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 / McMaster-Carr</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Emergency Suppression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GCS panic button and vehicle-local button hardware</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90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Microhard pMDDL2450 MIMO data-link pair with carriers and antennas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1,540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Microhard, Toronto ON, via ModalAI / ARK Electron</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Panasonic Toughbook 40 ground control station</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Panasonic Canada / CDW.ca (budgetary)</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Comms &amp; GCS</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Starlink Mini backup backhaul terminal</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399</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399</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Starlink (starlink.com)</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52</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Pilz PNOZ s4 24 VDC safety relay</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houseofelectrical.com</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53</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IDEC IP65 emergency-stop stations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80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240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54</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Keyed interlock switches, tilt sensor, contact bumper strips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700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AutomationDirect</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55</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Safety Industries OD7 1064 nm laser curtain, base test bay</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575</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2,300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lasersafetyindustries.com (CAD 575 ea)</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56</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 warning beacon stack light and signage lot</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350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AutomationDirect / local sign shop</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57</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OD7+ laser safety eyewear, 1064 nm</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Laservision / Phillips Safety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58</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Safety</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10 lb ABC fire extinguishers with vehicle mounts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2</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150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300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Princess Auto</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59</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Steel and aluminum fabrication incl. parallelogram linkage, welding, powder coat</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Local fabrication shop (budgetary)</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60</w:t>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Deutsch DT and Amphenol connectors, fasteners, cable glands</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1,400</w:t>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1,400</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DigiKey.ca / Mouser.ca</w:t>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61</w:t>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Integration</w:t>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Commissioning consumables: lime, mineral oil, glycol, PPE</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1</w:t>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400</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Home Hardware / Princess Auto</w:t>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Subtotal</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443,679</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r>
        <w:tc>
          <w:tcPr>
            <w:tcW w:w="34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Contingency, 10% (price movement, freight, duties)</w:t>
            </w:r>
          </w:p>
        </w:tc>
        <w:tc>
          <w:tcPr>
            <w:tcW w:w="4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44,368</w:t>
            </w:r>
          </w:p>
        </w:tc>
        <w:tc>
          <w:tcPr>
            <w:tcW w:w="2900" w:type="dxa"/>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r>
        <w:tc>
          <w:tcPr>
            <w:tcW w:w="3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10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3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Grand total, prototype unit (CAD)</w:t>
            </w:r>
          </w:p>
        </w:tc>
        <w:tc>
          <w:tcPr>
            <w:tcW w:w="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c>
          <w:tcPr>
            <w:tcW w:w="85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488,047</w:t>
            </w:r>
          </w:p>
        </w:tc>
        <w:tc>
          <w:tcPr>
            <w:tcW w:w="29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6"/>
              </w:rPr>
              <w:t xml:space="preserve"/>
            </w:r>
          </w:p>
        </w:tc>
      </w:tr>
    </w:tbl>
    <w:p>
      <w:pPr>
        <w:pStyle w:val="Caption"/>
      </w:pPr>
      <w:r>
        <w:t xml:space="preserve">Table 7: Consolidated bill of materials, Contra Favillas Rugged v1.1, all prices CAD.</w:t>
      </w:r>
    </w:p>
    <w:p>
      <w:pPr>
        <w:pStyle w:val="Heading1"/>
      </w:pPr>
      <w:r>
        <w:t xml:space="preserve">14. Cost Summary and Variant Comparison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200"/>
        <w:gridCol w:w="2200"/>
        <w:gridCol w:w="1600"/>
      </w:tblGrid>
      <w:tr>
        <w:trPr>
          <w:tblHeader/>
        </w:trPr>
        <w:tc>
          <w:tcPr>
            <w:tcW w:w="4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Subsystem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Cost (CAD)</w:t>
            </w:r>
          </w:p>
        </w:tc>
        <w:tc>
          <w:tcPr>
            <w:tcW w:w="16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Share</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Mobility Platform</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203,000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45.8%</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Array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62,520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14.1%</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Treatment Rack</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10,530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2.4%</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Pre-Dryer</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27,000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6.1%</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57,665</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13.0%</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Compute &amp; Control</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15,865</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Power System</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36,000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8.1%</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Thermal (Base)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7,060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1.6%</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Smoke Management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2,300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0.5%</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Stabilization Spray</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1,930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0.4%</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Emergency Suppression</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1,380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0.3%</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Comms &amp; GCS</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6,739</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Safety</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5,090</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1.1%</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Integration</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6,600</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1.5%</w:t>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Subtotal</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443,679</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100.0%</w:t>
            </w:r>
          </w:p>
        </w:tc>
      </w:tr>
      <w:tr>
        <w:tc>
          <w:tcPr>
            <w:tcW w:w="4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Contingency, 10%</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44,368</w:t>
            </w:r>
          </w:p>
        </w:tc>
        <w:tc>
          <w:tcPr>
            <w:tcW w:w="16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r>
      <w:tr>
        <w:tc>
          <w:tcPr>
            <w:tcW w:w="4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Grand total (CAD)</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488,047</w:t>
            </w:r>
          </w:p>
        </w:tc>
        <w:tc>
          <w:tcPr>
            <w:tcW w:w="16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
            </w:r>
          </w:p>
        </w:tc>
      </w:tr>
    </w:tbl>
    <w:p>
      <w:pPr>
        <w:pStyle w:val="Caption"/>
      </w:pPr>
      <w:r>
        <w:t xml:space="preserve">Table 8: Cost roll-up by subsystem.</w:t>
      </w:r>
    </w:p>
    <w:p>
      <w:pPr>
        <w:keepNext/>
        <w:spacing w:before="200" w:after="60"/>
        <w:jc w:val="center"/>
      </w:pPr>
      <w:r>
        <w:drawing>
          <wp:inline distT="0" distB="0" distL="0" distR="0">
            <wp:extent cx="5400000" cy="2856370"/>
            <wp:effectExtent l="0" t="0" r="0" b="0"/>
            <wp:docPr id="102" name="CostBreakdown"/>
            <wp:cNvGraphicFramePr>
              <a:graphicFrameLocks noChangeAspect="1"/>
            </wp:cNvGraphicFramePr>
            <a:graphic>
              <a:graphicData uri="http://schemas.openxmlformats.org/drawingml/2006/picture">
                <pic:pic>
                  <pic:nvPicPr>
                    <pic:cNvPr id="0" name="CostBreakdown.png"/>
                    <pic:cNvPicPr/>
                  </pic:nvPicPr>
                  <pic:blipFill>
                    <a:blip r:embed="R283cec21c3b74710"/>
                    <a:stretch>
                      <a:fillRect/>
                    </a:stretch>
                  </pic:blipFill>
                  <pic:spPr>
                    <a:xfrm>
                      <a:off x="0" y="0"/>
                      <a:ext cx="5400000" cy="2856370"/>
                    </a:xfrm>
                    <a:prstGeom prst="rect"/>
                  </pic:spPr>
                </pic:pic>
              </a:graphicData>
            </a:graphic>
          </wp:inline>
        </w:drawing>
      </w:r>
    </w:p>
    <w:p>
      <w:pPr>
        <w:pStyle w:val="Caption"/>
      </w:pPr>
      <w:r>
        <w:t xml:space="preserve">Figure 3: Bill-of-materials cost by subsystem.</w:t>
      </w:r>
    </w:p>
    <w:p>
      <w:r>
        <w:t xml:space="preserve">The Rugged prototype lands at CAD 488,047 against CAD 346,981 for Mk I, a 41 percent increase that buys double the optical power, nearly four times the corridor width per pass, about double the daily output, and access to terrain that Mk I physically cannot enter. Cost per treated corridor-kilometre improves accordingly: Section 18 quantifies the gain. Procurement leads with the SHERP (dealer stock or 8 to 12 week order), the teleoperation conversion (12 to 16 weeks, RFQ), the generator (8 to 9 weeks), and the RFHIC unit and FLIR cores (4 to 6 weeks).</w:t>
      </w:r>
    </w:p>
    <w:p>
      <w:pPr>
        <w:pStyle w:val="Heading1"/>
      </w:pPr>
      <w:r>
        <w:t xml:space="preserve">15. Assembly and Integration Plan</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1400"/>
        <w:gridCol w:w="5300"/>
        <w:gridCol w:w="2940"/>
      </w:tblGrid>
      <w:tr>
        <w:trPr>
          <w:tblHeader/>
        </w:trPr>
        <w:tc>
          <w:tcPr>
            <w:tcW w:w="14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Weeks</w:t>
            </w:r>
          </w:p>
        </w:tc>
        <w:tc>
          <w:tcPr>
            <w:tcW w:w="53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Work package</w:t>
            </w:r>
          </w:p>
        </w:tc>
        <w:tc>
          <w:tcPr>
            <w:tcW w:w="29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Exit criteria</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1-4</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Teleoperation conversion: Bowden box, brake actuator, controller integration</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Remote drive with 0.4 s e-stop demonstrated</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Generator compartment, hull battery cradle, short-run harness</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25 kW sustained load test, 2 h</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3-6</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Rack frame, parallelogram linkage, transit-mode lockouts</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Standoff 10-80 cm, level heads on 20° tilt</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4-8</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Laser bench integration: 8 sources, fibers, 70 cm top-hat heads, chillers</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Footprint profile measured at all standoffs</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6-9</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Sensing installation: mast, FLIR recalibration, OES, FS24X, LiDAR, RTK</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All channels logging; occlusion map complete</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5-11</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Control software: step-and-dwell timing, closed loop, Layers 1-3, route planner</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Hardware-in-the-loop pass at 16 s cycle</w:t>
            </w:r>
          </w:p>
        </w:tc>
      </w:tr>
      <w:tr>
        <w:tc>
          <w:tcPr>
            <w:tcW w:w="14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9-12</w:t>
            </w:r>
          </w:p>
        </w:tc>
        <w:tc>
          <w:tcPr>
            <w:tcW w:w="53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Safety validation: interlock chain, abort timing, NHZ at new geometry, suppression drill</w:t>
            </w:r>
          </w:p>
        </w:tc>
        <w:tc>
          <w:tcPr>
            <w:tcW w:w="29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Flame-to-shutdown under 100 ms; spray burst verified</w:t>
            </w:r>
          </w:p>
        </w:tc>
      </w:tr>
      <w:tr>
        <w:tc>
          <w:tcPr>
            <w:tcW w:w="14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13-16</w:t>
            </w:r>
          </w:p>
        </w:tc>
        <w:tc>
          <w:tcPr>
            <w:tcW w:w="53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Field dry runs: step accuracy, grade and water crossings, then low-power beam on inert targets</w:t>
            </w:r>
          </w:p>
        </w:tc>
        <w:tc>
          <w:tcPr>
            <w:tcW w:w="29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cm step registration over 1 km; beam QA</w:t>
            </w:r>
          </w:p>
        </w:tc>
      </w:tr>
    </w:tbl>
    <w:p>
      <w:pPr>
        <w:pStyle w:val="Caption"/>
      </w:pPr>
      <w:r>
        <w:t xml:space="preserve">Table 9: Sixteen-week assembly and integration plan.</w:t>
      </w:r>
    </w:p>
    <w:p>
      <w:pPr>
        <w:pStyle w:val="Heading1"/>
      </w:pPr>
      <w:r>
        <w:t xml:space="preserve">16. Regulatory and Compliance Framework</w:t>
      </w:r>
    </w:p>
    <w:p>
      <w:pPr>
        <w:numPr>
          <w:ilvl w:val="0"/>
          <w:numId w:val="1"/>
        </w:numPr>
        <w:spacing w:after="80"/>
      </w:pPr>
      <w:r>
        <w:rPr>
          <w:b/>
        </w:rPr>
        <w:t xml:space="preserve">Laser product: </w:t>
      </w:r>
      <w:r>
        <w:t xml:space="preserve">Class 4 operation follows ANSI Z136.1 practice, provincial occupational health and safety rules, and the Radiation Emitting Devices Act (Health Canada); the laser safety officer owns the recalculated NHZ and the updated safety case for the taller beam geometry.</w:t>
      </w:r>
    </w:p>
    <w:p>
      <w:pPr>
        <w:numPr>
          <w:ilvl w:val="0"/>
          <w:numId w:val="1"/>
        </w:numPr>
        <w:spacing w:after="80"/>
      </w:pPr>
      <w:r>
        <w:rPr>
          <w:b/>
        </w:rPr>
        <w:t xml:space="preserve">Wildland operations: </w:t>
      </w:r>
      <w:r>
        <w:t xml:space="preserve">provincial wildfire legislation governs ignition-capable activity in and near forests (for example the BC Wildfire Act high-risk activity rules). Backcountry deployment adds fire-watch obligations, restricted-activity windows during extreme danger ratings, and coordination with the local wildfire service district before every campaign.</w:t>
      </w:r>
    </w:p>
    <w:p>
      <w:pPr>
        <w:numPr>
          <w:ilvl w:val="0"/>
          <w:numId w:val="1"/>
        </w:numPr>
        <w:spacing w:after="80"/>
      </w:pPr>
      <w:r>
        <w:rPr>
          <w:b/>
        </w:rPr>
        <w:t xml:space="preserve">Vehicle operation: </w:t>
      </w:r>
      <w:r>
        <w:t xml:space="preserve">the SHERP operates as an off-road vehicle under provincial off-road vehicle rules; teleoperation adds an operational-authority review with the land manager since the cabin runs empty during treatment. The amphibious capability engages water-crossing and environmental-protection conditions on a site-by-site basis.</w:t>
      </w:r>
    </w:p>
    <w:p>
      <w:pPr>
        <w:numPr>
          <w:ilvl w:val="0"/>
          <w:numId w:val="1"/>
        </w:numPr>
        <w:spacing w:after="80"/>
      </w:pPr>
      <w:r>
        <w:rPr>
          <w:b/>
        </w:rPr>
        <w:t xml:space="preserve">RF emissions: </w:t>
      </w:r>
      <w:r>
        <w:t xml:space="preserve">the 2.45 GHz pre-dryer follows ISED interference-causing equipment standards; data link and RTK radios operate in licence-free bands.</w:t>
      </w:r>
    </w:p>
    <w:p>
      <w:pPr>
        <w:numPr>
          <w:ilvl w:val="0"/>
          <w:numId w:val="1"/>
        </w:numPr>
        <w:spacing w:after="80"/>
      </w:pPr>
      <w:r>
        <w:rPr>
          <w:b/>
        </w:rPr>
        <w:t xml:space="preserve">Fuel and environment: </w:t>
      </w:r>
      <w:r>
        <w:t xml:space="preserve">the 327 L onboard fuel inventory triggers TDG and spill-response planning; the drafting pump respects water-use and aquatic-invasive-species rules, including strainer and decontamination practice between water bodies.</w:t>
      </w:r>
    </w:p>
    <w:p>
      <w:pPr>
        <w:numPr>
          <w:ilvl w:val="0"/>
          <w:numId w:val="1"/>
        </w:numPr>
        <w:spacing w:after="80"/>
      </w:pPr>
      <w:r>
        <w:rPr>
          <w:b/>
        </w:rPr>
        <w:t xml:space="preserve">Field ethics and ecology: </w:t>
      </w:r>
      <w:r>
        <w:t xml:space="preserve">the mosaic doctrine, untreated corridors, and full treatment logging carry over from Mk I; low ground pressure minimizes soil disturbance on sensitive terrain.</w:t>
      </w:r>
    </w:p>
    <w:p>
      <w:pPr>
        <w:pStyle w:val="Heading1"/>
      </w:pPr>
      <w:r>
        <w:t xml:space="preserve">17. Test and Validation Plan</w:t>
      </w:r>
    </w:p>
    <w:p>
      <w:r>
        <w:rPr>
          <w:b/>
          <w:color w:val="7B3F24"/>
        </w:rPr>
        <w:t xml:space="preserve">Phase 0, bench validation (8 to 12 weeks): </w:t>
      </w:r>
      <w:r>
        <w:t xml:space="preserve">burn-chamber campaigns on six regional fuel types re-derive dose-response curves for the paired 4 kW belt configuration, validate OES abort signatures at the 16 s cycle, and confirm char quality targets (peak heat release under 60 kW/m²) at the shorter dwell. Stabilization spray performance is verified over 30-day char-stability observation.</w:t>
      </w:r>
    </w:p>
    <w:p>
      <w:r>
        <w:rPr>
          <w:b/>
          <w:color w:val="7B3F24"/>
        </w:rPr>
        <w:t xml:space="preserve">Phase 1, engineering and terrain validation (one season): </w:t>
      </w:r>
      <w:r>
        <w:t xml:space="preserve">teleoperation drills including 0.4 s emergency stop and link-loss behaviour; step-and-dwell registration accuracy over 1 km; rack structural validation on 35° grades, 30° tilts, 1 m obstacles, and water crossings; NHZ verification at the new beam geometry; suppression-system live drills with staged flare-ups.</w:t>
      </w:r>
    </w:p>
    <w:p>
      <w:r>
        <w:rPr>
          <w:b/>
          <w:color w:val="7B3F24"/>
        </w:rPr>
        <w:t xml:space="preserve">Phase 2, controlled field trials (one pre-season): </w:t>
      </w:r>
      <w:r>
        <w:t xml:space="preserve">100 m corridors across four terrain classes (cutblock slash, muskeg edge, steep slope, riparian) validate the full stack: sensor-degradation drills for Layer 1, seeded smolder pockets for Layer 2, forced segment failures for Layer 3, and cooling-curve review of every metre.</w:t>
      </w:r>
    </w:p>
    <w:p>
      <w:r>
        <w:rPr>
          <w:b/>
          <w:color w:val="7B3F24"/>
        </w:rPr>
        <w:t xml:space="preserve">Phase 3, operational pilot (one pre-season): </w:t>
      </w:r>
      <w:r>
        <w:t xml:space="preserve">four to six units treat a 5 to 10 km remote corridor network around a backcountry community or infrastructure asset under provincial supervision. Success metrics: laser energy per kilometre, char stability, ignition resistance, ecological cores at 3 and 12 months, and cost per protected kilometre against helicopter-supported alternatives.</w:t>
      </w:r>
    </w:p>
    <w:p>
      <w:r>
        <w:rPr>
          <w:b/>
          <w:color w:val="7B3F24"/>
        </w:rPr>
        <w:t xml:space="preserve">Phase 4, scale or pivot: </w:t>
      </w:r>
      <w:r>
        <w:t xml:space="preserve">favourable results trigger fleet expansion to corridor networks; the hydrostatic creeper-drive retrofit and second RF applicator enter as Mk II optimizations if field data justifies them.</w:t>
      </w:r>
    </w:p>
    <w:p>
      <w:pPr>
        <w:pStyle w:val="Heading1"/>
      </w:pPr>
      <w:r>
        <w:t xml:space="preserve">18. Operational Economics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4800"/>
        <w:gridCol w:w="2200"/>
        <w:gridCol w:w="2640"/>
      </w:tblGrid>
      <w:tr>
        <w:trPr>
          <w:tblHeader/>
        </w:trPr>
        <w:tc>
          <w:tcPr>
            <w:tcW w:w="48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Item</w:t>
            </w:r>
          </w:p>
        </w:tc>
        <w:tc>
          <w:tcPr>
            <w:tcW w:w="22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Value</w:t>
            </w:r>
          </w:p>
        </w:tc>
        <w:tc>
          <w:tcPr>
            <w:tcW w:w="2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Basis</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Prototype capex per unit</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488,047</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Table 8, including contingency</w:t>
            </w:r>
          </w:p>
        </w:tc>
      </w:tr>
      <w:tr>
        <w:tc>
          <w:tcPr>
            <w:tcW w:w="4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Daily opex per unit</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640</w:t>
            </w:r>
          </w:p>
        </w:tc>
        <w:tc>
          <w:tcPr>
            <w:tcW w:w="2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Diesel ~100 L combined, one operator, maintenance, consumables</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Output per day</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0.28-0.43 km four-belt corridor</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Table 4</w:t>
            </w:r>
          </w:p>
        </w:tc>
      </w:tr>
      <w:tr>
        <w:tc>
          <w:tcPr>
            <w:tcW w:w="48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Cost per corridor-kilometre</w:t>
            </w:r>
          </w:p>
        </w:tc>
        <w:tc>
          <w:tcPr>
            <w:tcW w:w="22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~CAD 1,500-2,300</w:t>
            </w:r>
          </w:p>
        </w:tc>
        <w:tc>
          <w:tcPr>
            <w:tcW w:w="2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Opex basis; excludes capex amortization</w:t>
            </w:r>
          </w:p>
        </w:tc>
      </w:tr>
      <w:tr>
        <w:tc>
          <w:tcPr>
            <w:tcW w:w="48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Fleet for 10 km remote perimeter</w:t>
            </w:r>
          </w:p>
        </w:tc>
        <w:tc>
          <w:tcPr>
            <w:tcW w:w="22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4-6 units, about 1-2 weeks</w:t>
            </w:r>
          </w:p>
        </w:tc>
        <w:tc>
          <w:tcPr>
            <w:tcW w:w="2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1.3</w:t>
            </w:r>
          </w:p>
        </w:tc>
      </w:tr>
    </w:tbl>
    <w:p>
      <w:pPr>
        <w:pStyle w:val="Caption"/>
      </w:pPr>
      <w:r>
        <w:t xml:space="preserve">Table 10: Operational economics summary.</w:t>
      </w:r>
    </w:p>
    <w:p>
      <w:r>
        <w:t xml:space="preserve">The Rugged variant improves the economics that matter in its terrain class. Mk I costs CAD 1,800 to 3,600 per protected kilometre on accessible ground; the Rugged variant reaches CAD 1,500 to 2,300 per corridor-kilometre while covering a 5.5 m corridor instead of 1.5 m, and it operates where the realistic alternatives, helicopter-supported crews or dozer lines, cost several times more and carry their own risks. Capex amortized over a ten-year life adds roughly CAD 1,200 per corridor-kilometre at three treated kilometres per week during an eight-week season. The prevention economics still anchor the case: every dollar of treatment offsets about 3.75 dollars of wildfire damage, and remote ignition points that current tools cannot pre-treat drive a disproportionate share of megafire growth.</w:t>
      </w:r>
    </w:p>
    <w:p>
      <w:pPr>
        <w:pStyle w:val="Heading1"/>
      </w:pPr>
      <w:r>
        <w:t xml:space="preserve">19. Risks and Mitigations</w:t>
      </w:r>
    </w:p>
    <w:tbl>
      <w:tblPr>
        <w:tblW w:w="5000" w:type="pct"/>
        <w:tblBorders>
          <w:top w:val="single" w:color="7B3F24" w:sz="10"/>
          <w:left w:val="single" w:color="D9CCC2" w:sz="4"/>
          <w:bottom w:val="single" w:color="7B3F24" w:sz="10"/>
          <w:right w:val="single" w:color="D9CCC2" w:sz="4"/>
          <w:insideH w:val="single" w:color="D9CCC2" w:sz="4"/>
          <w:insideV w:val="single" w:color="D9CCC2" w:sz="4"/>
        </w:tblBorders>
        <w:tblLayout w:type="fixed"/>
      </w:tblPr>
      <w:tblGrid>
        <w:gridCol w:w="3000"/>
        <w:gridCol w:w="6640"/>
      </w:tblGrid>
      <w:tr>
        <w:trPr>
          <w:tblHeader/>
        </w:trPr>
        <w:tc>
          <w:tcPr>
            <w:tcW w:w="300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Risk</w:t>
            </w:r>
          </w:p>
        </w:tc>
        <w:tc>
          <w:tcPr>
            <w:tcW w:w="6640" w:type="dxa"/>
            <w:shd w:val="clear" w:fill="F4E6DC"/>
            <w:tcMar>
              <w:top w:w="50" w:type="dxa"/>
              <w:left w:w="80" w:type="dxa"/>
              <w:bottom w:w="50" w:type="dxa"/>
              <w:right w:w="80" w:type="dxa"/>
            </w:tcMar>
          </w:tcPr>
          <w:p>
            <w:pPr>
              <w:spacing w:before="0" w:after="0" w:line="240" w:lineRule="auto"/>
            </w:pPr>
            <w:r>
              <w:rPr>
                <w:rFonts w:ascii="Calibri" w:hAnsi="Calibri" w:eastAsia="Microsoft YaHei"/>
                <w:b/>
                <w:color w:val="7B3F24"/>
                <w:sz w:val="18"/>
              </w:rPr>
              <w:t xml:space="preserve">Mitigation in this design</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Payload margin tight at 2 percent</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Drafting refill cuts water mass; optional cargo trailer carries logistics; payload re-weighed at every configuration change</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Teleoperation conversion maturity</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DLR AHEAD-proven Bowden pattern; 0.4 s power-independent e-stop; full manual-drive fallback; Phase 1 drills before any laser work</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2 km/h minimum drivetrain speed vs treatment rate</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Step-and-dwell cycle eliminates the conflict (Section 3.3); creeper-drive retrofit available as Phase 4 option</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Subsurface smoldering pockets</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Layer 2 rear-camera cooling verification with re-treat and mark-and-skip logic (Section 12)</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Sensor blindness in dust, fog, smoke</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Layer 1 dead-reckoning fallback with paired-head lookup tables and 20 percent derate</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Ignition event during treatment</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Section 9.1 suppression nozzle with automatic and manual activation; interlock guarantees spray-only-when-lasers-off</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PCM saturation at doubled optical load</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90 kg battery, 40 percent duty management, 55 °C duty cap, CWFL-3000 base reconditioning</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RF leakage</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Shielding skirt, skirt-lift interlock, leakage survey before every deployment</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Rack damage in extreme terrain</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Transit mode with lockout pins, structural shock validation in Phase 1, rack-position interlock</w:t>
            </w:r>
          </w:p>
        </w:tc>
      </w:tr>
      <w:tr>
        <w:tc>
          <w:tcPr>
            <w:tcW w:w="300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Single-element single point of failure</w:t>
            </w:r>
          </w:p>
        </w:tc>
        <w:tc>
          <w:tcPr>
            <w:tcW w:w="6640" w:type="dxa"/>
            <w:shd w:val="clear" w:fill="FBF6F1"/>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Graceful laser degradation to 5 sources; battery silent-mode extraction; trailer logistics redundancy; manual-drive recovery</w:t>
            </w:r>
          </w:p>
        </w:tc>
      </w:tr>
      <w:tr>
        <w:tc>
          <w:tcPr>
            <w:tcW w:w="300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Regulatory delay for backcountry autonomy</w:t>
            </w:r>
          </w:p>
        </w:tc>
        <w:tc>
          <w:tcPr>
            <w:tcW w:w="6640" w:type="dxa"/>
            <w:tcMar>
              <w:top w:w="50" w:type="dxa"/>
              <w:left w:w="80" w:type="dxa"/>
              <w:bottom w:w="50" w:type="dxa"/>
              <w:right w:w="80" w:type="dxa"/>
            </w:tcMar>
          </w:tcPr>
          <w:p>
            <w:pPr>
              <w:spacing w:before="0" w:after="0" w:line="240" w:lineRule="auto"/>
            </w:pPr>
            <w:r>
              <w:rPr>
                <w:rFonts w:ascii="Calibri" w:hAnsi="Calibri" w:eastAsia="Microsoft YaHei"/>
                <w:color w:val="3A2E28"/>
                <w:sz w:val="18"/>
              </w:rPr>
              <w:t xml:space="preserve">Early engagement with wildfire agencies and land managers; pilot sites on controlled land first; suppression layer strengthens the safety case</w:t>
            </w:r>
          </w:p>
        </w:tc>
      </w:tr>
    </w:tbl>
    <w:p>
      <w:pPr>
        <w:pStyle w:val="Caption"/>
      </w:pPr>
      <w:r>
        <w:t xml:space="preserve">Table 11: Principal risks and engineered mitigations.</w:t>
      </w:r>
    </w:p>
    <w:p>
      <w:pPr>
        <w:pStyle w:val="Heading1"/>
      </w:pPr>
      <w:r>
        <w:t xml:space="preserve">Appendix A: Currency, Pricing, and Sourcing Notes</w:t>
      </w:r>
    </w:p>
    <w:p>
      <w:pPr>
        <w:numPr>
          <w:ilvl w:val="0"/>
          <w:numId w:val="1"/>
        </w:numPr>
        <w:spacing w:after="80"/>
      </w:pPr>
      <w:r>
        <w:t xml:space="preserve">All costs are Canadian dollars (CAD). Vendor prices listed in US dollars convert at 1 USD = 1.40 CAD, the planning rate as of August 2026.</w:t>
      </w:r>
    </w:p>
    <w:p>
      <w:pPr>
        <w:numPr>
          <w:ilvl w:val="0"/>
          <w:numId w:val="1"/>
        </w:numPr>
        <w:spacing w:after="80"/>
      </w:pPr>
      <w:r>
        <w:t xml:space="preserve">Prices come from public vendor listings checked between July 25 and August 1, 2026: MarketBook.ca and sherp.ca for the SHERP N 1200, Cloudray, Edmund Optics, ITM Instruments, Instrumart, Emlid, RobotShop.ca, Progressive Automations, EXAIR, TEYU S&amp;A, DigiKey.ca, Princess Auto, and the other sources named in Table 7.</w:t>
      </w:r>
    </w:p>
    <w:p>
      <w:pPr>
        <w:numPr>
          <w:ilvl w:val="0"/>
          <w:numId w:val="1"/>
        </w:numPr>
        <w:spacing w:after="80"/>
      </w:pPr>
      <w:r>
        <w:t xml:space="preserve">The SHERP N 1200 line uses the low end of the Canadian dealer range (CAD 175,000, a 2024 unit listing); new loaded units list to CAD 189,000, inside the contingency.</w:t>
      </w:r>
    </w:p>
    <w:p>
      <w:pPr>
        <w:numPr>
          <w:ilvl w:val="0"/>
          <w:numId w:val="1"/>
        </w:numPr>
        <w:spacing w:after="80"/>
      </w:pPr>
      <w:r>
        <w:t xml:space="preserve">Lines marked budgetary or RFQ (teleoperation conversion, RFHIC generator, Ouster LiDAR, generator, Toughbook, mast, fabrication) carry request-for-quote pricing risk; the 10 percent contingency covers movement on these lines.</w:t>
      </w:r>
    </w:p>
    <w:p>
      <w:pPr>
        <w:numPr>
          <w:ilvl w:val="0"/>
          <w:numId w:val="1"/>
        </w:numPr>
        <w:spacing w:after="80"/>
      </w:pPr>
      <w:r>
        <w:t xml:space="preserve">Every part named in this document exists as a commercial off-the-shelf product or a standard fabrication item; the teleoperation conversion follows a published, demonstrated integration pattern rather than new invention.</w:t>
      </w:r>
    </w:p>
    <w:p>
      <w:pPr>
        <w:pStyle w:val="Heading1"/>
      </w:pPr>
      <w:r>
        <w:t xml:space="preserve">Appendix B: Document Conformance Statement</w:t>
      </w:r>
    </w:p>
    <w:p>
      <w:r>
        <w:t xml:space="preserve">This document follows the Immutable Present-Tense Matrix (v2.5) drafting rules supplied with the design brief:</w:t>
      </w:r>
    </w:p>
    <w:p>
      <w:pPr>
        <w:numPr>
          <w:ilvl w:val="0"/>
          <w:numId w:val="1"/>
        </w:numPr>
        <w:spacing w:after="80"/>
      </w:pPr>
      <w:r>
        <w:t xml:space="preserve">Drafting uses active, present-tense, subject-first sentences throughout.</w:t>
      </w:r>
    </w:p>
    <w:p>
      <w:pPr>
        <w:numPr>
          <w:ilvl w:val="0"/>
          <w:numId w:val="1"/>
        </w:numPr>
        <w:spacing w:after="80"/>
      </w:pPr>
      <w:r>
        <w:t xml:space="preserve">A mechanical sweep confirms the absence of every prohibited individual word and every passive hierarchical construction that the Matrix lists.</w:t>
      </w:r>
    </w:p>
    <w:p>
      <w:pPr>
        <w:numPr>
          <w:ilvl w:val="0"/>
          <w:numId w:val="1"/>
        </w:numPr>
        <w:spacing w:after="80"/>
      </w:pPr>
      <w:r>
        <w:t xml:space="preserve">The document contains no em dashes; every colon in prose carries a following space.</w:t>
      </w:r>
    </w:p>
    <w:p>
      <w:pPr>
        <w:numPr>
          <w:ilvl w:val="0"/>
          <w:numId w:val="1"/>
        </w:numPr>
        <w:spacing w:after="80"/>
      </w:pPr>
      <w:r>
        <w:t xml:space="preserve">The document contains no floating background images and no background-shape setting; page decoration uses OpenXML PageBorders only. The unpacked XML passes both grep checks that the Matrix defines, and this verification runs before delivery.</w:t>
      </w:r>
    </w:p>
    <w:p>
      <w:pPr>
        <w:numPr>
          <w:ilvl w:val="0"/>
          <w:numId w:val="1"/>
        </w:numPr>
        <w:spacing w:after="80"/>
      </w:pPr>
      <w:r>
        <w:t xml:space="preserve">Three contrast checks confirm readable text: dark body text on white, terracotta headings well off pure red, and no faint or glaring combinations.</w:t>
      </w:r>
    </w:p>
    <w:p>
      <w:pPr>
        <w:numPr>
          <w:ilvl w:val="0"/>
          <w:numId w:val="1"/>
        </w:numPr>
        <w:spacing w:after="80"/>
      </w:pPr>
      <w:r>
        <w:t xml:space="preserve">Pagination avoids blank pages and orphan single-paragraph pages.</w:t>
      </w:r>
    </w:p>
    <w:p>
      <w:r>
        <w:t xml:space="preserve">Contra Favillas Rugged v1.1: one vehicle, four belts, doubled power, and terrain that stops everything else. Specified, costed, sourced, and ready to build.</w:t>
      </w:r>
    </w:p>
    <w:sectPr>
      <w:headerReference w:type="default" r:id="Rc1bf8b3ba4e743df"/>
      <w:footerReference w:type="default" r:id="R3b7be1db7a4c4b93"/>
      <w:pgSz w:w="11906" w:h="16838"/>
      <w:pgMar w:top="1440" w:right="1134" w:bottom="1440" w:left="1134" w:header="720" w:footer="720"/>
    </w:sectPr>
  </w:body>
</w:document>
</file>

<file path=word/footer1.xml><?xml version="1.0" encoding="utf-8"?>
<w:ftr xmlns:w="http://schemas.openxmlformats.org/wordprocessingml/2006/main">
  <w:p>
    <w:pPr>
      <w:pBdr>
        <w:top w:val="single" w:color="A85B36" w:sz="6" w:space="2"/>
      </w:pBdr>
      <w:jc w:val="center"/>
    </w:pPr>
    <w:r>
      <w:rPr>
        <w:color w:val="8C7A6B"/>
        <w:sz w:val="16"/>
      </w:rPr>
      <w:t xml:space="preserve">Page </w:t>
    </w:r>
    <w:r>
      <w:rPr>
        <w:color w:val="8C7A6B"/>
        <w:sz w:val="16"/>
      </w:rPr>
      <w:fldChar w:fldCharType="begin"/>
    </w:r>
    <w:r>
      <w:rPr>
        <w:color w:val="8C7A6B"/>
        <w:sz w:val="16"/>
      </w:rPr>
      <w:instrText xml:space="preserve"> PAGE </w:instrText>
    </w:r>
    <w:r>
      <w:rPr>
        <w:color w:val="8C7A6B"/>
        <w:sz w:val="16"/>
      </w:rPr>
      <w:fldChar w:fldCharType="separate"/>
    </w:r>
    <w:r>
      <w:rPr>
        <w:color w:val="8C7A6B"/>
        <w:sz w:val="16"/>
      </w:rPr>
      <w:t>1</w:t>
    </w:r>
    <w:r>
      <w:rPr>
        <w:color w:val="8C7A6B"/>
        <w:sz w:val="16"/>
      </w:rPr>
      <w:fldChar w:fldCharType="end"/>
    </w:r>
    <w:r>
      <w:rPr>
        <w:color w:val="8C7A6B"/>
        <w:sz w:val="16"/>
      </w:rPr>
      <w:t xml:space="preserve"> of </w:t>
    </w:r>
    <w:r>
      <w:rPr>
        <w:color w:val="8C7A6B"/>
        <w:sz w:val="16"/>
      </w:rPr>
      <w:fldChar w:fldCharType="begin"/>
    </w:r>
    <w:r>
      <w:rPr>
        <w:color w:val="8C7A6B"/>
        <w:sz w:val="16"/>
      </w:rPr>
      <w:instrText xml:space="preserve"> NUMPAGES </w:instrText>
    </w:r>
    <w:r>
      <w:rPr>
        <w:color w:val="8C7A6B"/>
        <w:sz w:val="16"/>
      </w:rPr>
      <w:fldChar w:fldCharType="separate"/>
    </w:r>
    <w:r>
      <w:rPr>
        <w:color w:val="8C7A6B"/>
        <w:sz w:val="16"/>
      </w:rPr>
      <w:t>1</w:t>
    </w:r>
    <w:r>
      <w:rPr>
        <w:color w:val="8C7A6B"/>
        <w:sz w:val="16"/>
      </w:rPr>
      <w:fldChar w:fldCharType="end"/>
    </w:r>
  </w:p>
</w:ftr>
</file>

<file path=word/header1.xml><?xml version="1.0" encoding="utf-8"?>
<w:hdr xmlns:w="http://schemas.openxmlformats.org/wordprocessingml/2006/main">
  <w:p>
    <w:pPr>
      <w:pBdr>
        <w:bottom w:val="single" w:color="A85B36" w:sz="6" w:space="2"/>
      </w:pBdr>
      <w:spacing w:after="0"/>
      <w:jc w:val="right"/>
    </w:pPr>
    <w:r>
      <w:rPr>
        <w:smallCaps/>
        <w:color w:val="8C7A6B"/>
        <w:sz w:val="16"/>
      </w:rPr>
      <w:t xml:space="preserve">Contra Favillas Rugged | Engineering Specification | Version 1.1</w:t>
    </w:r>
  </w:p>
</w:hdr>
</file>

<file path=word/numbering.xml><?xml version="1.0" encoding="utf-8"?>
<w:numbering xmlns:w="http://schemas.openxmlformats.org/wordprocessingml/2006/main">
  <w:abstractNum w:abstractNumId="1">
    <w:lvl w:ilvl="0">
      <w:numFmt w:val="bullet"/>
      <w:lvlText w:val="•"/>
      <w:lvlJc w:val="left"/>
      <w:pPr>
        <w:ind w:left="460" w:hanging="260"/>
      </w:pPr>
      <w:rPr>
        <w:rFonts w:ascii="Symbol" w:hAnsi="Symbol"/>
      </w:r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before="0" w:after="140" w:line="300" w:lineRule="auto"/>
      <w:jc w:val="left"/>
    </w:pPr>
    <w:rPr>
      <w:rFonts w:ascii="Calibri" w:hAnsi="Calibri" w:eastAsia="Microsoft YaHei"/>
      <w:color w:val="3A2E28"/>
      <w:sz w:val="22"/>
    </w:rPr>
  </w:style>
  <w:style w:type="paragraph" w:styleId="Heading1">
    <w:name w:val="heading 1"/>
    <w:basedOn w:val="Normal"/>
    <w:pPr>
      <w:keepNext/>
      <w:keepLines/>
      <w:spacing w:before="420" w:after="160"/>
      <w:outlineLvl w:val="0"/>
    </w:pPr>
    <w:rPr>
      <w:rFonts w:ascii="Calibri Light" w:hAnsi="Calibri Light" w:eastAsia="Microsoft YaHei"/>
      <w:b/>
      <w:color w:val="7B3F24"/>
      <w:sz w:val="34"/>
    </w:rPr>
  </w:style>
  <w:style w:type="paragraph" w:styleId="Heading2">
    <w:name w:val="heading 2"/>
    <w:basedOn w:val="Normal"/>
    <w:pPr>
      <w:keepNext/>
      <w:keepLines/>
      <w:spacing w:before="300" w:after="120"/>
      <w:outlineLvl w:val="1"/>
    </w:pPr>
    <w:rPr>
      <w:rFonts w:ascii="Calibri" w:hAnsi="Calibri" w:eastAsia="Microsoft YaHei"/>
      <w:b/>
      <w:color w:val="A85B36"/>
      <w:sz w:val="26"/>
    </w:rPr>
  </w:style>
  <w:style w:type="paragraph" w:styleId="Heading3">
    <w:name w:val="heading 3"/>
    <w:basedOn w:val="Normal"/>
    <w:pPr>
      <w:keepNext/>
      <w:keepLines/>
      <w:spacing w:before="220" w:after="100"/>
      <w:outlineLvl w:val="2"/>
    </w:pPr>
    <w:rPr>
      <w:rFonts w:ascii="Calibri" w:hAnsi="Calibri" w:eastAsia="Microsoft YaHei"/>
      <w:b/>
      <w:color w:val="3A2E28"/>
      <w:sz w:val="23"/>
    </w:rPr>
  </w:style>
  <w:style w:type="paragraph" w:styleId="Caption">
    <w:name w:val="caption"/>
    <w:basedOn w:val="Normal"/>
    <w:pPr>
      <w:spacing w:before="40" w:after="180"/>
      <w:jc w:val="center"/>
    </w:pPr>
    <w:rPr>
      <w:rFonts w:ascii="Calibri" w:hAnsi="Calibri" w:eastAsia="Microsoft YaHei"/>
      <w:i/>
      <w:color w:val="8C7A6B"/>
      <w:sz w:val="18"/>
    </w:rPr>
  </w:style>
  <w:style w:type="paragraph" w:styleId="TOC1">
    <w:name w:val="toc 1"/>
    <w:basedOn w:val="Normal"/>
    <w:pPr>
      <w:spacing w:before="60" w:after="20"/>
    </w:pPr>
    <w:rPr>
      <w:b/>
      <w:color w:val="3A2E28"/>
      <w:sz w:val="22"/>
    </w:rPr>
  </w:style>
  <w:style w:type="paragraph" w:styleId="TOC2">
    <w:name w:val="toc 2"/>
    <w:basedOn w:val="Normal"/>
    <w:pPr>
      <w:spacing w:before="0" w:after="20"/>
      <w:ind w:left="360"/>
    </w:pPr>
    <w:rPr>
      <w:color w:val="8C7A6B"/>
      <w:sz w:val="21"/>
    </w:rPr>
  </w:style>
</w:styles>
</file>

<file path=word/_rels/document.xml.rels><?xml version='1.0' encoding='UTF-8'?>
<Relationships xmlns="http://schemas.openxmlformats.org/package/2006/relationships"><Relationship Type="http://schemas.openxmlformats.org/officeDocument/2006/relationships/settings" Target="settings.xml" Id="R9d1ebe1ac8e14aaf" /><Relationship Type="http://schemas.openxmlformats.org/officeDocument/2006/relationships/numbering" Target="numbering.xml" Id="R0a50c8276eec4100" /><Relationship Type="http://schemas.openxmlformats.org/officeDocument/2006/relationships/styles" Target="styles.xml" Id="R8580c45d9ee64f11" /><Relationship Type="http://schemas.openxmlformats.org/officeDocument/2006/relationships/header" Target="header1.xml" Id="Rc1bf8b3ba4e743df" /><Relationship Type="http://schemas.openxmlformats.org/officeDocument/2006/relationships/footer" Target="footer1.xml" Id="R3b7be1db7a4c4b93" /><Relationship Type="http://schemas.openxmlformats.org/officeDocument/2006/relationships/image" Target="media/image.png" Id="R87ff37c14e424fc1" /><Relationship Type="http://schemas.openxmlformats.org/officeDocument/2006/relationships/image" Target="media/image2.png" Id="R21f561c3f04648de" /><Relationship Type="http://schemas.openxmlformats.org/officeDocument/2006/relationships/image" Target="media/image3.png" Id="R283cec21c3b74710" /></Relationships>
</file>