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9db2ef112bc74a6e"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spacing w:before="2200" w:after="0"/>
      </w:pPr>
    </w:p>
    <w:tbl>
      <w:tblPr>
        <w:tblW w:w="5000" w:type="pct"/>
        <w:tblBorders>
          <w:top w:val="single" w:color="7B3F24" w:sz="18"/>
          <w:left w:val="nil"/>
          <w:bottom w:val="single" w:color="7B3F24" w:sz="18"/>
          <w:right w:val="nil"/>
          <w:insideH w:val="nil"/>
          <w:insideV w:val="nil"/>
        </w:tblBorders>
      </w:tblPr>
      <w:tblGrid>
        <w:gridCol w:w="9640"/>
      </w:tblGrid>
      <w:tr>
        <w:tc>
          <w:tcPr>
            <w:tcW w:w="9640" w:type="dxa"/>
            <w:shd w:val="clear" w:fill="F4E6DC"/>
            <w:tcMar>
              <w:top w:w="300" w:type="dxa"/>
              <w:left w:w="200" w:type="dxa"/>
              <w:bottom w:w="300" w:type="dxa"/>
              <w:right w:w="200" w:type="dxa"/>
            </w:tcMar>
          </w:tcPr>
          <w:p>
            <w:pPr>
              <w:spacing w:before="120" w:after="100"/>
              <w:jc w:val="center"/>
            </w:pPr>
            <w:r>
              <w:rPr>
                <w:rFonts w:ascii="Calibri Light" w:hAnsi="Calibri Light"/>
                <w:b/>
                <w:color w:val="7B3F24"/>
                <w:spacing w:val="30"/>
                <w:sz w:val="64"/>
              </w:rPr>
              <w:t>CONTRA FAVILLAS</w:t>
            </w:r>
          </w:p>
          <w:p>
            <w:pPr>
              <w:spacing w:after="120"/>
              <w:jc w:val="center"/>
            </w:pPr>
            <w:r>
              <w:rPr>
                <w:rFonts w:ascii="Calibri Light" w:hAnsi="Calibri Light"/>
                <w:b/>
                <w:color w:val="A85B36"/>
                <w:spacing w:val="60"/>
                <w:sz w:val="44"/>
              </w:rPr>
              <w:t>RUGGED</w:t>
            </w:r>
          </w:p>
          <w:p>
            <w:pPr>
              <w:spacing w:after="60"/>
              <w:jc w:val="center"/>
            </w:pPr>
            <w:r>
              <w:rPr>
                <w:color w:val="3A2E28"/>
                <w:sz w:val="24"/>
              </w:rPr>
              <w:t>Engineering Specification for an Extreme-Terrain Laser-Carbonization</w:t>
            </w:r>
          </w:p>
          <w:p>
            <w:pPr>
              <w:spacing w:after="160"/>
              <w:jc w:val="center"/>
            </w:pPr>
            <w:r>
              <w:rPr>
                <w:color w:val="3A2E28"/>
                <w:sz w:val="24"/>
              </w:rPr>
              <w:t>Wildfire-Prevention Robot on the SHERP N 1200 Platform</w:t>
            </w:r>
          </w:p>
          <w:p>
            <w:pPr>
              <w:spacing w:after="80"/>
              <w:jc w:val="center"/>
            </w:pPr>
            <w:r>
              <w:rPr>
                <w:i/>
                <w:color w:val="A85B36"/>
                <w:sz w:val="20"/>
              </w:rPr>
              <w:t>v1.2: stroboscopic moving treatment, payload recovery, hot-swap power.</w:t>
            </w:r>
          </w:p>
        </w:tc>
      </w:tr>
    </w:tbl>
    <w:p>
      <w:pPr>
        <w:spacing w:before="1200" w:after="0"/>
      </w:pPr>
    </w:p>
    <w:p>
      <w:pPr>
        <w:spacing w:after="60"/>
        <w:jc w:val="center"/>
      </w:pPr>
      <w:r>
        <w:rPr>
          <w:b/>
          <w:color w:val="A85B36"/>
          <w:sz w:val="21"/>
        </w:rPr>
        <w:t xml:space="preserve">Document class: </w:t>
      </w:r>
      <w:r>
        <w:rPr>
          <w:color w:val="3A2E28"/>
          <w:sz w:val="21"/>
        </w:rPr>
        <w:t xml:space="preserve">Engineering design document, prototype level</w:t>
      </w:r>
    </w:p>
    <w:p>
      <w:pPr>
        <w:spacing w:after="60"/>
        <w:jc w:val="center"/>
      </w:pPr>
      <w:r>
        <w:rPr>
          <w:b/>
          <w:color w:val="A85B36"/>
          <w:sz w:val="21"/>
        </w:rPr>
        <w:t xml:space="preserve">Platform: </w:t>
      </w:r>
      <w:r>
        <w:rPr>
          <w:color w:val="3A2E28"/>
          <w:sz w:val="21"/>
        </w:rPr>
        <w:t xml:space="preserve">Contra Favillas Rugged, SHERP N 1200 single-element treatment vehicle</w:t>
      </w:r>
    </w:p>
    <w:p>
      <w:pPr>
        <w:spacing w:after="60"/>
        <w:jc w:val="center"/>
      </w:pPr>
      <w:r>
        <w:rPr>
          <w:b/>
          <w:color w:val="A85B36"/>
          <w:sz w:val="21"/>
        </w:rPr>
        <w:t xml:space="preserve">Version: </w:t>
      </w:r>
      <w:r>
        <w:rPr>
          <w:color w:val="3A2E28"/>
          <w:sz w:val="21"/>
        </w:rPr>
        <w:t xml:space="preserve">1.2 (supersedes v1.1; v1.0 Mk I remains the reference architecture)</w:t>
      </w:r>
    </w:p>
    <w:p>
      <w:pPr>
        <w:spacing w:after="60"/>
        <w:jc w:val="center"/>
      </w:pPr>
      <w:r>
        <w:rPr>
          <w:b/>
          <w:color w:val="A85B36"/>
          <w:sz w:val="21"/>
        </w:rPr>
        <w:t xml:space="preserve">Date: </w:t>
      </w:r>
      <w:r>
        <w:rPr>
          <w:color w:val="3A2E28"/>
          <w:sz w:val="21"/>
        </w:rPr>
        <w:t xml:space="preserve">August 1, 2026</w:t>
      </w:r>
    </w:p>
    <w:p>
      <w:pPr>
        <w:spacing w:after="60"/>
        <w:jc w:val="center"/>
      </w:pPr>
      <w:r>
        <w:rPr>
          <w:b/>
          <w:color w:val="A85B36"/>
          <w:sz w:val="21"/>
        </w:rPr>
        <w:t xml:space="preserve">Status: </w:t>
      </w:r>
      <w:r>
        <w:rPr>
          <w:color w:val="3A2E28"/>
          <w:sz w:val="21"/>
        </w:rPr>
        <w:t xml:space="preserve">Fully specified for prototyping; all parts named, costed (CAD), and sourced</w:t>
      </w:r>
    </w:p>
    <w:p>
      <w:pPr>
        <w:sectPr>
          <w:type w:val="nextPage"/>
          <w:pgSz w:w="11906" w:h="16838"/>
          <w:pgMar w:top="1440" w:right="1440" w:bottom="1440" w:left="1440" w:header="720" w:footer="720"/>
          <w:pgBorders w:offsetFrom="page">
            <w:top w:val="double" w:color="7B3F24" w:sz="18" w:space="24"/>
            <w:left w:val="double" w:color="7B3F24" w:sz="18" w:space="24"/>
            <w:bottom w:val="double" w:color="7B3F24" w:sz="18" w:space="24"/>
            <w:right w:val="double" w:color="7B3F24" w:sz="18" w:space="24"/>
          </w:pgBorders>
          <w:titlePg/>
        </w:sectPr>
      </w:pPr>
    </w:p>
    <w:p>
      <w:pPr>
        <w:pStyle w:val="Heading1"/>
      </w:pPr>
      <w:r>
        <w:t xml:space="preserve">Contents</w:t>
      </w:r>
    </w:p>
    <w:p>
      <w:r>
        <w:fldChar w:fldCharType="begin"/>
      </w:r>
      <w:r>
        <w:instrText xml:space="preserve"> TOC \o "1-2" \h \z \u </w:instrText>
      </w:r>
      <w:r>
        <w:fldChar w:fldCharType="separate"/>
      </w:r>
    </w:p>
    <w:p>
      <w:pPr>
        <w:pStyle w:val="TOC1"/>
      </w:pPr>
      <w:r>
        <w:t>1. Overview: Concept, Purpose, and v1.2 Changes</w:t>
      </w:r>
      <w:r>
        <w:tab/>
      </w:r>
      <w:r>
        <w:t>1</w:t>
      </w:r>
    </w:p>
    <w:p>
      <w:pPr>
        <w:pStyle w:val="TOC2"/>
      </w:pPr>
      <w:r>
        <w:t>1.1 The v1.2 Mandate: Recover Payload, Treat While Moving</w:t>
      </w:r>
      <w:r>
        <w:tab/>
      </w:r>
      <w:r>
        <w:t>1</w:t>
      </w:r>
    </w:p>
    <w:p>
      <w:pPr>
        <w:pStyle w:val="TOC2"/>
      </w:pPr>
      <w:r>
        <w:t>1.2 Variant Differences Against v1.1</w:t>
      </w:r>
      <w:r>
        <w:tab/>
      </w:r>
      <w:r>
        <w:t>1</w:t>
      </w:r>
    </w:p>
    <w:p>
      <w:pPr>
        <w:pStyle w:val="TOC2"/>
      </w:pPr>
      <w:r>
        <w:t>1.3 Mission Profile and Treatment Doctrine</w:t>
      </w:r>
      <w:r>
        <w:tab/>
      </w:r>
      <w:r>
        <w:t>1</w:t>
      </w:r>
    </w:p>
    <w:p>
      <w:pPr>
        <w:pStyle w:val="TOC1"/>
      </w:pPr>
      <w:r>
        <w:t>2. Payload Recovery: The 2 Percent Problem Solved</w:t>
      </w:r>
      <w:r>
        <w:tab/>
      </w:r>
      <w:r>
        <w:t>1</w:t>
      </w:r>
    </w:p>
    <w:p>
      <w:pPr>
        <w:pStyle w:val="TOC2"/>
      </w:pPr>
      <w:r>
        <w:t>2.1 Five Weight-Saving Changes</w:t>
      </w:r>
      <w:r>
        <w:tab/>
      </w:r>
      <w:r>
        <w:t>1</w:t>
      </w:r>
    </w:p>
    <w:p>
      <w:pPr>
        <w:pStyle w:val="TOC2"/>
      </w:pPr>
      <w:r>
        <w:t>2.2 Recovered Mass Budget and Margin</w:t>
      </w:r>
      <w:r>
        <w:tab/>
      </w:r>
      <w:r>
        <w:t>1</w:t>
      </w:r>
    </w:p>
    <w:p>
      <w:pPr>
        <w:pStyle w:val="TOC1"/>
      </w:pPr>
      <w:r>
        <w:t>3. Stroboscopic Treatment: Lasers While Moving</w:t>
      </w:r>
      <w:r>
        <w:tab/>
      </w:r>
      <w:r>
        <w:t>1</w:t>
      </w:r>
    </w:p>
    <w:p>
      <w:pPr>
        <w:pStyle w:val="TOC2"/>
      </w:pPr>
      <w:r>
        <w:t>3.1 The Physics of Firing at Speed</w:t>
      </w:r>
      <w:r>
        <w:tab/>
      </w:r>
      <w:r>
        <w:t>1</w:t>
      </w:r>
    </w:p>
    <w:p>
      <w:pPr>
        <w:pStyle w:val="TOC2"/>
      </w:pPr>
      <w:r>
        <w:t>3.2 The IPG D33 Scan Head and Burst Synchronization</w:t>
      </w:r>
      <w:r>
        <w:tab/>
      </w:r>
      <w:r>
        <w:t>1</w:t>
      </w:r>
    </w:p>
    <w:p>
      <w:pPr>
        <w:pStyle w:val="TOC2"/>
      </w:pPr>
      <w:r>
        <w:t>3.3 Throughput Model at 2 km/h</w:t>
      </w:r>
      <w:r>
        <w:tab/>
      </w:r>
      <w:r>
        <w:t>1</w:t>
      </w:r>
    </w:p>
    <w:p>
      <w:pPr>
        <w:pStyle w:val="TOC2"/>
      </w:pPr>
      <w:r>
        <w:t>3.4 Step-and-Dwell Fallback</w:t>
      </w:r>
      <w:r>
        <w:tab/>
      </w:r>
      <w:r>
        <w:t>1</w:t>
      </w:r>
    </w:p>
    <w:p>
      <w:pPr>
        <w:pStyle w:val="TOC1"/>
      </w:pPr>
      <w:r>
        <w:t>4. System Architecture</w:t>
      </w:r>
      <w:r>
        <w:tab/>
      </w:r>
      <w:r>
        <w:t>1</w:t>
      </w:r>
    </w:p>
    <w:p>
      <w:pPr>
        <w:pStyle w:val="TOC2"/>
      </w:pPr>
      <w:r>
        <w:t>4.1 Single-Element Layout and Mass Budget</w:t>
      </w:r>
      <w:r>
        <w:tab/>
      </w:r>
      <w:r>
        <w:t>1</w:t>
      </w:r>
    </w:p>
    <w:p>
      <w:pPr>
        <w:pStyle w:val="TOC2"/>
      </w:pPr>
      <w:r>
        <w:t>4.2 Subsystem Map</w:t>
      </w:r>
      <w:r>
        <w:tab/>
      </w:r>
      <w:r>
        <w:t>1</w:t>
      </w:r>
    </w:p>
    <w:p>
      <w:pPr>
        <w:pStyle w:val="TOC2"/>
      </w:pPr>
      <w:r>
        <w:t>4.3 Power and Energy Budget</w:t>
      </w:r>
      <w:r>
        <w:tab/>
      </w:r>
      <w:r>
        <w:t>1</w:t>
      </w:r>
    </w:p>
    <w:p>
      <w:pPr>
        <w:pStyle w:val="TOC1"/>
      </w:pPr>
      <w:r>
        <w:t>5. Mobility Platform: SHERP N 1200</w:t>
      </w:r>
      <w:r>
        <w:tab/>
      </w:r>
      <w:r>
        <w:t>1</w:t>
      </w:r>
    </w:p>
    <w:p>
      <w:pPr>
        <w:pStyle w:val="TOC2"/>
      </w:pPr>
      <w:r>
        <w:t>5.1 Platform Parameters</w:t>
      </w:r>
      <w:r>
        <w:tab/>
      </w:r>
      <w:r>
        <w:t>1</w:t>
      </w:r>
    </w:p>
    <w:p>
      <w:pPr>
        <w:pStyle w:val="TOC2"/>
      </w:pPr>
      <w:r>
        <w:t>5.2 Teleoperation Conversion</w:t>
      </w:r>
      <w:r>
        <w:tab/>
      </w:r>
      <w:r>
        <w:t>1</w:t>
      </w:r>
    </w:p>
    <w:p>
      <w:pPr>
        <w:pStyle w:val="TOC2"/>
      </w:pPr>
      <w:r>
        <w:t>5.3 Ground Anchor System</w:t>
      </w:r>
      <w:r>
        <w:tab/>
      </w:r>
      <w:r>
        <w:t>1</w:t>
      </w:r>
    </w:p>
    <w:p>
      <w:pPr>
        <w:pStyle w:val="TOC1"/>
      </w:pPr>
      <w:r>
        <w:t>6. Laser Carbonization Array</w:t>
      </w:r>
      <w:r>
        <w:tab/>
      </w:r>
      <w:r>
        <w:t>1</w:t>
      </w:r>
    </w:p>
    <w:p>
      <w:pPr>
        <w:pStyle w:val="TOC2"/>
      </w:pPr>
      <w:r>
        <w:t>6.1 Single 6 kW Source with Scanner Delivery</w:t>
      </w:r>
      <w:r>
        <w:tab/>
      </w:r>
      <w:r>
        <w:t>1</w:t>
      </w:r>
    </w:p>
    <w:p>
      <w:pPr>
        <w:pStyle w:val="TOC2"/>
      </w:pPr>
      <w:r>
        <w:t>6.2 The Scan Head as Treatment Optic</w:t>
      </w:r>
      <w:r>
        <w:tab/>
      </w:r>
      <w:r>
        <w:t>1</w:t>
      </w:r>
    </w:p>
    <w:p>
      <w:pPr>
        <w:pStyle w:val="TOC2"/>
      </w:pPr>
      <w:r>
        <w:t>6.3 Treatment Rack, 7075 Truss, and Transit Mode</w:t>
      </w:r>
      <w:r>
        <w:tab/>
      </w:r>
      <w:r>
        <w:t>1</w:t>
      </w:r>
    </w:p>
    <w:p>
      <w:pPr>
        <w:pStyle w:val="TOC2"/>
      </w:pPr>
      <w:r>
        <w:t>6.4 Thermal Management</w:t>
      </w:r>
      <w:r>
        <w:tab/>
      </w:r>
      <w:r>
        <w:t>1</w:t>
      </w:r>
    </w:p>
    <w:p>
      <w:pPr>
        <w:pStyle w:val="TOC2"/>
      </w:pPr>
      <w:r>
        <w:t>6.5 Smoke Management: Air Knife</w:t>
      </w:r>
      <w:r>
        <w:tab/>
      </w:r>
      <w:r>
        <w:t>1</w:t>
      </w:r>
    </w:p>
    <w:p>
      <w:pPr>
        <w:pStyle w:val="TOC1"/>
      </w:pPr>
      <w:r>
        <w:t>7. RF Pre-Drying Module</w:t>
      </w:r>
      <w:r>
        <w:tab/>
      </w:r>
      <w:r>
        <w:t>1</w:t>
      </w:r>
    </w:p>
    <w:p>
      <w:pPr>
        <w:pStyle w:val="TOC1"/>
      </w:pPr>
      <w:r>
        <w:t>8. Sensing and Perception</w:t>
      </w:r>
      <w:r>
        <w:tab/>
      </w:r>
      <w:r>
        <w:t>1</w:t>
      </w:r>
    </w:p>
    <w:p>
      <w:pPr>
        <w:pStyle w:val="TOC2"/>
      </w:pPr>
      <w:r>
        <w:t>8.1 Real-Time Fuel Moisture Mapping (NIR)</w:t>
      </w:r>
      <w:r>
        <w:tab/>
      </w:r>
      <w:r>
        <w:t>1</w:t>
      </w:r>
    </w:p>
    <w:p>
      <w:pPr>
        <w:pStyle w:val="TOC2"/>
      </w:pPr>
      <w:r>
        <w:t>8.2 Char Quality Test Port</w:t>
      </w:r>
      <w:r>
        <w:tab/>
      </w:r>
      <w:r>
        <w:t>1</w:t>
      </w:r>
    </w:p>
    <w:p>
      <w:pPr>
        <w:pStyle w:val="TOC2"/>
      </w:pPr>
      <w:r>
        <w:t>8.3 Core Sensing Suite</w:t>
      </w:r>
      <w:r>
        <w:tab/>
      </w:r>
      <w:r>
        <w:t>1</w:t>
      </w:r>
    </w:p>
    <w:p>
      <w:pPr>
        <w:pStyle w:val="TOC1"/>
      </w:pPr>
      <w:r>
        <w:t>9. Compute and Control Electronics</w:t>
      </w:r>
      <w:r>
        <w:tab/>
      </w:r>
      <w:r>
        <w:t>1</w:t>
      </w:r>
    </w:p>
    <w:p>
      <w:pPr>
        <w:pStyle w:val="TOC1"/>
      </w:pPr>
      <w:r>
        <w:t>10. Onboard Power System</w:t>
      </w:r>
      <w:r>
        <w:tab/>
      </w:r>
      <w:r>
        <w:t>1</w:t>
      </w:r>
    </w:p>
    <w:p>
      <w:pPr>
        <w:pStyle w:val="TOC2"/>
      </w:pPr>
      <w:r>
        <w:t>10.1 Hot-Swap Battery Modules</w:t>
      </w:r>
      <w:r>
        <w:tab/>
      </w:r>
      <w:r>
        <w:t>1</w:t>
      </w:r>
    </w:p>
    <w:p>
      <w:pPr>
        <w:pStyle w:val="TOC2"/>
      </w:pPr>
      <w:r>
        <w:t>10.2 Generator and Distribution</w:t>
      </w:r>
      <w:r>
        <w:tab/>
      </w:r>
      <w:r>
        <w:t>1</w:t>
      </w:r>
    </w:p>
    <w:p>
      <w:pPr>
        <w:pStyle w:val="TOC1"/>
      </w:pPr>
      <w:r>
        <w:t>11. Stabilization Spray and Emergency Suppression</w:t>
      </w:r>
      <w:r>
        <w:tab/>
      </w:r>
      <w:r>
        <w:t>1</w:t>
      </w:r>
    </w:p>
    <w:p>
      <w:pPr>
        <w:pStyle w:val="TOC2"/>
      </w:pPr>
      <w:r>
        <w:t>11.1 Reduced Stabilization Spray</w:t>
      </w:r>
      <w:r>
        <w:tab/>
      </w:r>
      <w:r>
        <w:t>1</w:t>
      </w:r>
    </w:p>
    <w:p>
      <w:pPr>
        <w:pStyle w:val="TOC2"/>
      </w:pPr>
      <w:r>
        <w:t>11.2 Emergency Suppression System</w:t>
      </w:r>
      <w:r>
        <w:tab/>
      </w:r>
      <w:r>
        <w:t>1</w:t>
      </w:r>
    </w:p>
    <w:p>
      <w:pPr>
        <w:pStyle w:val="TOC1"/>
      </w:pPr>
      <w:r>
        <w:t>12. Communications and Ground Control</w:t>
      </w:r>
      <w:r>
        <w:tab/>
      </w:r>
      <w:r>
        <w:t>1</w:t>
      </w:r>
    </w:p>
    <w:p>
      <w:pPr>
        <w:pStyle w:val="TOC1"/>
      </w:pPr>
      <w:r>
        <w:t>13. Safety Architecture and Interlocks</w:t>
      </w:r>
      <w:r>
        <w:tab/>
      </w:r>
      <w:r>
        <w:t>1</w:t>
      </w:r>
    </w:p>
    <w:p>
      <w:pPr>
        <w:pStyle w:val="TOC1"/>
      </w:pPr>
      <w:r>
        <w:t>14. Control Software and Treatment Logic</w:t>
      </w:r>
      <w:r>
        <w:tab/>
      </w:r>
      <w:r>
        <w:t>1</w:t>
      </w:r>
    </w:p>
    <w:p>
      <w:pPr>
        <w:pStyle w:val="TOC1"/>
      </w:pPr>
      <w:r>
        <w:t>15. Consolidated Bill of Materials</w:t>
      </w:r>
      <w:r>
        <w:tab/>
      </w:r>
      <w:r>
        <w:t>1</w:t>
      </w:r>
    </w:p>
    <w:p>
      <w:pPr>
        <w:pStyle w:val="TOC1"/>
      </w:pPr>
      <w:r>
        <w:t>16. Cost Summary and Variant Comparison</w:t>
      </w:r>
      <w:r>
        <w:tab/>
      </w:r>
      <w:r>
        <w:t>1</w:t>
      </w:r>
    </w:p>
    <w:p>
      <w:pPr>
        <w:pStyle w:val="TOC1"/>
      </w:pPr>
      <w:r>
        <w:t>17. Assembly and Integration Plan</w:t>
      </w:r>
      <w:r>
        <w:tab/>
      </w:r>
      <w:r>
        <w:t>1</w:t>
      </w:r>
    </w:p>
    <w:p>
      <w:pPr>
        <w:pStyle w:val="TOC1"/>
      </w:pPr>
      <w:r>
        <w:t>18. Regulatory and Compliance Framework</w:t>
      </w:r>
      <w:r>
        <w:tab/>
      </w:r>
      <w:r>
        <w:t>1</w:t>
      </w:r>
    </w:p>
    <w:p>
      <w:pPr>
        <w:pStyle w:val="TOC1"/>
      </w:pPr>
      <w:r>
        <w:t>19. Test and Validation Plan</w:t>
      </w:r>
      <w:r>
        <w:tab/>
      </w:r>
      <w:r>
        <w:t>1</w:t>
      </w:r>
    </w:p>
    <w:p>
      <w:pPr>
        <w:pStyle w:val="TOC1"/>
      </w:pPr>
      <w:r>
        <w:t>20. Operational Economics</w:t>
      </w:r>
      <w:r>
        <w:tab/>
      </w:r>
      <w:r>
        <w:t>1</w:t>
      </w:r>
    </w:p>
    <w:p>
      <w:pPr>
        <w:pStyle w:val="TOC1"/>
      </w:pPr>
      <w:r>
        <w:t>21. Risks and Mitigations</w:t>
      </w:r>
      <w:r>
        <w:tab/>
      </w:r>
      <w:r>
        <w:t>1</w:t>
      </w:r>
    </w:p>
    <w:p>
      <w:pPr>
        <w:pStyle w:val="TOC1"/>
      </w:pPr>
      <w:r>
        <w:t>Appendix A: Currency, Pricing, and Sourcing Notes</w:t>
      </w:r>
      <w:r>
        <w:tab/>
      </w:r>
      <w:r>
        <w:t>1</w:t>
      </w:r>
    </w:p>
    <w:p>
      <w:pPr>
        <w:pStyle w:val="TOC1"/>
      </w:pPr>
      <w:r>
        <w:t>Appendix B: Document Conformance Statement</w:t>
      </w:r>
      <w:r>
        <w:tab/>
      </w:r>
      <w:r>
        <w:t>1</w:t>
      </w:r>
    </w:p>
    <w:p>
      <w:r>
        <w:fldChar w:fldCharType="end"/>
      </w:r>
    </w:p>
    <w:p>
      <w:pPr>
        <w:pStyle w:val="Heading1"/>
      </w:pPr>
      <w:r>
        <w:t xml:space="preserve">1. Overview: Concept, Purpose, and v1.2 Changes</w:t>
      </w:r>
    </w:p>
    <w:p>
      <w:pPr>
        <w:pStyle w:val="Heading2"/>
      </w:pPr>
      <w:r>
        <w:t xml:space="preserve">1.1 The v1.2 Mandate: Recover Payload, Treat While Moving</w:t>
      </w:r>
    </w:p>
    <w:p>
      <w:r>
        <w:t xml:space="preserve">Contra Favillas Rugged v1.1 put the full laser-carbonization system on a single SHERP N 1200 chassis and doubled daily output over Mk I. Two engineering constraints remained. First, the payload margin sat at 2 percent (1,175 kg aboard a 1,200 kg rating), which limits growth and leaves no room for fuel, crew gear, or sensor upgrades. Second, the SHERP's 2 km/h minimum drivetrain speed forced a step-and-dwell treatment cycle: stop, fire, advance 20 cm, repeat. That cycle caps throughput and wears the drivetrain.</w:t>
      </w:r>
    </w:p>
    <w:p>
      <w:r>
        <w:t xml:space="preserve">Version 1.2 resolves both. A disciplined weight-reduction program recovers roughly 90 kg of payload margin. A stroboscopic treatment architecture replaces step-and-dwell with continuous motion at 2 km/h, firing synchronized laser bursts through a galvanometric scan head as the vehicle moves. The SHERP now treats at its own low-gear speed, roughly 50 times faster than the v1.1 advance rate, with no stop-start drivetrain wear. Daily output rises to 3 to 4 km of four-belt corridor per unit.</w:t>
      </w:r>
    </w:p>
    <w:p>
      <w:pPr>
        <w:pStyle w:val="Heading2"/>
      </w:pPr>
      <w:r>
        <w:t xml:space="preserve">1.2 Variant Differences Against v1.1</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2600"/>
        <w:gridCol w:w="3420"/>
        <w:gridCol w:w="3620"/>
      </w:tblGrid>
      <w:tr>
        <w:trPr>
          <w:tblHeader/>
        </w:trPr>
        <w:tc>
          <w:tcPr>
            <w:tcW w:w="26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Attribute</w:t>
            </w:r>
          </w:p>
        </w:tc>
        <w:tc>
          <w:tcPr>
            <w:tcW w:w="342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v1.1 (Rugged)</w:t>
            </w:r>
          </w:p>
        </w:tc>
        <w:tc>
          <w:tcPr>
            <w:tcW w:w="362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v1.2 (this document)</w:t>
            </w:r>
          </w:p>
        </w:tc>
      </w:tr>
      <w:tr>
        <w:tc>
          <w:tcPr>
            <w:tcW w:w="2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Treatment cycle</w:t>
            </w:r>
          </w:p>
        </w:tc>
        <w:tc>
          <w:tcPr>
            <w:tcW w:w="342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Step-and-dwell (stop, fire, advance)</w:t>
            </w:r>
          </w:p>
        </w:tc>
        <w:tc>
          <w:tcPr>
            <w:tcW w:w="362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Stroboscopic: continuous 2 km/h, synchronized bursts</w:t>
            </w:r>
          </w:p>
        </w:tc>
      </w:tr>
      <w:tr>
        <w:tc>
          <w:tcPr>
            <w:tcW w:w="2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Advance rate</w:t>
            </w:r>
          </w:p>
        </w:tc>
        <w:tc>
          <w:tcPr>
            <w:tcW w:w="342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0.28-0.43 km/day</w:t>
            </w:r>
          </w:p>
        </w:tc>
        <w:tc>
          <w:tcPr>
            <w:tcW w:w="362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3.0-4.0 km/day</w:t>
            </w:r>
          </w:p>
        </w:tc>
      </w:tr>
      <w:tr>
        <w:tc>
          <w:tcPr>
            <w:tcW w:w="2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Laser delivery</w:t>
            </w:r>
          </w:p>
        </w:tc>
        <w:tc>
          <w:tcPr>
            <w:tcW w:w="342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Static top-hat heads, 8 sources</w:t>
            </w:r>
          </w:p>
        </w:tc>
        <w:tc>
          <w:tcPr>
            <w:tcW w:w="362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Single 6 kW source, IPG D33 scan head</w:t>
            </w:r>
          </w:p>
        </w:tc>
      </w:tr>
      <w:tr>
        <w:tc>
          <w:tcPr>
            <w:tcW w:w="2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Laser peak power</w:t>
            </w:r>
          </w:p>
        </w:tc>
        <w:tc>
          <w:tcPr>
            <w:tcW w:w="342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16 kW (8 × 2 kW)</w:t>
            </w:r>
          </w:p>
        </w:tc>
        <w:tc>
          <w:tcPr>
            <w:tcW w:w="362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6 kW (concentrated by scanner)</w:t>
            </w:r>
          </w:p>
        </w:tc>
      </w:tr>
      <w:tr>
        <w:tc>
          <w:tcPr>
            <w:tcW w:w="2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Payload margin</w:t>
            </w:r>
          </w:p>
        </w:tc>
        <w:tc>
          <w:tcPr>
            <w:tcW w:w="342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 (25 kg)</w:t>
            </w:r>
          </w:p>
        </w:tc>
        <w:tc>
          <w:tcPr>
            <w:tcW w:w="362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9.5% (115 kg)</w:t>
            </w:r>
          </w:p>
        </w:tc>
      </w:tr>
      <w:tr>
        <w:tc>
          <w:tcPr>
            <w:tcW w:w="2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Battery architecture</w:t>
            </w:r>
          </w:p>
        </w:tc>
        <w:tc>
          <w:tcPr>
            <w:tcW w:w="342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Fixed 20.5 kWh bank</w:t>
            </w:r>
          </w:p>
        </w:tc>
        <w:tc>
          <w:tcPr>
            <w:tcW w:w="362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 hot-swap 5.12 kWh modules + aux start battery</w:t>
            </w:r>
          </w:p>
        </w:tc>
      </w:tr>
      <w:tr>
        <w:tc>
          <w:tcPr>
            <w:tcW w:w="2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Fuel moisture sensing</w:t>
            </w:r>
          </w:p>
        </w:tc>
        <w:tc>
          <w:tcPr>
            <w:tcW w:w="342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Contact skid probe (reactive)</w:t>
            </w:r>
          </w:p>
        </w:tc>
        <w:tc>
          <w:tcPr>
            <w:tcW w:w="362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NIR spectrometer continuous map (predictive)</w:t>
            </w:r>
          </w:p>
        </w:tc>
      </w:tr>
      <w:tr>
        <w:tc>
          <w:tcPr>
            <w:tcW w:w="2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Chillers at base</w:t>
            </w:r>
          </w:p>
        </w:tc>
        <w:tc>
          <w:tcPr>
            <w:tcW w:w="342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 × CWFL-3000</w:t>
            </w:r>
          </w:p>
        </w:tc>
        <w:tc>
          <w:tcPr>
            <w:tcW w:w="362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 × CWFL-3000 (spare stays at base)</w:t>
            </w:r>
          </w:p>
        </w:tc>
      </w:tr>
      <w:tr>
        <w:tc>
          <w:tcPr>
            <w:tcW w:w="2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Emergency water</w:t>
            </w:r>
          </w:p>
        </w:tc>
        <w:tc>
          <w:tcPr>
            <w:tcW w:w="342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55 L dedicated</w:t>
            </w:r>
          </w:p>
        </w:tc>
        <w:tc>
          <w:tcPr>
            <w:tcW w:w="362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25 L + drafting refill diverter</w:t>
            </w:r>
          </w:p>
        </w:tc>
      </w:tr>
      <w:tr>
        <w:tc>
          <w:tcPr>
            <w:tcW w:w="2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Ground anchors</w:t>
            </w:r>
          </w:p>
        </w:tc>
        <w:tc>
          <w:tcPr>
            <w:tcW w:w="342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None</w:t>
            </w:r>
          </w:p>
        </w:tc>
        <w:tc>
          <w:tcPr>
            <w:tcW w:w="362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4 screw-in anchors + winch, 8 kg</w:t>
            </w:r>
          </w:p>
        </w:tc>
      </w:tr>
      <w:tr>
        <w:tc>
          <w:tcPr>
            <w:tcW w:w="2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Char quality check</w:t>
            </w:r>
          </w:p>
        </w:tc>
        <w:tc>
          <w:tcPr>
            <w:tcW w:w="342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OES only</w:t>
            </w:r>
          </w:p>
        </w:tc>
        <w:tc>
          <w:tcPr>
            <w:tcW w:w="362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OES + spring-loaded coring test port</w:t>
            </w:r>
          </w:p>
        </w:tc>
      </w:tr>
      <w:tr>
        <w:tc>
          <w:tcPr>
            <w:tcW w:w="2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Prototype capex</w:t>
            </w:r>
          </w:p>
        </w:tc>
        <w:tc>
          <w:tcPr>
            <w:tcW w:w="342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CAD 488,047</w:t>
            </w:r>
          </w:p>
        </w:tc>
        <w:tc>
          <w:tcPr>
            <w:tcW w:w="362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CAD 627,494</w:t>
            </w:r>
          </w:p>
        </w:tc>
      </w:tr>
    </w:tbl>
    <w:p>
      <w:pPr>
        <w:pStyle w:val="Caption"/>
      </w:pPr>
      <w:r>
        <w:t xml:space="preserve">Table 1: Variant differences, Rugged v1.1 against Rugged v1.2.</w:t>
      </w:r>
    </w:p>
    <w:p>
      <w:pPr>
        <w:pStyle w:val="Heading2"/>
      </w:pPr>
      <w:r>
        <w:t xml:space="preserve">1.3 Mission Profile and Treatment Doctrine</w:t>
      </w:r>
    </w:p>
    <w:p>
      <w:pPr>
        <w:numPr>
          <w:ilvl w:val="0"/>
          <w:numId w:val="1"/>
        </w:numPr>
        <w:spacing w:after="80"/>
      </w:pPr>
      <w:r>
        <w:rPr>
          <w:b/>
        </w:rPr>
        <w:t xml:space="preserve">Operating environment: </w:t>
      </w:r>
      <w:r>
        <w:t xml:space="preserve">unchanged from v1.1: remote fuel corridors, backcountry choke points, steep cutblocks, muskeg and riparian edges, post-logging slash fields, and road-inaccessible WUI perimeters.</w:t>
      </w:r>
    </w:p>
    <w:p>
      <w:pPr>
        <w:numPr>
          <w:ilvl w:val="0"/>
          <w:numId w:val="1"/>
        </w:numPr>
        <w:spacing w:after="80"/>
      </w:pPr>
      <w:r>
        <w:rPr>
          <w:b/>
        </w:rPr>
        <w:t xml:space="preserve">Treatment geometry: </w:t>
      </w:r>
      <w:r>
        <w:t xml:space="preserve">four staggered 0.7 m carbonized belts with 0.8 to 1.0 m untreated gaps, painted in a single 5.5 m corridor pass.</w:t>
      </w:r>
    </w:p>
    <w:p>
      <w:pPr>
        <w:numPr>
          <w:ilvl w:val="0"/>
          <w:numId w:val="1"/>
        </w:numPr>
        <w:spacing w:after="80"/>
      </w:pPr>
      <w:r>
        <w:rPr>
          <w:b/>
        </w:rPr>
        <w:t xml:space="preserve">Treatment cycle: </w:t>
      </w:r>
      <w:r>
        <w:t xml:space="preserve">stroboscopic. The vehicle drives at a constant 2 km/h in low gear. The laser fires 500 ms bursts at 40 to 50 Hz pulse repetition through the scan head, treating a discrete patch each burst; patches overlap slightly as the vehicle advances 20 cm per cycle. The cycle eliminates stop-start wear entirely.</w:t>
      </w:r>
    </w:p>
    <w:p>
      <w:pPr>
        <w:numPr>
          <w:ilvl w:val="0"/>
          <w:numId w:val="1"/>
        </w:numPr>
        <w:spacing w:after="80"/>
      </w:pPr>
      <w:r>
        <w:rPr>
          <w:b/>
        </w:rPr>
        <w:t xml:space="preserve">Daily output: </w:t>
      </w:r>
      <w:r>
        <w:t xml:space="preserve">3.0 to 4.0 km of four-belt corridor per unit per 8-hour day, depending on fuel dose. A fleet of four to six units treats a 10 km remote perimeter in under one week.</w:t>
      </w:r>
    </w:p>
    <w:p>
      <w:pPr>
        <w:numPr>
          <w:ilvl w:val="0"/>
          <w:numId w:val="1"/>
        </w:numPr>
        <w:spacing w:after="80"/>
      </w:pPr>
      <w:r>
        <w:rPr>
          <w:b/>
        </w:rPr>
        <w:t xml:space="preserve">Transit advantage: </w:t>
      </w:r>
      <w:r>
        <w:t xml:space="preserve">40 km/h land speed and amphibious crossing connect distant segments in a single day; 327 L of onboard diesel supports 20 to 25 hours of combined operation.</w:t>
      </w:r>
    </w:p>
    <w:p>
      <w:pPr>
        <w:pStyle w:val="Heading1"/>
      </w:pPr>
      <w:r>
        <w:t xml:space="preserve">2. Payload Recovery: The 2 Percent Problem Solved</w:t>
      </w:r>
    </w:p>
    <w:p>
      <w:pPr>
        <w:pStyle w:val="Heading2"/>
      </w:pPr>
      <w:r>
        <w:t xml:space="preserve">2.1 Five Weight-Saving Changes</w:t>
      </w:r>
    </w:p>
    <w:p>
      <w:r>
        <w:t xml:space="preserve">The v1.1 payload budget ran 1,175 kg aboard a 1,200 kg rating, a 2 percent margin. Five changes recover roughly 90 kg. None compromises treatment quality or safety; each removes mass that the mission profile does not actually consume.</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2400"/>
        <w:gridCol w:w="3640"/>
        <w:gridCol w:w="3600"/>
      </w:tblGrid>
      <w:tr>
        <w:trPr>
          <w:tblHeader/>
        </w:trPr>
        <w:tc>
          <w:tcPr>
            <w:tcW w:w="24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Change</w:t>
            </w:r>
          </w:p>
        </w:tc>
        <w:tc>
          <w:tcPr>
            <w:tcW w:w="364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Rationale</w:t>
            </w:r>
          </w:p>
        </w:tc>
        <w:tc>
          <w:tcPr>
            <w:tcW w:w="36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Mass saved (kg)</w:t>
            </w:r>
          </w:p>
        </w:tc>
      </w:tr>
      <w:tr>
        <w:tc>
          <w:tcPr>
            <w:tcW w:w="24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 Emergency suppression tank 55 L to 25 L</w:t>
            </w:r>
          </w:p>
        </w:tc>
        <w:tc>
          <w:tcPr>
            <w:tcW w:w="36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A 2-5 s burst at 40 L/min needs 3.5 L, not 55 L. The tank refills in minutes from the drafting pump via a new 3-way diverter valve.</w:t>
            </w:r>
          </w:p>
        </w:tc>
        <w:tc>
          <w:tcPr>
            <w:tcW w:w="3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30</w:t>
            </w:r>
          </w:p>
        </w:tc>
      </w:tr>
      <w:tr>
        <w:tc>
          <w:tcPr>
            <w:tcW w:w="2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 Single chiller at base</w:t>
            </w:r>
          </w:p>
        </w:tc>
        <w:tc>
          <w:tcPr>
            <w:tcW w:w="36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One CWFL-3000 reconditions the 90 kg PCM overnight. The second chiller stays at base as a spare, off the vehicle. A quick-disconnect coupler simplifies the loop.</w:t>
            </w:r>
          </w:p>
        </w:tc>
        <w:tc>
          <w:tcPr>
            <w:tcW w:w="3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28 (off-vehicle logistics)</w:t>
            </w:r>
          </w:p>
        </w:tc>
      </w:tr>
      <w:tr>
        <w:tc>
          <w:tcPr>
            <w:tcW w:w="24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 Stabilization mix 110 L to 60 L</w:t>
            </w:r>
          </w:p>
        </w:tc>
        <w:tc>
          <w:tcPr>
            <w:tcW w:w="36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At 50 L/ha and 0.15-0.24 ha/day output, 10-15 L of mix suffices per day. The drafting pump refills mid-day from any water body.</w:t>
            </w:r>
          </w:p>
        </w:tc>
        <w:tc>
          <w:tcPr>
            <w:tcW w:w="3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50 (fluid mass)</w:t>
            </w:r>
          </w:p>
        </w:tc>
      </w:tr>
      <w:tr>
        <w:tc>
          <w:tcPr>
            <w:tcW w:w="2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4. 7075-T6 truss rack</w:t>
            </w:r>
          </w:p>
        </w:tc>
        <w:tc>
          <w:tcPr>
            <w:tcW w:w="36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Replace solid-plate 80/20 rack with high-strength 7075-T6 aluminum truss arms. Same stiffness, validated in Phase 1 structural analysis.</w:t>
            </w:r>
          </w:p>
        </w:tc>
        <w:tc>
          <w:tcPr>
            <w:tcW w:w="3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15</w:t>
            </w:r>
          </w:p>
        </w:tc>
      </w:tr>
      <w:tr>
        <w:tc>
          <w:tcPr>
            <w:tcW w:w="24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5. Intermittent-duty air compressor</w:t>
            </w:r>
          </w:p>
        </w:tc>
        <w:tc>
          <w:tcPr>
            <w:tcW w:w="36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Viair 400C (smaller, lighter) plus a 1 L receiver buffers flow; the knife runs only during treatment cycles (40-50% duty).</w:t>
            </w:r>
          </w:p>
        </w:tc>
        <w:tc>
          <w:tcPr>
            <w:tcW w:w="3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4</w:t>
            </w:r>
          </w:p>
        </w:tc>
      </w:tr>
      <w:tr>
        <w:tc>
          <w:tcPr>
            <w:tcW w:w="2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Total recovered</w:t>
            </w:r>
          </w:p>
        </w:tc>
        <w:tc>
          <w:tcPr>
            <w:tcW w:w="36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
            </w:r>
          </w:p>
        </w:tc>
        <w:tc>
          <w:tcPr>
            <w:tcW w:w="3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≈99 (plus 28 kg off-vehicle logistics)</w:t>
            </w:r>
          </w:p>
        </w:tc>
      </w:tr>
    </w:tbl>
    <w:p>
      <w:pPr>
        <w:pStyle w:val="Caption"/>
      </w:pPr>
      <w:r>
        <w:t xml:space="preserve">Table 2: Weight-saving changes for v1.2.</w:t>
      </w:r>
    </w:p>
    <w:p>
      <w:pPr>
        <w:pStyle w:val="Heading2"/>
      </w:pPr>
      <w:r>
        <w:t xml:space="preserve">2.2 Recovered Mass Budget and Margin</w:t>
      </w:r>
    </w:p>
    <w:p>
      <w:r>
        <w:t xml:space="preserve">Applying the five changes and accounting for the new scan-head laser architecture (single 6 kW source replacing eight 2 kW sources and their fibers) yields the recovered budget. The margin rises from 2 percent to 9.5 percent, restoring room for the NIR spectrometer, ground anchors, char test port, and future upgrades.</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5000"/>
        <w:gridCol w:w="1900"/>
        <w:gridCol w:w="2740"/>
      </w:tblGrid>
      <w:tr>
        <w:trPr>
          <w:tblHeader/>
        </w:trPr>
        <w:tc>
          <w:tcPr>
            <w:tcW w:w="50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Onboard payload item</w:t>
            </w:r>
          </w:p>
        </w:tc>
        <w:tc>
          <w:tcPr>
            <w:tcW w:w="19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Mass (kg)</w:t>
            </w:r>
          </w:p>
        </w:tc>
        <w:tc>
          <w:tcPr>
            <w:tcW w:w="274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Notes</w:t>
            </w:r>
          </w:p>
        </w:tc>
      </w:tr>
      <w:tr>
        <w:tc>
          <w:tcPr>
            <w:tcW w:w="5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20 kW compact generator in isolated compartment</w:t>
            </w:r>
          </w:p>
        </w:tc>
        <w:tc>
          <w:tcPr>
            <w:tcW w:w="19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320</w:t>
            </w:r>
          </w:p>
        </w:tc>
        <w:tc>
          <w:tcPr>
            <w:tcW w:w="27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Vehicle-mount class, Section 10</w:t>
            </w:r>
          </w:p>
        </w:tc>
      </w:tr>
      <w:tr>
        <w:tc>
          <w:tcPr>
            <w:tcW w:w="50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Battery system (3 hot-swap modules + aux)</w:t>
            </w:r>
          </w:p>
        </w:tc>
        <w:tc>
          <w:tcPr>
            <w:tcW w:w="1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150</w:t>
            </w:r>
          </w:p>
        </w:tc>
        <w:tc>
          <w:tcPr>
            <w:tcW w:w="27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Section 10.1</w:t>
            </w:r>
          </w:p>
        </w:tc>
      </w:tr>
      <w:tr>
        <w:tc>
          <w:tcPr>
            <w:tcW w:w="5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IPG YLS-6000 6 kW laser source + fiber</w:t>
            </w:r>
          </w:p>
        </w:tc>
        <w:tc>
          <w:tcPr>
            <w:tcW w:w="19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120</w:t>
            </w:r>
          </w:p>
        </w:tc>
        <w:tc>
          <w:tcPr>
            <w:tcW w:w="27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Single source, water-cooled</w:t>
            </w:r>
          </w:p>
        </w:tc>
      </w:tr>
      <w:tr>
        <w:tc>
          <w:tcPr>
            <w:tcW w:w="50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IPG D33 scan head + mounting</w:t>
            </w:r>
          </w:p>
        </w:tc>
        <w:tc>
          <w:tcPr>
            <w:tcW w:w="1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28</w:t>
            </w:r>
          </w:p>
        </w:tc>
        <w:tc>
          <w:tcPr>
            <w:tcW w:w="27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Section 6.2</w:t>
            </w:r>
          </w:p>
        </w:tc>
      </w:tr>
      <w:tr>
        <w:tc>
          <w:tcPr>
            <w:tcW w:w="5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7075-T6 truss rack, linkage, actuators</w:t>
            </w:r>
          </w:p>
        </w:tc>
        <w:tc>
          <w:tcPr>
            <w:tcW w:w="19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70</w:t>
            </w:r>
          </w:p>
        </w:tc>
        <w:tc>
          <w:tcPr>
            <w:tcW w:w="27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Section 6.3 (was 85)</w:t>
            </w:r>
          </w:p>
        </w:tc>
      </w:tr>
      <w:tr>
        <w:tc>
          <w:tcPr>
            <w:tcW w:w="50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PCM thermal battery panels</w:t>
            </w:r>
          </w:p>
        </w:tc>
        <w:tc>
          <w:tcPr>
            <w:tcW w:w="1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105</w:t>
            </w:r>
          </w:p>
        </w:tc>
        <w:tc>
          <w:tcPr>
            <w:tcW w:w="27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90 kg PCM plus panels</w:t>
            </w:r>
          </w:p>
        </w:tc>
      </w:tr>
      <w:tr>
        <w:tc>
          <w:tcPr>
            <w:tcW w:w="5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Sensing suite incl. NIR spectrometer</w:t>
            </w:r>
          </w:p>
        </w:tc>
        <w:tc>
          <w:tcPr>
            <w:tcW w:w="19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22</w:t>
            </w:r>
          </w:p>
        </w:tc>
        <w:tc>
          <w:tcPr>
            <w:tcW w:w="27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Section 8 (was 14; NIR adds 8)</w:t>
            </w:r>
          </w:p>
        </w:tc>
      </w:tr>
      <w:tr>
        <w:tc>
          <w:tcPr>
            <w:tcW w:w="50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Compute and control electronics</w:t>
            </w:r>
          </w:p>
        </w:tc>
        <w:tc>
          <w:tcPr>
            <w:tcW w:w="1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15</w:t>
            </w:r>
          </w:p>
        </w:tc>
        <w:tc>
          <w:tcPr>
            <w:tcW w:w="27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Jetson, Beckhoff, enclosures</w:t>
            </w:r>
          </w:p>
        </w:tc>
      </w:tr>
      <w:tr>
        <w:tc>
          <w:tcPr>
            <w:tcW w:w="5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Stabilization spray with 55 L fluid</w:t>
            </w:r>
          </w:p>
        </w:tc>
        <w:tc>
          <w:tcPr>
            <w:tcW w:w="19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70</w:t>
            </w:r>
          </w:p>
        </w:tc>
        <w:tc>
          <w:tcPr>
            <w:tcW w:w="27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Section 11.1 (was 120)</w:t>
            </w:r>
          </w:p>
        </w:tc>
      </w:tr>
      <w:tr>
        <w:tc>
          <w:tcPr>
            <w:tcW w:w="50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Emergency suppression with 22 L fluid</w:t>
            </w:r>
          </w:p>
        </w:tc>
        <w:tc>
          <w:tcPr>
            <w:tcW w:w="1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42</w:t>
            </w:r>
          </w:p>
        </w:tc>
        <w:tc>
          <w:tcPr>
            <w:tcW w:w="27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Section 11.2 (was 68)</w:t>
            </w:r>
          </w:p>
        </w:tc>
      </w:tr>
      <w:tr>
        <w:tc>
          <w:tcPr>
            <w:tcW w:w="5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Air knife + Viair 400C + receiver</w:t>
            </w:r>
          </w:p>
        </w:tc>
        <w:tc>
          <w:tcPr>
            <w:tcW w:w="19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10</w:t>
            </w:r>
          </w:p>
        </w:tc>
        <w:tc>
          <w:tcPr>
            <w:tcW w:w="27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Section 6.5 (was 14)</w:t>
            </w:r>
          </w:p>
        </w:tc>
      </w:tr>
      <w:tr>
        <w:tc>
          <w:tcPr>
            <w:tcW w:w="50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Teleoperation conversion kit</w:t>
            </w:r>
          </w:p>
        </w:tc>
        <w:tc>
          <w:tcPr>
            <w:tcW w:w="1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25</w:t>
            </w:r>
          </w:p>
        </w:tc>
        <w:tc>
          <w:tcPr>
            <w:tcW w:w="27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Section 5.2</w:t>
            </w:r>
          </w:p>
        </w:tc>
      </w:tr>
      <w:tr>
        <w:tc>
          <w:tcPr>
            <w:tcW w:w="5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Ground anchor system</w:t>
            </w:r>
          </w:p>
        </w:tc>
        <w:tc>
          <w:tcPr>
            <w:tcW w:w="19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9</w:t>
            </w:r>
          </w:p>
        </w:tc>
        <w:tc>
          <w:tcPr>
            <w:tcW w:w="27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Section 5.3</w:t>
            </w:r>
          </w:p>
        </w:tc>
      </w:tr>
      <w:tr>
        <w:tc>
          <w:tcPr>
            <w:tcW w:w="50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Char quality test port</w:t>
            </w:r>
          </w:p>
        </w:tc>
        <w:tc>
          <w:tcPr>
            <w:tcW w:w="1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w:t>
            </w:r>
          </w:p>
        </w:tc>
        <w:tc>
          <w:tcPr>
            <w:tcW w:w="27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Section 8.2</w:t>
            </w:r>
          </w:p>
        </w:tc>
      </w:tr>
      <w:tr>
        <w:tc>
          <w:tcPr>
            <w:tcW w:w="5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Cabling, shielding, misc.</w:t>
            </w:r>
          </w:p>
        </w:tc>
        <w:tc>
          <w:tcPr>
            <w:tcW w:w="19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12</w:t>
            </w:r>
          </w:p>
        </w:tc>
        <w:tc>
          <w:tcPr>
            <w:tcW w:w="27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Short-run harness</w:t>
            </w:r>
          </w:p>
        </w:tc>
      </w:tr>
      <w:tr>
        <w:tc>
          <w:tcPr>
            <w:tcW w:w="50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Total payload</w:t>
            </w:r>
          </w:p>
        </w:tc>
        <w:tc>
          <w:tcPr>
            <w:tcW w:w="1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1,085</w:t>
            </w:r>
          </w:p>
        </w:tc>
        <w:tc>
          <w:tcPr>
            <w:tcW w:w="27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vs. 1,200 kg rated payload: 9.5% margin</w:t>
            </w:r>
          </w:p>
        </w:tc>
      </w:tr>
    </w:tbl>
    <w:p>
      <w:pPr>
        <w:pStyle w:val="Caption"/>
      </w:pPr>
      <w:r>
        <w:t xml:space="preserve">Table 3: Recovered payload allocation against the SHERP N 1200 rating.</w:t>
      </w:r>
    </w:p>
    <w:p>
      <w:pPr>
        <w:pStyle w:val="Heading1"/>
      </w:pPr>
      <w:r>
        <w:t xml:space="preserve">3. Stroboscopic Treatment: Lasers While Moving</w:t>
      </w:r>
    </w:p>
    <w:p>
      <w:pPr>
        <w:pStyle w:val="Heading2"/>
      </w:pPr>
      <w:r>
        <w:t xml:space="preserve">3.1 The Physics of Firing at Speed</w:t>
      </w:r>
    </w:p>
    <w:p>
      <w:r>
        <w:t xml:space="preserve">The v1.1 step-and-dwell cycle stops the vehicle for every 20 cm of corridor. That works, but it caps throughput at 0.28 to 0.43 km/day and cycles the friction clutches thousands of times per shift. The stroboscopic architecture fires short, intense laser bursts while the vehicle moves continuously at 2 km/h, decoupling the laser pulse timing from the vehicle motion. This is the shifted laser surface texturing (sLST) principle from industrial micromachining: pulsed firing synchronized to, but independent of, scanner and stage movement.</w:t>
      </w:r>
    </w:p>
    <w:p>
      <w:r>
        <w:t xml:space="preserve">Two constraints make this hard, and both are solvable. Optical stability: a moving vehicle smears the beam across the fuel, blurring belt edges. Control loop stability: the OES sightline moves with the vehicle, so real-time chemistry feedback degrades. The design answers both with the scan head and a time-averaged control loop (Section 14).</w:t>
      </w:r>
    </w:p>
    <w:p>
      <w:pPr>
        <w:keepNext/>
        <w:spacing w:before="200" w:after="60"/>
        <w:jc w:val="center"/>
      </w:pPr>
      <w:r>
        <w:drawing>
          <wp:inline distT="0" distB="0" distL="0" distR="0">
            <wp:extent cx="5400000" cy="2992084"/>
            <wp:effectExtent l="0" t="0" r="0" b="0"/>
            <wp:docPr id="100" name="StroboscopicTiming"/>
            <wp:cNvGraphicFramePr>
              <a:graphicFrameLocks noChangeAspect="1"/>
            </wp:cNvGraphicFramePr>
            <a:graphic>
              <a:graphicData uri="http://schemas.openxmlformats.org/drawingml/2006/picture">
                <pic:pic>
                  <pic:nvPicPr>
                    <pic:cNvPr id="0" name="StroboscopicTiming.png"/>
                    <pic:cNvPicPr/>
                  </pic:nvPicPr>
                  <pic:blipFill>
                    <a:blip r:embed="R20a3d77fec614563"/>
                    <a:stretch>
                      <a:fillRect/>
                    </a:stretch>
                  </pic:blipFill>
                  <pic:spPr>
                    <a:xfrm>
                      <a:off x="0" y="0"/>
                      <a:ext cx="5400000" cy="2992084"/>
                    </a:xfrm>
                    <a:prstGeom prst="rect"/>
                  </pic:spPr>
                </pic:pic>
              </a:graphicData>
            </a:graphic>
          </wp:inline>
        </w:drawing>
      </w:r>
    </w:p>
    <w:p>
      <w:pPr>
        <w:pStyle w:val="Caption"/>
      </w:pPr>
      <w:r>
        <w:t xml:space="preserve">Figure 1: Stroboscopic treatment timing: continuous 2 km/h motion with synchronized 500 ms bursts.</w:t>
      </w:r>
    </w:p>
    <w:p>
      <w:pPr>
        <w:pStyle w:val="Heading2"/>
      </w:pPr>
      <w:r>
        <w:t xml:space="preserve">3.2 The IPG D33 Scan Head and Burst Synchronization</w:t>
      </w:r>
    </w:p>
    <w:p>
      <w:r>
        <w:t xml:space="preserve">The treatment optic changes from eight static top-hat heads to a single IPG D33 ultra-high-power galvanometric scan head. The D33 handles 12 kW multimode laser power, carries an IP67 rating, and scans a 250 × 250 mm field from a 500 mm focal length at a 630 mm working distance. Mounted on the rack and aimed downward, it sweeps a 6 kW beam across each 0.7 m belt in a single 500 ms burst, then jumps to the next belt. One scan head treats all four staggered belts per cycle because it repositions in microseconds, far faster than the vehicle moves.</w:t>
      </w:r>
    </w:p>
    <w:p>
      <w:r>
        <w:t xml:space="preserve">During each 500 ms burst, the vehicle advances only 0.28 m (2 km/h = 0.56 m/s). That motion is negligible against the 0.7 m belt width and the 20 cm patch advance, so belt-edge blur stays under 3 percent. The galvo fires 20 to 25 pulses at 40 to 50 Hz within the burst, each pulse depositing a fixed dose. The Jetson controller triggers bursts from the RTK-corrected wheel odometry and scanner position feedback, holding patch registration to under 2 cm per kilometre.</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3800"/>
        <w:gridCol w:w="5840"/>
      </w:tblGrid>
      <w:tr>
        <w:trPr>
          <w:tblHeader/>
        </w:trPr>
        <w:tc>
          <w:tcPr>
            <w:tcW w:w="38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Stroboscopic parameter</w:t>
            </w:r>
          </w:p>
        </w:tc>
        <w:tc>
          <w:tcPr>
            <w:tcW w:w="584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Value</w:t>
            </w:r>
          </w:p>
        </w:tc>
      </w:tr>
      <w:tr>
        <w:tc>
          <w:tcPr>
            <w:tcW w:w="3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Vehicle speed during treatment</w:t>
            </w:r>
          </w:p>
        </w:tc>
        <w:tc>
          <w:tcPr>
            <w:tcW w:w="58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2.0 km/h (constant, low gear)</w:t>
            </w:r>
          </w:p>
        </w:tc>
      </w:tr>
      <w:tr>
        <w:tc>
          <w:tcPr>
            <w:tcW w:w="3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Vehicle motion per burst</w:t>
            </w:r>
          </w:p>
        </w:tc>
        <w:tc>
          <w:tcPr>
            <w:tcW w:w="58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0.28 m</w:t>
            </w:r>
          </w:p>
        </w:tc>
      </w:tr>
      <w:tr>
        <w:tc>
          <w:tcPr>
            <w:tcW w:w="3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Burst duration</w:t>
            </w:r>
          </w:p>
        </w:tc>
        <w:tc>
          <w:tcPr>
            <w:tcW w:w="58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500 ms</w:t>
            </w:r>
          </w:p>
        </w:tc>
      </w:tr>
      <w:tr>
        <w:tc>
          <w:tcPr>
            <w:tcW w:w="3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Pulse repetition rate</w:t>
            </w:r>
          </w:p>
        </w:tc>
        <w:tc>
          <w:tcPr>
            <w:tcW w:w="58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40-50 Hz</w:t>
            </w:r>
          </w:p>
        </w:tc>
      </w:tr>
      <w:tr>
        <w:tc>
          <w:tcPr>
            <w:tcW w:w="3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Pulses per burst</w:t>
            </w:r>
          </w:p>
        </w:tc>
        <w:tc>
          <w:tcPr>
            <w:tcW w:w="58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20-25</w:t>
            </w:r>
          </w:p>
        </w:tc>
      </w:tr>
      <w:tr>
        <w:tc>
          <w:tcPr>
            <w:tcW w:w="3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Patch advance per cycle</w:t>
            </w:r>
          </w:p>
        </w:tc>
        <w:tc>
          <w:tcPr>
            <w:tcW w:w="58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20 cm (1.5 s cycle: 500 ms burst + 1.0 s reposition)</w:t>
            </w:r>
          </w:p>
        </w:tc>
      </w:tr>
      <w:tr>
        <w:tc>
          <w:tcPr>
            <w:tcW w:w="3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Belt-edge blur</w:t>
            </w:r>
          </w:p>
        </w:tc>
        <w:tc>
          <w:tcPr>
            <w:tcW w:w="58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&lt;3% (0.28 m motion vs 0.7 m belt)</w:t>
            </w:r>
          </w:p>
        </w:tc>
      </w:tr>
      <w:tr>
        <w:tc>
          <w:tcPr>
            <w:tcW w:w="3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Scan head</w:t>
            </w:r>
          </w:p>
        </w:tc>
        <w:tc>
          <w:tcPr>
            <w:tcW w:w="58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IPG D33, 12 kW rated, 250 × 250 mm field, F500, IP67</w:t>
            </w:r>
          </w:p>
        </w:tc>
      </w:tr>
      <w:tr>
        <w:tc>
          <w:tcPr>
            <w:tcW w:w="3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Laser source</w:t>
            </w:r>
          </w:p>
        </w:tc>
        <w:tc>
          <w:tcPr>
            <w:tcW w:w="58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IPG YLS-6000, 6 kW multimode CW fiber, 1080 nm</w:t>
            </w:r>
          </w:p>
        </w:tc>
      </w:tr>
    </w:tbl>
    <w:p>
      <w:pPr>
        <w:pStyle w:val="Caption"/>
      </w:pPr>
      <w:r>
        <w:t xml:space="preserve">Table 4: Stroboscopic treatment parameters.</w:t>
      </w:r>
    </w:p>
    <w:p>
      <w:pPr>
        <w:pStyle w:val="Heading2"/>
      </w:pPr>
      <w:r>
        <w:t xml:space="preserve">3.3 Throughput Model at 2 km/h</w:t>
      </w:r>
    </w:p>
    <w:p>
      <w:r>
        <w:t xml:space="preserve">At 2 km/h the vehicle covers 1,600 m per 8-hour day at 80 percent uptime. With a 20 cm patch advance per cycle, that is 8,000 patches per day. Each patch receives the full design dose during its 500 ms burst. The four staggered belts advance together, so daily corridor output is simply distance travelled: 1.6 km per day at the design 1.0 MJ/m² dose, scaling to 3.0 to 4.0 km/day across the dose range and accounting for terrain slowdowns and dose verification stops.</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2000"/>
        <w:gridCol w:w="2000"/>
        <w:gridCol w:w="2200"/>
        <w:gridCol w:w="3440"/>
      </w:tblGrid>
      <w:tr>
        <w:trPr>
          <w:tblHeader/>
        </w:trPr>
        <w:tc>
          <w:tcPr>
            <w:tcW w:w="20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Fuel dose</w:t>
            </w:r>
          </w:p>
        </w:tc>
        <w:tc>
          <w:tcPr>
            <w:tcW w:w="20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Effective speed</w:t>
            </w:r>
          </w:p>
        </w:tc>
        <w:tc>
          <w:tcPr>
            <w:tcW w:w="22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Cycle structure</w:t>
            </w:r>
          </w:p>
        </w:tc>
        <w:tc>
          <w:tcPr>
            <w:tcW w:w="344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Four-belt corridor per 8 h day</w:t>
            </w:r>
          </w:p>
        </w:tc>
      </w:tr>
      <w:tr>
        <w:tc>
          <w:tcPr>
            <w:tcW w:w="2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0.75 MJ/m²</w:t>
            </w:r>
          </w:p>
        </w:tc>
        <w:tc>
          <w:tcPr>
            <w:tcW w:w="2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2.0 km/h</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500 ms burst, 1.0 s gap</w:t>
            </w:r>
          </w:p>
        </w:tc>
        <w:tc>
          <w:tcPr>
            <w:tcW w:w="34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4.0 km</w:t>
            </w:r>
          </w:p>
        </w:tc>
      </w:tr>
      <w:tr>
        <w:tc>
          <w:tcPr>
            <w:tcW w:w="20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1.0 MJ/m² (design point)</w:t>
            </w:r>
          </w:p>
        </w:tc>
        <w:tc>
          <w:tcPr>
            <w:tcW w:w="20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2.0 km/h</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500 ms burst, 1.0 s gap</w:t>
            </w:r>
          </w:p>
        </w:tc>
        <w:tc>
          <w:tcPr>
            <w:tcW w:w="34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3.2 km</w:t>
            </w:r>
          </w:p>
        </w:tc>
      </w:tr>
      <w:tr>
        <w:tc>
          <w:tcPr>
            <w:tcW w:w="2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1.5 MJ/m²</w:t>
            </w:r>
          </w:p>
        </w:tc>
        <w:tc>
          <w:tcPr>
            <w:tcW w:w="2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1.6 km/h (slower transit)</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500 ms burst, 1.3 s gap</w:t>
            </w:r>
          </w:p>
        </w:tc>
        <w:tc>
          <w:tcPr>
            <w:tcW w:w="34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2.6 km</w:t>
            </w:r>
          </w:p>
        </w:tc>
      </w:tr>
    </w:tbl>
    <w:p>
      <w:pPr>
        <w:pStyle w:val="Caption"/>
      </w:pPr>
      <w:r>
        <w:t xml:space="preserve">Table 5: Stroboscopic throughput sensitivity to fuel dose.</w:t>
      </w:r>
    </w:p>
    <w:p>
      <w:pPr>
        <w:pStyle w:val="Heading2"/>
      </w:pPr>
      <w:r>
        <w:t xml:space="preserve">3.4 Step-and-Dwell Fallback</w:t>
      </w:r>
    </w:p>
    <w:p>
      <w:r>
        <w:t xml:space="preserve">The step-and-dwell cycle remains in software as a fallback. If the scan head faults, if OES time-averaging confidence drops below threshold, or if terrain forces a stop anyway (very steep pitch, obstacle), the controller reverts to stationary firing. This preserves the v1.1 capability as a degraded mode rather than deleting it.</w:t>
      </w:r>
    </w:p>
    <w:p>
      <w:pPr>
        <w:pStyle w:val="Heading1"/>
      </w:pPr>
      <w:r>
        <w:t xml:space="preserve">4. System Architecture</w:t>
      </w:r>
    </w:p>
    <w:p>
      <w:pPr>
        <w:pStyle w:val="Heading2"/>
      </w:pPr>
      <w:r>
        <w:t xml:space="preserve">4.1 Single-Element Layout and Mass Budget</w:t>
      </w:r>
    </w:p>
    <w:p>
      <w:r>
        <w:t xml:space="preserve">The single-element SHERP layout carries over from v1.1. Section 2 details the recovered mass budget: total onboard payload drops to 1,085 kg, restoring a 9.5 percent margin against the 1,200 kg rating. The generator compartment, hull battery cradle, front rack, and sensor mast all carry over with the lighter components substituted.</w:t>
      </w:r>
    </w:p>
    <w:p>
      <w:pPr>
        <w:pStyle w:val="Heading2"/>
      </w:pPr>
      <w:r>
        <w:t xml:space="preserve">4.2 Subsystem Map</w:t>
      </w:r>
    </w:p>
    <w:p>
      <w:r>
        <w:t xml:space="preserve">The subsystem map mirrors v1.1 with three substitutions: the eight-source laser array becomes a single 6 kW source feeding the D33 scan head; the fixed battery bank becomes three hot-swap modules plus an auxiliary start battery; and the sensor suite adds the NIR spectrometer and char test port. Figure 1 in Section 3 illustrates the new treatment timing.</w:t>
      </w:r>
    </w:p>
    <w:p>
      <w:pPr>
        <w:pStyle w:val="Heading2"/>
      </w:pPr>
      <w:r>
        <w:t xml:space="preserve">4.3 Power and Energy Budget</w:t>
      </w:r>
    </w:p>
    <w:p>
      <w:r>
        <w:t xml:space="preserve">The laser array drops from 16 kW peak across eight sources to a single 6 kW source. The scanner concentrates that 6 kW onto one belt at a time, delivering equivalent or better dose per belt than the v1.1 paired 4 kW static heads. Average optical output at 35 percent treatment duty is 2.1 kW, or 7.0 kW wall-plug at 30 percent efficiency. The 20 kW generator carries the full load at 53 percent of rating, comfortably inside its efficient band and leaving margin for the NIR spectrometer and scanner electronics.</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4600"/>
        <w:gridCol w:w="1800"/>
        <w:gridCol w:w="3240"/>
      </w:tblGrid>
      <w:tr>
        <w:trPr>
          <w:tblHeader/>
        </w:trPr>
        <w:tc>
          <w:tcPr>
            <w:tcW w:w="46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Load during active treatment</w:t>
            </w:r>
          </w:p>
        </w:tc>
        <w:tc>
          <w:tcPr>
            <w:tcW w:w="18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Avg. draw</w:t>
            </w:r>
          </w:p>
        </w:tc>
        <w:tc>
          <w:tcPr>
            <w:tcW w:w="324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Basis</w:t>
            </w:r>
          </w:p>
        </w:tc>
      </w:tr>
      <w:tr>
        <w:tc>
          <w:tcPr>
            <w:tcW w:w="4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Laser array (6 kW optical, 35% duty)</w:t>
            </w:r>
          </w:p>
        </w:tc>
        <w:tc>
          <w:tcPr>
            <w:tcW w:w="1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7.0 kW</w:t>
            </w:r>
          </w:p>
        </w:tc>
        <w:tc>
          <w:tcPr>
            <w:tcW w:w="32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2.1 kW avg. optical at 30% wall-plug efficiency</w:t>
            </w:r>
          </w:p>
        </w:tc>
      </w:tr>
      <w:tr>
        <w:tc>
          <w:tcPr>
            <w:tcW w:w="4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RF pre-dryer (1.6 kW output, 60% duty)</w:t>
            </w:r>
          </w:p>
        </w:tc>
        <w:tc>
          <w:tcPr>
            <w:tcW w:w="1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1.6 kW</w:t>
            </w:r>
          </w:p>
        </w:tc>
        <w:tc>
          <w:tcPr>
            <w:tcW w:w="32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2.7 kW input at 60% GaN efficiency</w:t>
            </w:r>
          </w:p>
        </w:tc>
      </w:tr>
      <w:tr>
        <w:tc>
          <w:tcPr>
            <w:tcW w:w="4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Mobility at 2 km/h</w:t>
            </w:r>
          </w:p>
        </w:tc>
        <w:tc>
          <w:tcPr>
            <w:tcW w:w="1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0.8 kW</w:t>
            </w:r>
          </w:p>
        </w:tc>
        <w:tc>
          <w:tcPr>
            <w:tcW w:w="32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Level-ground draw at constant low-gear speed</w:t>
            </w:r>
          </w:p>
        </w:tc>
      </w:tr>
      <w:tr>
        <w:tc>
          <w:tcPr>
            <w:tcW w:w="4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Avionics, compute, scanner, NIR</w:t>
            </w:r>
          </w:p>
        </w:tc>
        <w:tc>
          <w:tcPr>
            <w:tcW w:w="1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0.8 kW</w:t>
            </w:r>
          </w:p>
        </w:tc>
        <w:tc>
          <w:tcPr>
            <w:tcW w:w="32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Jetson, Beckhoff, D33 driver, FieldSpec</w:t>
            </w:r>
          </w:p>
        </w:tc>
      </w:tr>
      <w:tr>
        <w:tc>
          <w:tcPr>
            <w:tcW w:w="4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Compressor, pumps, radiator fans</w:t>
            </w:r>
          </w:p>
        </w:tc>
        <w:tc>
          <w:tcPr>
            <w:tcW w:w="1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0.5 kW</w:t>
            </w:r>
          </w:p>
        </w:tc>
        <w:tc>
          <w:tcPr>
            <w:tcW w:w="32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Air knife plus thermal loop</w:t>
            </w:r>
          </w:p>
        </w:tc>
      </w:tr>
      <w:tr>
        <w:tc>
          <w:tcPr>
            <w:tcW w:w="4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Total average load</w:t>
            </w:r>
          </w:p>
        </w:tc>
        <w:tc>
          <w:tcPr>
            <w:tcW w:w="1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10.7 kW</w:t>
            </w:r>
          </w:p>
        </w:tc>
        <w:tc>
          <w:tcPr>
            <w:tcW w:w="32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53% of the 20 kW generator rating</w:t>
            </w:r>
          </w:p>
        </w:tc>
      </w:tr>
    </w:tbl>
    <w:p>
      <w:pPr>
        <w:pStyle w:val="Caption"/>
      </w:pPr>
      <w:r>
        <w:t xml:space="preserve">Table 6: Average power budget during active treatment.</w:t>
      </w:r>
    </w:p>
    <w:p>
      <w:pPr>
        <w:keepNext/>
        <w:spacing w:before="200" w:after="60"/>
        <w:jc w:val="center"/>
      </w:pPr>
      <w:r>
        <w:drawing>
          <wp:inline distT="0" distB="0" distL="0" distR="0">
            <wp:extent cx="4680000" cy="1913207"/>
            <wp:effectExtent l="0" t="0" r="0" b="0"/>
            <wp:docPr id="101" name="PowerBudget"/>
            <wp:cNvGraphicFramePr>
              <a:graphicFrameLocks noChangeAspect="1"/>
            </wp:cNvGraphicFramePr>
            <a:graphic>
              <a:graphicData uri="http://schemas.openxmlformats.org/drawingml/2006/picture">
                <pic:pic>
                  <pic:nvPicPr>
                    <pic:cNvPr id="0" name="PowerBudget.png"/>
                    <pic:cNvPicPr/>
                  </pic:nvPicPr>
                  <pic:blipFill>
                    <a:blip r:embed="Recce7226a40e43a2"/>
                    <a:stretch>
                      <a:fillRect/>
                    </a:stretch>
                  </pic:blipFill>
                  <pic:spPr>
                    <a:xfrm>
                      <a:off x="0" y="0"/>
                      <a:ext cx="4680000" cy="1913207"/>
                    </a:xfrm>
                    <a:prstGeom prst="rect"/>
                  </pic:spPr>
                </pic:pic>
              </a:graphicData>
            </a:graphic>
          </wp:inline>
        </w:drawing>
      </w:r>
    </w:p>
    <w:p>
      <w:pPr>
        <w:pStyle w:val="Caption"/>
      </w:pPr>
      <w:r>
        <w:t xml:space="preserve">Figure 2: Average power budget against the generator operating point.</w:t>
      </w:r>
    </w:p>
    <w:p>
      <w:pPr>
        <w:pStyle w:val="Heading1"/>
      </w:pPr>
      <w:r>
        <w:t xml:space="preserve">5. Mobility Platform: SHERP N 1200</w:t>
      </w:r>
    </w:p>
    <w:p>
      <w:pPr>
        <w:pStyle w:val="Heading2"/>
      </w:pPr>
      <w:r>
        <w:t xml:space="preserve">5.1 Platform Parameters</w:t>
      </w:r>
    </w:p>
    <w:p>
      <w:r>
        <w:t xml:space="preserve">The SHERP N 1200 carries over unchanged as the chassis. Table 7 repeats the key parameters for reference.</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3800"/>
        <w:gridCol w:w="5840"/>
      </w:tblGrid>
      <w:tr>
        <w:trPr>
          <w:tblHeader/>
        </w:trPr>
        <w:tc>
          <w:tcPr>
            <w:tcW w:w="38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SHERP N 1200 parameter</w:t>
            </w:r>
          </w:p>
        </w:tc>
        <w:tc>
          <w:tcPr>
            <w:tcW w:w="584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Value (manufacturer data)</w:t>
            </w:r>
          </w:p>
        </w:tc>
      </w:tr>
      <w:tr>
        <w:tc>
          <w:tcPr>
            <w:tcW w:w="3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Dimensions</w:t>
            </w:r>
          </w:p>
        </w:tc>
        <w:tc>
          <w:tcPr>
            <w:tcW w:w="58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3.99 × 2.57 × 3.0 m</w:t>
            </w:r>
          </w:p>
        </w:tc>
      </w:tr>
      <w:tr>
        <w:tc>
          <w:tcPr>
            <w:tcW w:w="3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Dry weight / payload</w:t>
            </w:r>
          </w:p>
        </w:tc>
        <w:tc>
          <w:tcPr>
            <w:tcW w:w="58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2,400 kg / 1,200 kg</w:t>
            </w:r>
          </w:p>
        </w:tc>
      </w:tr>
      <w:tr>
        <w:tc>
          <w:tcPr>
            <w:tcW w:w="3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Engine</w:t>
            </w:r>
          </w:p>
        </w:tc>
        <w:tc>
          <w:tcPr>
            <w:tcW w:w="58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Doosan D18 1.8 L diesel, 41 kW (55 hp), 190 Nm</w:t>
            </w:r>
          </w:p>
        </w:tc>
      </w:tr>
      <w:tr>
        <w:tc>
          <w:tcPr>
            <w:tcW w:w="3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Transmission</w:t>
            </w:r>
          </w:p>
        </w:tc>
        <w:tc>
          <w:tcPr>
            <w:tcW w:w="58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6-speed manual, skid steering</w:t>
            </w:r>
          </w:p>
        </w:tc>
      </w:tr>
      <w:tr>
        <w:tc>
          <w:tcPr>
            <w:tcW w:w="3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Speed</w:t>
            </w:r>
          </w:p>
        </w:tc>
        <w:tc>
          <w:tcPr>
            <w:tcW w:w="58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40 km/h land, 6 km/h water; 2 km/h minimum in low gear</w:t>
            </w:r>
          </w:p>
        </w:tc>
      </w:tr>
      <w:tr>
        <w:tc>
          <w:tcPr>
            <w:tcW w:w="3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Gradeability / tilt</w:t>
            </w:r>
          </w:p>
        </w:tc>
        <w:tc>
          <w:tcPr>
            <w:tcW w:w="58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35° grade, 30° side tilt</w:t>
            </w:r>
          </w:p>
        </w:tc>
      </w:tr>
      <w:tr>
        <w:tc>
          <w:tcPr>
            <w:tcW w:w="3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Ground pressure</w:t>
            </w:r>
          </w:p>
        </w:tc>
        <w:tc>
          <w:tcPr>
            <w:tcW w:w="58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0.07-0.15 kg/cm²</w:t>
            </w:r>
          </w:p>
        </w:tc>
      </w:tr>
      <w:tr>
        <w:tc>
          <w:tcPr>
            <w:tcW w:w="3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Fuel</w:t>
            </w:r>
          </w:p>
        </w:tc>
        <w:tc>
          <w:tcPr>
            <w:tcW w:w="58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95 L main + 4 × 58 L wheel-disk tanks, 327 L total</w:t>
            </w:r>
          </w:p>
        </w:tc>
      </w:tr>
      <w:tr>
        <w:tc>
          <w:tcPr>
            <w:tcW w:w="3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Occupant protection</w:t>
            </w:r>
          </w:p>
        </w:tc>
        <w:tc>
          <w:tcPr>
            <w:tcW w:w="58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ISO 3471 / 5700 certified ROPS</w:t>
            </w:r>
          </w:p>
        </w:tc>
      </w:tr>
    </w:tbl>
    <w:p>
      <w:pPr>
        <w:pStyle w:val="Caption"/>
      </w:pPr>
      <w:r>
        <w:t xml:space="preserve">Table 7: Mobility platform key parameters.</w:t>
      </w:r>
    </w:p>
    <w:p>
      <w:pPr>
        <w:pStyle w:val="Heading2"/>
      </w:pPr>
      <w:r>
        <w:t xml:space="preserve">5.2 Teleoperation Conversion</w:t>
      </w:r>
    </w:p>
    <w:p>
      <w:r>
        <w:t xml:space="preserve">The Bowden-cable teleoperation conversion carries over from v1.1 unchanged: actuation box behind the driver seat, 0.4 s power-independent emergency stop, low-gear lock during treatment, and a 2 s link-loss controlled stop. The stroboscopic cycle removes the stop-start drivetrain wear that v1.1 accepted, so clutch and chain life improve substantially.</w:t>
      </w:r>
    </w:p>
    <w:p>
      <w:pPr>
        <w:pStyle w:val="Heading2"/>
      </w:pPr>
      <w:r>
        <w:t xml:space="preserve">5.3 Ground Anchor System</w:t>
      </w:r>
    </w:p>
    <w:p>
      <w:r>
        <w:t xml:space="preserve">The 3,600 kg loaded vehicle on a 35° slope presents a runaway risk if traction or engine power fails during teleoperation with an empty cabin. Four heavy-duty screw-in ground anchors with ratchet straps and a 50 m cable, stored in a chassis box, secure the vehicle on slopes above 20°. The operator deploys them before treatment on steep ground; the whole kit adds 9 kg. A Phase 2 option adds an electric winch with a fired ground-spike anchor for fully autonomous deployment.</w:t>
      </w:r>
    </w:p>
    <w:p>
      <w:pPr>
        <w:pStyle w:val="Heading1"/>
      </w:pPr>
      <w:r>
        <w:t xml:space="preserve">6. Laser Carbonization Array</w:t>
      </w:r>
    </w:p>
    <w:p>
      <w:pPr>
        <w:pStyle w:val="Heading2"/>
      </w:pPr>
      <w:r>
        <w:t xml:space="preserve">6.1 Single 6 kW Source with Scanner Delivery</w:t>
      </w:r>
    </w:p>
    <w:p>
      <w:r>
        <w:t xml:space="preserve">The eight Raycus 2 kW sources of v1.1 consolidate into one IPG YLS-6000 multimode CW fiber laser (6 kW, 1080 nm, water-cooled). A single industrial-grade source simplifies cooling, modulation, and maintenance, and the multimode output matches the D33 scan head's 33 mm aperture and 12 kW rating with margin. The source accepts external analog modulation for the 40 to 50 Hz burst train. IPG's Canadian support network and the wide availability of YLS-series spares reduce lifecycle risk against the multi-source approach.</w:t>
      </w:r>
    </w:p>
    <w:p>
      <w:pPr>
        <w:pStyle w:val="Heading2"/>
      </w:pPr>
      <w:r>
        <w:t xml:space="preserve">6.2 The Scan Head as Treatment Optic</w:t>
      </w:r>
    </w:p>
    <w:p>
      <w:r>
        <w:t xml:space="preserve">The D33 scan head replaces all eight static top-hat heads. From its 630 mm working distance it paints a 250 × 250 mm field; the rack geometry and burst sequencing tile four of these fields across each 0.7 m belt, sweeping the full 5.5 m corridor through microsecond galvo jumps rather than vehicle repositioning. The 5-degree off-normal window angle and air purge carry over to manage reflections and contamination. The head's IP67 sealing suits the outdoor, dust-laden environment.</w:t>
      </w:r>
    </w:p>
    <w:p>
      <w:pPr>
        <w:pStyle w:val="Heading2"/>
      </w:pPr>
      <w:r>
        <w:t xml:space="preserve">6.3 Treatment Rack, 7075 Truss, and Transit Mode</w:t>
      </w:r>
    </w:p>
    <w:p>
      <w:r>
        <w:t xml:space="preserve">The rack rebuilds in 7075-T6 aluminum truss rather than solid 80/20 plate, saving 15 kg at equal stiffness (Phase 1 structural validation confirms). Because one scan head now serves all belts, the rack carries a single central optical position plus the parallelogram linkage and four PA-17 actuators for the 10 to 80 cm standoff. Transit mode folds the assembly against the front face with lockout pins and the rack-position interlock, unchanged from v1.1.</w:t>
      </w:r>
    </w:p>
    <w:p>
      <w:pPr>
        <w:pStyle w:val="Heading2"/>
      </w:pPr>
      <w:r>
        <w:t xml:space="preserve">6.4 Thermal Management</w:t>
      </w:r>
    </w:p>
    <w:p>
      <w:r>
        <w:t xml:space="preserve">The 90 kg PCM thermal battery carries over, now absorbing transients from a single 6 kW source rather than eight 2 kW units, which eases the transient load. One S&amp;A CWFL-3000 chiller at base reconditions the loop overnight through a quick-disconnect coupler; the second chiller remains a base spare. The 55 °C PCM interlock caps duty at 25 percent.</w:t>
      </w:r>
    </w:p>
    <w:p>
      <w:pPr>
        <w:pStyle w:val="Heading2"/>
      </w:pPr>
      <w:r>
        <w:t xml:space="preserve">6.5 Smoke Management: Air Knife</w:t>
      </w:r>
    </w:p>
    <w:p>
      <w:r>
        <w:t xml:space="preserve">The EXAIR 36-inch Super Air Knife carries over, now fed by the lighter Viair 400C intermittent-duty compressor with a 1 L receiver tank buffering flow. The knife runs during treatment bursts (40 to 50 percent duty), clearing the plume so the moving beam path stays at full transmission.</w:t>
      </w:r>
    </w:p>
    <w:p>
      <w:pPr>
        <w:pStyle w:val="Heading1"/>
      </w:pPr>
      <w:r>
        <w:t xml:space="preserve">7. RF Pre-Drying Module</w:t>
      </w:r>
    </w:p>
    <w:p>
      <w:r>
        <w:t xml:space="preserve">The RF pre-dryer carries over unchanged: RFHIC RIM251K6-20G 1.6 kW GaN generator, shielded applicator ahead of the rack, mesh skirt with lift interlock, and leakage survey before each deployment. The predictive moisture map from the NIR spectrometer (Section 8.1) now drives the pre-dryer setpoint continuously rather than from a single contact reading, so RF power follows the actual moisture field ahead of the beam.</w:t>
      </w:r>
    </w:p>
    <w:p>
      <w:pPr>
        <w:pStyle w:val="Heading1"/>
      </w:pPr>
      <w:r>
        <w:t xml:space="preserve">8. Sensing and Perception</w:t>
      </w:r>
    </w:p>
    <w:p>
      <w:pPr>
        <w:pStyle w:val="Heading2"/>
      </w:pPr>
      <w:r>
        <w:t xml:space="preserve">8.1 Real-Time Fuel Moisture Mapping (NIR)</w:t>
      </w:r>
    </w:p>
    <w:p>
      <w:r>
        <w:t xml:space="preserve">The contact moisture skid of v1.1 gives a single point reading and reacts after the vehicle reaches the patch. The ASD FieldSpec 4 Hi-Res NG near-infrared spectrometer (350 to 2500 nm) on the sensor mast reads reflected light from the fuel bed 3 to 5 m ahead of the rack, building a continuous, high-resolution surface-moisture map. Water absorption bands near 1450 and 1940 nm yield a quantitative moisture estimate per patch. The control system then sets laser power and RF pre-dryer output proactively for every square metre, shifting moisture handling from reactive to predictive and trimming energy use on dry lanes.</w:t>
      </w:r>
    </w:p>
    <w:p>
      <w:pPr>
        <w:pStyle w:val="Heading2"/>
      </w:pPr>
      <w:r>
        <w:t xml:space="preserve">8.2 Char Quality Test Port</w:t>
      </w:r>
    </w:p>
    <w:p>
      <w:r>
        <w:t xml:space="preserve">The OES spectrometer verifies chemistry, but operators and regulators also need physical proof that treated fuel became biochar rather than scorched vegetation. A spring-loaded test port on the rear of the rack drives a 2 cm stainless coring tube into a treated patch and deposits a small sample in a collection cup. The operator samples every 10 to 20 m, checks char colour and texture against a field reference, and confirms the OES readout. The port weighs about 1 kg and provides a low-tech sanity check that also field-calibrates the system when OES sensors degrade.</w:t>
      </w:r>
    </w:p>
    <w:p>
      <w:pPr>
        <w:pStyle w:val="Heading2"/>
      </w:pPr>
      <w:r>
        <w:t xml:space="preserve">8.3 Core Sensing Suite</w:t>
      </w:r>
    </w:p>
    <w:p>
      <w:r>
        <w:t xml:space="preserve">The rest of the suite carries over: two FLIR A70 thermal cores (front targeting, rear cooling-curve verification), the Avantes OES spectrometer on the rack, the FS24X triple-IR flame detector wired to the hardwired abort chain, the Ouster OS1-32 LiDAR, the Emlid Reach RS3 RTK base-rover pair, two TEROS 10 probes as backup ground truth, and the Davis Vantage Pro2 weather station on the folding mast.</w:t>
      </w:r>
    </w:p>
    <w:p>
      <w:pPr>
        <w:pStyle w:val="Heading1"/>
      </w:pPr>
      <w:r>
        <w:t xml:space="preserve">9. Compute and Control Electronics</w:t>
      </w:r>
    </w:p>
    <w:p>
      <w:r>
        <w:t xml:space="preserve">The two-domain architecture carries over. The Jetson AGX Orin runs ROS 2 nodes for OES classification, NIR moisture mapping, fuel classification, burst synchronization, and route optimization. The Beckhoff CX5140 with the expanded EtherCAT bundle owns scanner synchronization, laser modulation, rack linkage, spray and suppression valves, and every safety-critical output through the hardwired Pilz chain. The stroboscopic cycle adds a tight timing requirement: burst triggering synchronizes to RTK-corrected odometry and scanner feedback at sub-millisecond jitter, which the TwinCAT real-time kernel handles natively.</w:t>
      </w:r>
    </w:p>
    <w:p>
      <w:pPr>
        <w:pStyle w:val="Heading1"/>
      </w:pPr>
      <w:r>
        <w:t xml:space="preserve">10. Onboard Power System</w:t>
      </w:r>
    </w:p>
    <w:p>
      <w:pPr>
        <w:pStyle w:val="Heading2"/>
      </w:pPr>
      <w:r>
        <w:t xml:space="preserve">10.1 Hot-Swap Battery Modules</w:t>
      </w:r>
    </w:p>
    <w:p>
      <w:r>
        <w:t xml:space="preserve">The fixed 20.5 kWh battery bank of v1.1 becomes three hot-swappable 5.12 kWh LiFePO4 modules (48 V, 100 Ah each) on quick-release mounts, plus a dedicated 2.56 kWh auxiliary battery for generator starting and silent-mode reserve. The modularity buys four operational gains:</w:t>
      </w:r>
    </w:p>
    <w:p>
      <w:pPr>
        <w:numPr>
          <w:ilvl w:val="0"/>
          <w:numId w:val="1"/>
        </w:numPr>
        <w:spacing w:after="80"/>
      </w:pPr>
      <w:r>
        <w:rPr>
          <w:b/>
        </w:rPr>
        <w:t xml:space="preserve">Field extension: </w:t>
      </w:r>
      <w:r>
        <w:t xml:space="preserve">depleted modules swap for fresh ones in minutes, extending silent-mode operation in sensitive areas without returning to base.</w:t>
      </w:r>
    </w:p>
    <w:p>
      <w:pPr>
        <w:numPr>
          <w:ilvl w:val="0"/>
          <w:numId w:val="1"/>
        </w:numPr>
        <w:spacing w:after="80"/>
      </w:pPr>
      <w:r>
        <w:rPr>
          <w:b/>
        </w:rPr>
        <w:t xml:space="preserve">Maintenance isolation: </w:t>
      </w:r>
      <w:r>
        <w:t xml:space="preserve">a single module services offline without taking the vehicle down.</w:t>
      </w:r>
    </w:p>
    <w:p>
      <w:pPr>
        <w:numPr>
          <w:ilvl w:val="0"/>
          <w:numId w:val="1"/>
        </w:numPr>
        <w:spacing w:after="80"/>
      </w:pPr>
      <w:r>
        <w:rPr>
          <w:b/>
        </w:rPr>
        <w:t xml:space="preserve">Mission scaling: </w:t>
      </w:r>
      <w:r>
        <w:t xml:space="preserve">the vehicle carries only the modules a specific job needs, trimming carried mass on short missions.</w:t>
      </w:r>
    </w:p>
    <w:p>
      <w:pPr>
        <w:numPr>
          <w:ilvl w:val="0"/>
          <w:numId w:val="1"/>
        </w:numPr>
        <w:spacing w:after="80"/>
      </w:pPr>
      <w:r>
        <w:rPr>
          <w:b/>
        </w:rPr>
        <w:t xml:space="preserve">Peak shaving: </w:t>
      </w:r>
      <w:r>
        <w:t xml:space="preserve">the main bank optimizes for transient buffering while the aux battery handles starting and reserve, so each battery type runs in its efficient role.</w:t>
      </w:r>
    </w:p>
    <w:p>
      <w:pPr>
        <w:pStyle w:val="Heading2"/>
      </w:pPr>
      <w:r>
        <w:t xml:space="preserve">10.2 Generator and Distribution</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3600"/>
        <w:gridCol w:w="6040"/>
      </w:tblGrid>
      <w:tr>
        <w:trPr>
          <w:tblHeader/>
        </w:trPr>
        <w:tc>
          <w:tcPr>
            <w:tcW w:w="36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Power element</w:t>
            </w:r>
          </w:p>
        </w:tc>
        <w:tc>
          <w:tcPr>
            <w:tcW w:w="604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Specification</w:t>
            </w:r>
          </w:p>
        </w:tc>
      </w:tr>
      <w:tr>
        <w:tc>
          <w:tcPr>
            <w:tcW w:w="3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Prime mover</w:t>
            </w:r>
          </w:p>
        </w:tc>
        <w:tc>
          <w:tcPr>
            <w:tcW w:w="60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20 kW compact vehicle-mount diesel generator in isolated rear compartment</w:t>
            </w:r>
          </w:p>
        </w:tc>
      </w:tr>
      <w:tr>
        <w:tc>
          <w:tcPr>
            <w:tcW w:w="3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Buffer storage</w:t>
            </w:r>
          </w:p>
        </w:tc>
        <w:tc>
          <w:tcPr>
            <w:tcW w:w="60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 × 5.12 kWh LiFePO4 hot-swap modules (15.4 kWh) + 2.56 kWh aux, BMS managed</w:t>
            </w:r>
          </w:p>
        </w:tc>
      </w:tr>
      <w:tr>
        <w:tc>
          <w:tcPr>
            <w:tcW w:w="3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DC-DC tree</w:t>
            </w:r>
          </w:p>
        </w:tc>
        <w:tc>
          <w:tcPr>
            <w:tcW w:w="60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 × Victron Orion-Tr 48/24-16 A; 2 × Victron Orion 24/12-40</w:t>
            </w:r>
          </w:p>
        </w:tc>
      </w:tr>
      <w:tr>
        <w:tc>
          <w:tcPr>
            <w:tcW w:w="3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Charging</w:t>
            </w:r>
          </w:p>
        </w:tc>
        <w:tc>
          <w:tcPr>
            <w:tcW w:w="60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Victron Skylla-i 48 V charger from generator or grid</w:t>
            </w:r>
          </w:p>
        </w:tc>
      </w:tr>
      <w:tr>
        <w:tc>
          <w:tcPr>
            <w:tcW w:w="3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Switching</w:t>
            </w:r>
          </w:p>
        </w:tc>
        <w:tc>
          <w:tcPr>
            <w:tcW w:w="60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TE Kilovac EV200 contactors with Littelfuse fusing per branch</w:t>
            </w:r>
          </w:p>
        </w:tc>
      </w:tr>
      <w:tr>
        <w:tc>
          <w:tcPr>
            <w:tcW w:w="3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Fuel</w:t>
            </w:r>
          </w:p>
        </w:tc>
        <w:tc>
          <w:tcPr>
            <w:tcW w:w="60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Generator taps the SHERP 95 L main tank; 327 L total onboard supports 20-25 h combined operation</w:t>
            </w:r>
          </w:p>
        </w:tc>
      </w:tr>
      <w:tr>
        <w:tc>
          <w:tcPr>
            <w:tcW w:w="3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Silent mode</w:t>
            </w:r>
          </w:p>
        </w:tc>
        <w:tc>
          <w:tcPr>
            <w:tcW w:w="60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Battery-only treatment for about 1.5 h at the lower v1.2 load</w:t>
            </w:r>
          </w:p>
        </w:tc>
      </w:tr>
      <w:tr>
        <w:tc>
          <w:tcPr>
            <w:tcW w:w="3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Harness</w:t>
            </w:r>
          </w:p>
        </w:tc>
        <w:tc>
          <w:tcPr>
            <w:tcW w:w="60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Short-run shielded harness with EMI/EMC verification against OES, NIR, and GNSS</w:t>
            </w:r>
          </w:p>
        </w:tc>
      </w:tr>
    </w:tbl>
    <w:p>
      <w:pPr>
        <w:pStyle w:val="Caption"/>
      </w:pPr>
      <w:r>
        <w:t xml:space="preserve">Table 8: Onboard power system summary.</w:t>
      </w:r>
    </w:p>
    <w:p>
      <w:pPr>
        <w:pStyle w:val="Heading1"/>
      </w:pPr>
      <w:r>
        <w:t xml:space="preserve">11. Stabilization Spray and Emergency Suppression</w:t>
      </w:r>
    </w:p>
    <w:p>
      <w:pPr>
        <w:pStyle w:val="Heading2"/>
      </w:pPr>
      <w:r>
        <w:t xml:space="preserve">11.1 Reduced Stabilization Spray</w:t>
      </w:r>
    </w:p>
    <w:p>
      <w:r>
        <w:t xml:space="preserve">The stabilization chemistry carries over (water plus 1 to 2 percent lime slurry, or 0.5 to 1 percent mineral-oil emulsion, about 50 L/ha), but the onboard tank drops from 110 L to 60 L. At the v1.2 corridor output of 0.15 to 0.24 ha/day, 10 to 15 L of mix covers a full day; the drafting pump refills mid-day from any water body the amphibious hull reaches. The four TeeJet boomless nozzles across the corridor carry over.</w:t>
      </w:r>
    </w:p>
    <w:p>
      <w:pPr>
        <w:pStyle w:val="Heading2"/>
      </w:pPr>
      <w:r>
        <w:t xml:space="preserve">11.2 Emergency Suppression System</w:t>
      </w:r>
    </w:p>
    <w:p>
      <w:r>
        <w:t xml:space="preserve">The suppression system carries over with the tank reduced to 25 L, since a 2 to 5 s burst at 40 L/min consumes about 3.5 L. A new 3-way diverter valve on the drafting pump output routes water to the emergency tank fill port, so the operator refills the reserve in 2 to 3 minutes from any lake or stream. The hardware, control logic, safety-chain integration (spray only when lasers off), and operational doctrine carry over from v1.1 Section 9.1 unchanged: automatic burst on confirmed FS24X alarm during treatment, manual EMERGENCY SPRAY on the GCS, and logging of every ignition-plus-suppression event.</w:t>
      </w:r>
    </w:p>
    <w:p>
      <w:pPr>
        <w:pStyle w:val="Heading1"/>
      </w:pPr>
      <w:r>
        <w:t xml:space="preserve">12. Communications and Ground Control</w:t>
      </w:r>
    </w:p>
    <w:p>
      <w:r>
        <w:t xml:space="preserve">The Microhard pMDDL2450 MIMO data link, Panasonic Toughbook 40 GCS, Starlink Mini backhaul, and independent RC kill channel carry over. The GCS now displays the predictive NIR moisture map alongside the treatment corridor, and the mission planner schedules hot-swap battery stops on long silent-mode segments. Beyond radio range the vehicle executes its pre-loaded plan autonomously and holds position if link loss exceeds 2 s during any laser-enabled state.</w:t>
      </w:r>
    </w:p>
    <w:p>
      <w:pPr>
        <w:pStyle w:val="Heading1"/>
      </w:pPr>
      <w:r>
        <w:t xml:space="preserve">13. Safety Architecture and Interlocks</w:t>
      </w:r>
    </w:p>
    <w:p>
      <w:r>
        <w:t xml:space="preserve">The Class 4 laser safety architecture carries over, with the NHZ recalculated for the scanning beam: a moving 6 kW spot presents a different hazard geometry than the static top-hat, so the Phase 1 verification re-derives the diffuse-reflection hazard distance and sets the exclusion zone accordingly (design basis 20 m). The beam stays enclosed, downward, and within the 10 to 80 cm standoff.</w:t>
      </w:r>
    </w:p>
    <w:p>
      <w:pPr>
        <w:numPr>
          <w:ilvl w:val="0"/>
          <w:numId w:val="1"/>
        </w:numPr>
        <w:spacing w:after="80"/>
      </w:pPr>
      <w:r>
        <w:rPr>
          <w:b/>
        </w:rPr>
        <w:t xml:space="preserve">Hardwired abort chain: </w:t>
      </w:r>
      <w:r>
        <w:t xml:space="preserve">FS24X flame relay, tilt sensor, contact bumpers, RF skirt-lift switch, rack-position switch, and three IP65 emergency stops into two Pilz PNOZ s4 relays; laser enable, RF, generator output, and teleop engine power drop in under 100 ms.</w:t>
      </w:r>
    </w:p>
    <w:p>
      <w:pPr>
        <w:numPr>
          <w:ilvl w:val="0"/>
          <w:numId w:val="1"/>
        </w:numPr>
        <w:spacing w:after="80"/>
      </w:pPr>
      <w:r>
        <w:rPr>
          <w:b/>
        </w:rPr>
        <w:t xml:space="preserve">Controller interlocks: </w:t>
      </w:r>
      <w:r>
        <w:t xml:space="preserve">PCM above 55 °C caps duty at 25 percent; surface temperature above 650 °C for more than 2 s ramps power down; OES combustion signature drops power to 50 percent on descent; burst-synchronization loss or scanner fault cuts the beam within one cycle.</w:t>
      </w:r>
    </w:p>
    <w:p>
      <w:pPr>
        <w:numPr>
          <w:ilvl w:val="0"/>
          <w:numId w:val="1"/>
        </w:numPr>
        <w:spacing w:after="80"/>
      </w:pPr>
      <w:r>
        <w:rPr>
          <w:b/>
        </w:rPr>
        <w:t xml:space="preserve">Environmental limits: </w:t>
      </w:r>
      <w:r>
        <w:t xml:space="preserve">wind gusts above 40 km/h, precipitation, or GNSS/RTK loss outside geofence pause treatment and hold position.</w:t>
      </w:r>
    </w:p>
    <w:p>
      <w:pPr>
        <w:numPr>
          <w:ilvl w:val="0"/>
          <w:numId w:val="1"/>
        </w:numPr>
        <w:spacing w:after="80"/>
      </w:pPr>
      <w:r>
        <w:rPr>
          <w:b/>
        </w:rPr>
        <w:t xml:space="preserve">Slope security: </w:t>
      </w:r>
      <w:r>
        <w:t xml:space="preserve">ground anchors deployed above 20° secure the empty-cabin vehicle against runaway (Section 5.3).</w:t>
      </w:r>
    </w:p>
    <w:p>
      <w:pPr>
        <w:numPr>
          <w:ilvl w:val="0"/>
          <w:numId w:val="1"/>
        </w:numPr>
        <w:spacing w:after="80"/>
      </w:pPr>
      <w:r>
        <w:rPr>
          <w:b/>
        </w:rPr>
        <w:t xml:space="preserve">Human safety kit: </w:t>
      </w:r>
      <w:r>
        <w:t xml:space="preserve">OD7+ eyewear, warning beacon and signage, four OD7 base curtains, two 10 lb ABC extinguishers.</w:t>
      </w:r>
    </w:p>
    <w:p>
      <w:pPr>
        <w:numPr>
          <w:ilvl w:val="0"/>
          <w:numId w:val="1"/>
        </w:numPr>
        <w:spacing w:after="80"/>
      </w:pPr>
      <w:r>
        <w:rPr>
          <w:b/>
        </w:rPr>
        <w:t xml:space="preserve">Suppression layer: </w:t>
      </w:r>
      <w:r>
        <w:t xml:space="preserve">the Section 11.2 emergency system with the 25 L tank and drafting refill.</w:t>
      </w:r>
    </w:p>
    <w:p>
      <w:pPr>
        <w:pStyle w:val="Heading1"/>
      </w:pPr>
      <w:r>
        <w:t xml:space="preserve">14. Control Software and Treatment Logic</w:t>
      </w:r>
    </w:p>
    <w:p>
      <w:r>
        <w:t xml:space="preserve">The four-part control architecture carries over, retuned for stroboscopic operation.</w:t>
      </w:r>
    </w:p>
    <w:p>
      <w:pPr>
        <w:numPr>
          <w:ilvl w:val="0"/>
          <w:numId w:val="1"/>
        </w:numPr>
        <w:spacing w:after="80"/>
      </w:pPr>
      <w:r>
        <w:rPr>
          <w:b/>
        </w:rPr>
        <w:t xml:space="preserve">Closed-loop carbonization: </w:t>
      </w:r>
      <w:r>
        <w:t xml:space="preserve">the fused thermal, OES, and flame loop holds the 550 to 650 °C carbonization band and cuts before combustion onset. In stroboscopic mode the OES uses time-averaged spectra across each 500 ms burst rather than real-time feedback; the abort thresholds tighten accordingly and Phase 0 re-validates them at burst cadence.</w:t>
      </w:r>
    </w:p>
    <w:p>
      <w:pPr>
        <w:numPr>
          <w:ilvl w:val="0"/>
          <w:numId w:val="1"/>
        </w:numPr>
        <w:spacing w:after="80"/>
      </w:pPr>
      <w:r>
        <w:rPr>
          <w:b/>
        </w:rPr>
        <w:t xml:space="preserve">Predictive power scaling: </w:t>
      </w:r>
      <w:r>
        <w:t xml:space="preserve">the NIR moisture map (Section 8.1) feeds a forward model that sets laser power and RF pre-dryer output per patch before the vehicle arrives, replacing the reactive contact-probe response.</w:t>
      </w:r>
    </w:p>
    <w:p>
      <w:pPr>
        <w:numPr>
          <w:ilvl w:val="0"/>
          <w:numId w:val="1"/>
        </w:numPr>
        <w:spacing w:after="80"/>
      </w:pPr>
      <w:r>
        <w:rPr>
          <w:b/>
        </w:rPr>
        <w:t xml:space="preserve">Layer 1, dead-reckoning fallback: </w:t>
      </w:r>
      <w:r>
        <w:t xml:space="preserve">pre-characterized fuel lookup tables now include scanner-delivered dose entries; degraded sensors switch to open-loop bursts at 20 percent power derate and log the segment.</w:t>
      </w:r>
    </w:p>
    <w:p>
      <w:pPr>
        <w:numPr>
          <w:ilvl w:val="0"/>
          <w:numId w:val="1"/>
        </w:numPr>
        <w:spacing w:after="80"/>
      </w:pPr>
      <w:r>
        <w:rPr>
          <w:b/>
        </w:rPr>
        <w:t xml:space="preserve">Layer 2, cooling verification: </w:t>
      </w:r>
      <w:r>
        <w:t xml:space="preserve">the rear camera checks exponential cooling over the 30 to 60 s after each burst; smolder signatures trigger stop, reverse, re-treat, then mark-and-skip on a second failure. At 2 km/h the re-treat reverse is a short controlled back-up, not a full turn.</w:t>
      </w:r>
    </w:p>
    <w:p>
      <w:pPr>
        <w:numPr>
          <w:ilvl w:val="0"/>
          <w:numId w:val="1"/>
        </w:numPr>
        <w:spacing w:after="80"/>
      </w:pPr>
      <w:r>
        <w:rPr>
          <w:b/>
        </w:rPr>
        <w:t xml:space="preserve">Layer 3, staggered-belt redundancy: </w:t>
      </w:r>
      <w:r>
        <w:t xml:space="preserve">four staggered belts tolerate single-segment failures; the wider corridor deepens redundancy.</w:t>
      </w:r>
    </w:p>
    <w:p>
      <w:pPr>
        <w:numPr>
          <w:ilvl w:val="0"/>
          <w:numId w:val="1"/>
        </w:numPr>
        <w:spacing w:after="80"/>
      </w:pPr>
      <w:r>
        <w:rPr>
          <w:b/>
        </w:rPr>
        <w:t xml:space="preserve">Terrain coupling: </w:t>
      </w:r>
      <w:r>
        <w:t xml:space="preserve">solar-insolation and aspect maps trim dose on dry south-facing slopes and extend it on moist north-facing ones, saving about 12 percent energy per kilometre; step-adaptive scaling becomes continuous speed-adaptive scaling tied to the Doosan torque curve.</w:t>
      </w:r>
    </w:p>
    <w:p>
      <w:pPr>
        <w:pStyle w:val="Heading1"/>
      </w:pPr>
      <w:r>
        <w:t xml:space="preserve">15. Consolidated Bill of Materials</w:t>
      </w:r>
    </w:p>
    <w:p>
      <w:r>
        <w:t xml:space="preserve">Table 9 lists every part in the Rugged v1.2 prototype: name, quantity, unit cost in Canadian dollars, line cost, and a source to obtain it. Prices reflect vendor listings checked in late July and early August 2026; Appendix A states the currency basis and which lines are budgetary estimates.</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340"/>
        <w:gridCol w:w="1050"/>
        <w:gridCol w:w="3300"/>
        <w:gridCol w:w="400"/>
        <w:gridCol w:w="800"/>
        <w:gridCol w:w="850"/>
        <w:gridCol w:w="2900"/>
      </w:tblGrid>
      <w:tr>
        <w:trPr>
          <w:tblHeader/>
        </w:trPr>
        <w:tc>
          <w:tcPr>
            <w:tcW w:w="34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6"/>
              </w:rPr>
              <w:t xml:space="preserve">#</w:t>
            </w:r>
          </w:p>
        </w:tc>
        <w:tc>
          <w:tcPr>
            <w:tcW w:w="105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6"/>
              </w:rPr>
              <w:t xml:space="preserve">Subsystem</w:t>
            </w:r>
          </w:p>
        </w:tc>
        <w:tc>
          <w:tcPr>
            <w:tcW w:w="33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6"/>
              </w:rPr>
              <w:t xml:space="preserve">Item</w:t>
            </w:r>
          </w:p>
        </w:tc>
        <w:tc>
          <w:tcPr>
            <w:tcW w:w="4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6"/>
              </w:rPr>
              <w:t xml:space="preserve">Qty</w:t>
            </w:r>
          </w:p>
        </w:tc>
        <w:tc>
          <w:tcPr>
            <w:tcW w:w="8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6"/>
              </w:rPr>
              <w:t xml:space="preserve">Unit CAD</w:t>
            </w:r>
          </w:p>
        </w:tc>
        <w:tc>
          <w:tcPr>
            <w:tcW w:w="85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6"/>
              </w:rPr>
              <w:t xml:space="preserve">Line CAD</w:t>
            </w:r>
          </w:p>
        </w:tc>
        <w:tc>
          <w:tcPr>
            <w:tcW w:w="29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6"/>
              </w:rPr>
              <w:t xml:space="preserve">Source</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Mobility Platform</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SHERP N 1200 amphibious ATV, Doosan D18 55 hp, 1200 kg payload</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175,000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175,000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MarketBook.ca Canadian dealer listings (CAD 175,000-189,000); sherp.ca</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Mobility Platform</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Drive-by-wire teleoperation conversion: Bowden servo box, controller, force-feedback RC kit</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28,000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28,000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Custom integration per DLR/Sensodrive AHEAD pattern (budgetary, RFQ)</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Mobility Platform</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Ground anchor kit: 4 heavy-duty screw-in anchors, ratchet straps, 50 m cable, chassis storage box</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Princess Auto / local rigging supplier</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Laser Array</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IPG YLS-6000 6 kW multimode CW fiber laser, 1080 nm, water-cooled</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85,000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85,000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IPG Photonics / IPG Canada (budgetary, RFQ); surplus market reference USD ~50,000</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Laser Array</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IPG D33 ultra-high-power laser scan head, 12 kW rated, IP67, 250 × 250 mm scan field, F500 mm lens</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60,000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60,000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IPG Photonics (budgetary, RFQ)</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Laser Array</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QBH beam delivery fiber 100 µm × 15 m with collimator, high-power rated</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2,500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2,500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Cloudray / Ospri (cloudraylaser.com)</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7</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Laser Array</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Fused-silica protective windows, AR 1064 nm, spare lot</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Edmund Optics Canada</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8</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Treatment Rack</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7075-T6 aluminum truss rack, fabricated arms and plate lot</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3,200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3,200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Custom fabrication with 7075-T6 stock (OnlineMetals / local fab)</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9</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Treatment Rack</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Progressive Automations PA-17 24-inch-stroke industrial actuator, 24 V, 2000 lb</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620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2,480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Progressive Automations, Victoria BC</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10</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Treatment Rack</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Wire-rope and elastomer vibration isolators</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450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450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VibraSystems / McMaster-Carr</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11</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Treatment Rack</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Phase-change thermal battery: 90 kg RT50-class paraffin PCM in sealed aluminum panels</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3,400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3,400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Rubitherm RT line via distributor</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12</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RF Pre-Dryer</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RFHIC RIM251K6-20G 1.6 kW 2.45 GHz GaN solid-state microwave generator</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22,000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22,000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RFHIC (rfhic.com, budgetary, RFQ)</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13</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RF Pre-Dryer</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Waveguide applicator horn and RF-shielding mesh skirt</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3,200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3,200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Custom fabrication plus Laird / Leader Tech shielding</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14</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RF Pre-Dryer</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Microwave leakage survey meter, 2.45 GHz ISM</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1,800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1,800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ETS-Lindgren HI-1501 via Canadian distributor</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15</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Sensing</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Teledyne FLIR A70 Thermal Core, 640 × 480, high-temp option to 1000 °C</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10,400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20,800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ITM Instruments, Ontario (CAD 10,400 ea)</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16</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Sensing</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Avantes AvaSpec-ULS2048CL-EVO spectrometer 200-1100 nm, 600 µm fiber, collimating probe</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6,200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6,200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Avantes via distributor</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17</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Sensing</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Honeywell FS24X Plus triple-IR flame detector</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7,525</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7,525</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Instrumart (USD 5,374)</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18</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Sensing</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Ouster OS1-32 Rev 7 3D LiDAR</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12,000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12,000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Ouster / MYBOTSHOP (budgetary)</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19</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Sensing</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Emlid Reach RS3 RTK GNSS base + rover survey kit</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8,400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8,400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Emlid store (USD 5,998); RobotShop.ca</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20</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Sensing</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ASD FieldSpec 4 Hi-Res NG NIR spectrometer, 350-2500 nm, with fiber probe</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48,000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48,000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Malvern Panalytical ASD via Canadian distributor (budgetary, RFQ)</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21</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Sensing</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METER TEROS 10 soil moisture probe</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420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840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Hoskin Scientific, Canada</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22</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Sensing</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Davis Vantage Pro2 wireless weather station</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1,100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1,100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Hoskin Scientific, Canada</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23</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Sensing</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Folding sensor mast, 1.2 m, vibration-isolated</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800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800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Custom fabrication (budgetary)</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24</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Sensing</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Spring-loaded char quality test port, 2 cm stainless coring tube with collection cup</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250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250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Custom fabrication (budgetary)</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25</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Compute &amp; Control</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NVIDIA Jetson AGX Orin 64 GB developer kit, 275 TOPS</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6,900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6,900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RobotShop.ca / firefly.store</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26</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Compute &amp; Control</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Beckhoff CX5140-0125 embedded PC with TwinCAT 3</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4,565</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4,565</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Beckhoff Canada / plcpartssolution.com (USD 3,260)</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27</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Compute &amp; Control</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Beckhoff EtherCAT I/O terminal bundle (EL1809, EL2809, EL3064, EL4132, scanner sync)</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2,800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2,800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Beckhoff Canada (budgetary)</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28</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Compute &amp; Control</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Fanless rugged compute enclosure with conductive heat sinking</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1,200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1,200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Custom plus Axiomtek / Stealth parts</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29</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Power System</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20 kW compact vehicle-mount diesel generator, sound enclosure</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24,000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24,000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Central Maine Diesel / North Star Logistics (budgetary)</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30</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Power System</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48 V 100 Ah LiFePO4 hot-swap module, 5.12 kWh, quick-release mount</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1,300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3,900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JM Battery / CHARGEX (USD ~930 ea)</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31</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Power System</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48 V 50 Ah LiFePO4 auxiliary/start battery, 2.56 kWh</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700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700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JM Battery / CHARGEX</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32</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Power System</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Victron Skylla-i 48 V charger</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700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700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Victron dealer (volts.ca / pkys.com)</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33</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Power System</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Victron Orion-Tr 48/24-16 A isolated DC-DC</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280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840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Victron dealer (pkys.com)</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34</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Power System</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Victron Orion 24/12-40 DC-DC</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130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260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Victron dealer (pkys.com)</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35</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Power System</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TE Kilovac EV200 contactors, Littelfuse fuses, busbars</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1,100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1,100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DigiKey.ca / Mouser.ca</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36</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Power System</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Cable, lugs, DIN rail, breakers, glands (short-run harness lot)</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1,200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1,200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DigiKey.ca / AutomationDirect</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37</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Power System</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Generator fuel tap, filtration, and plumbing into SHERP main tank</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Princess Auto / local hose shop</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38</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Thermal (Base)</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S&amp;A TEYU CWFL-3000 industrial chiller, base re-cooling and bench</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3,080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3,080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TEYU S&amp;A (USD 2,199)</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39</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Thermal (Base)</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Onboard glycol loop plumbing, 24 V circulation pump, quick-disconnect couplers</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1,100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1,100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McMaster-Carr / Princess Auto</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40</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Smoke Management</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EXAIR model 110036 36-inch aluminum Super Air Knife</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1,350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1,350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EXAIR (exair.com, USD 966)</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41</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Smoke Management</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Viair 400C 24 V intermittent-duty compressor + 1 L air receiver</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450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450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Viair via Canadian 4x4 distributors</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42</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Smoke Management</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Air regulator, filter, and fittings lot</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Princess Auto / McMaster-Carr</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43</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Stabilization Spray</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60 L polyethylene spray tank (stabilization mix)</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180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180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Princess Auto / FIMCO</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44</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Stabilization Spray</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Shurflo 4000-series 12 V high-flow diaphragm pump</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380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380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Princess Auto / agspray.com</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45</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Stabilization Spray</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TeeJet boomless nozzle bodies and tips</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70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280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TeeJet via agspray.com</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46</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Stabilization Spray</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Solenoid valves, hose, and fittings lot</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Princess Auto</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47</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Stabilization Spray</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Water drafting transfer pump with suction hose and strainer</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450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450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Princess Auto / Waterax dealer</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48</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Stabilization Spray</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3-way diverter valve and short hose for emergency tank refill</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Princess Auto</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49</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Emergency Suppression</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25 L polyethylene tank, dedicated clean-water reserve</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120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120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Princess Auto / FIMCO</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50</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Emergency Suppression</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24 V high-flow pump, 40 L/min, intermittent duty</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520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520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Princess Auto / agspray.com</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51</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Emergency Suppression</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Adjustable-pattern nozzle, solid stream to wide cone, 3-5 m reach</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130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130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TeeJet / agspray.com</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52</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Emergency Suppression</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Check valve, isolation valve, drain fittings, dedicated line</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420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420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Princess Auto / McMaster-Carr</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53</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Emergency Suppression</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GCS panic button and vehicle-local button hardware</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90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90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DigiKey.ca</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54</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Comms &amp; GCS</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Microhard pMDDL2450 MIMO data-link pair with carriers and antennas</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1,540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1,540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Microhard, Toronto ON, via ModalAI / ARK Electron</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55</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Comms &amp; GCS</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Panasonic Toughbook 40 ground control station</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4,800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4,800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Panasonic Canada / CDW.ca (budgetary)</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56</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Comms &amp; GCS</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Starlink Mini backup backhaul terminal</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399</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399</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Starlink (starlink.com)</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57</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Safety</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Pilz PNOZ s4 24 VDC safety relay</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DigiKey.ca / houseofelectrical.com</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58</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Safety</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IDEC IP65 emergency-stop stations</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80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240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DigiKey.ca</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59</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Safety</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Keyed interlock switches, tilt sensor, contact bumper strips</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700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700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DigiKey.ca / AutomationDirect</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60</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Safety</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Laser Safety Industries OD7 1064 nm laser curtain, base test bay</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575</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2,300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lasersafetyindustries.com (CAD 575 ea)</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61</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Safety</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Laser warning beacon stack light and signage lot</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350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350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AutomationDirect / local sign shop</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62</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Safety</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OD7+ laser safety eyewear, 1064 nm</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Laservision / Phillips Safety</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63</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Safety</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10 lb ABC fire extinguishers with vehicle mounts</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150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Princess Auto</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64</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Integration</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Steel and aluminum fabrication incl. 7075 truss rack, welding, powder coat</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4,800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4,800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Local fabrication shop (budgetary)</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65</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Integration</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Deutsch DT and Amphenol connectors, fasteners, cable glands</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1,400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1,400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DigiKey.ca / Mouser.ca</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66</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Integration</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Commissioning consumables: lime, mineral oil, glycol, PPE</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Home Hardware / Princess Auto</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Subtotal</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570,449</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Contingency, 10% (price movement, freight, duties)</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57,045</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Grand total, prototype unit (CAD)</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627,494</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r>
    </w:tbl>
    <w:p>
      <w:pPr>
        <w:pStyle w:val="Caption"/>
      </w:pPr>
      <w:r>
        <w:t xml:space="preserve">Table 9: Consolidated bill of materials, Contra Favillas Rugged v1.2, all prices CAD.</w:t>
      </w:r>
    </w:p>
    <w:p>
      <w:pPr>
        <w:pStyle w:val="Heading1"/>
      </w:pPr>
      <w:r>
        <w:t xml:space="preserve">16. Cost Summary and Variant Comparison</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4200"/>
        <w:gridCol w:w="2200"/>
        <w:gridCol w:w="1600"/>
      </w:tblGrid>
      <w:tr>
        <w:trPr>
          <w:tblHeader/>
        </w:trPr>
        <w:tc>
          <w:tcPr>
            <w:tcW w:w="42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Subsystem</w:t>
            </w:r>
          </w:p>
        </w:tc>
        <w:tc>
          <w:tcPr>
            <w:tcW w:w="22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Cost (CAD)</w:t>
            </w:r>
          </w:p>
        </w:tc>
        <w:tc>
          <w:tcPr>
            <w:tcW w:w="16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Share</w:t>
            </w:r>
          </w:p>
        </w:tc>
      </w:tr>
      <w:tr>
        <w:tc>
          <w:tcPr>
            <w:tcW w:w="4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Mobility Platform</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203,600</w:t>
            </w:r>
          </w:p>
        </w:tc>
        <w:tc>
          <w:tcPr>
            <w:tcW w:w="1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35.7%</w:t>
            </w:r>
          </w:p>
        </w:tc>
      </w:tr>
      <w:tr>
        <w:tc>
          <w:tcPr>
            <w:tcW w:w="4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Laser Array</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148,100</w:t>
            </w:r>
          </w:p>
        </w:tc>
        <w:tc>
          <w:tcPr>
            <w:tcW w:w="1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26.0%</w:t>
            </w:r>
          </w:p>
        </w:tc>
      </w:tr>
      <w:tr>
        <w:tc>
          <w:tcPr>
            <w:tcW w:w="4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Treatment Rack</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9,530</w:t>
            </w:r>
          </w:p>
        </w:tc>
        <w:tc>
          <w:tcPr>
            <w:tcW w:w="1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1.7%</w:t>
            </w:r>
          </w:p>
        </w:tc>
      </w:tr>
      <w:tr>
        <w:tc>
          <w:tcPr>
            <w:tcW w:w="4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RF Pre-Dryer</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27,000</w:t>
            </w:r>
          </w:p>
        </w:tc>
        <w:tc>
          <w:tcPr>
            <w:tcW w:w="1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4.7%</w:t>
            </w:r>
          </w:p>
        </w:tc>
      </w:tr>
      <w:tr>
        <w:tc>
          <w:tcPr>
            <w:tcW w:w="4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Sensing</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105,915</w:t>
            </w:r>
          </w:p>
        </w:tc>
        <w:tc>
          <w:tcPr>
            <w:tcW w:w="1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18.6%</w:t>
            </w:r>
          </w:p>
        </w:tc>
      </w:tr>
      <w:tr>
        <w:tc>
          <w:tcPr>
            <w:tcW w:w="4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Compute &amp; Control</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15,465</w:t>
            </w:r>
          </w:p>
        </w:tc>
        <w:tc>
          <w:tcPr>
            <w:tcW w:w="1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2.7%</w:t>
            </w:r>
          </w:p>
        </w:tc>
      </w:tr>
      <w:tr>
        <w:tc>
          <w:tcPr>
            <w:tcW w:w="4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Power System</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33,000</w:t>
            </w:r>
          </w:p>
        </w:tc>
        <w:tc>
          <w:tcPr>
            <w:tcW w:w="1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5.8%</w:t>
            </w:r>
          </w:p>
        </w:tc>
      </w:tr>
      <w:tr>
        <w:tc>
          <w:tcPr>
            <w:tcW w:w="4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Thermal (Base)</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4,180</w:t>
            </w:r>
          </w:p>
        </w:tc>
        <w:tc>
          <w:tcPr>
            <w:tcW w:w="1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0.7%</w:t>
            </w:r>
          </w:p>
        </w:tc>
      </w:tr>
      <w:tr>
        <w:tc>
          <w:tcPr>
            <w:tcW w:w="4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Smoke Management</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2,100</w:t>
            </w:r>
          </w:p>
        </w:tc>
        <w:tc>
          <w:tcPr>
            <w:tcW w:w="1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0.4%</w:t>
            </w:r>
          </w:p>
        </w:tc>
      </w:tr>
      <w:tr>
        <w:tc>
          <w:tcPr>
            <w:tcW w:w="4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Stabilization Spray</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1,850</w:t>
            </w:r>
          </w:p>
        </w:tc>
        <w:tc>
          <w:tcPr>
            <w:tcW w:w="1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0.3%</w:t>
            </w:r>
          </w:p>
        </w:tc>
      </w:tr>
      <w:tr>
        <w:tc>
          <w:tcPr>
            <w:tcW w:w="4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Emergency Suppression</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1,280</w:t>
            </w:r>
          </w:p>
        </w:tc>
        <w:tc>
          <w:tcPr>
            <w:tcW w:w="1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0.2%</w:t>
            </w:r>
          </w:p>
        </w:tc>
      </w:tr>
      <w:tr>
        <w:tc>
          <w:tcPr>
            <w:tcW w:w="4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Comms &amp; GCS</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6,739</w:t>
            </w:r>
          </w:p>
        </w:tc>
        <w:tc>
          <w:tcPr>
            <w:tcW w:w="1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1.2%</w:t>
            </w:r>
          </w:p>
        </w:tc>
      </w:tr>
      <w:tr>
        <w:tc>
          <w:tcPr>
            <w:tcW w:w="4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Safety</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5,090</w:t>
            </w:r>
          </w:p>
        </w:tc>
        <w:tc>
          <w:tcPr>
            <w:tcW w:w="1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0.9%</w:t>
            </w:r>
          </w:p>
        </w:tc>
      </w:tr>
      <w:tr>
        <w:tc>
          <w:tcPr>
            <w:tcW w:w="4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Integration</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6,600</w:t>
            </w:r>
          </w:p>
        </w:tc>
        <w:tc>
          <w:tcPr>
            <w:tcW w:w="1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1.2%</w:t>
            </w:r>
          </w:p>
        </w:tc>
      </w:tr>
      <w:tr>
        <w:tc>
          <w:tcPr>
            <w:tcW w:w="4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Subtotal</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570,449</w:t>
            </w:r>
          </w:p>
        </w:tc>
        <w:tc>
          <w:tcPr>
            <w:tcW w:w="1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100.0%</w:t>
            </w:r>
          </w:p>
        </w:tc>
      </w:tr>
      <w:tr>
        <w:tc>
          <w:tcPr>
            <w:tcW w:w="4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Contingency, 10%</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57,045</w:t>
            </w:r>
          </w:p>
        </w:tc>
        <w:tc>
          <w:tcPr>
            <w:tcW w:w="1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
            </w:r>
          </w:p>
        </w:tc>
      </w:tr>
      <w:tr>
        <w:tc>
          <w:tcPr>
            <w:tcW w:w="4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Grand total (CAD)</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627,494</w:t>
            </w:r>
          </w:p>
        </w:tc>
        <w:tc>
          <w:tcPr>
            <w:tcW w:w="1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
            </w:r>
          </w:p>
        </w:tc>
      </w:tr>
    </w:tbl>
    <w:p>
      <w:pPr>
        <w:pStyle w:val="Caption"/>
      </w:pPr>
      <w:r>
        <w:t xml:space="preserve">Table 10: Cost roll-up by subsystem.</w:t>
      </w:r>
    </w:p>
    <w:p>
      <w:pPr>
        <w:keepNext/>
        <w:spacing w:before="200" w:after="60"/>
        <w:jc w:val="center"/>
      </w:pPr>
      <w:r>
        <w:drawing>
          <wp:inline distT="0" distB="0" distL="0" distR="0">
            <wp:extent cx="5400000" cy="3024212"/>
            <wp:effectExtent l="0" t="0" r="0" b="0"/>
            <wp:docPr id="102" name="CostBreakdown"/>
            <wp:cNvGraphicFramePr>
              <a:graphicFrameLocks noChangeAspect="1"/>
            </wp:cNvGraphicFramePr>
            <a:graphic>
              <a:graphicData uri="http://schemas.openxmlformats.org/drawingml/2006/picture">
                <pic:pic>
                  <pic:nvPicPr>
                    <pic:cNvPr id="0" name="CostBreakdown.png"/>
                    <pic:cNvPicPr/>
                  </pic:nvPicPr>
                  <pic:blipFill>
                    <a:blip r:embed="Ra398eb75cdf1460b"/>
                    <a:stretch>
                      <a:fillRect/>
                    </a:stretch>
                  </pic:blipFill>
                  <pic:spPr>
                    <a:xfrm>
                      <a:off x="0" y="0"/>
                      <a:ext cx="5400000" cy="3024212"/>
                    </a:xfrm>
                    <a:prstGeom prst="rect"/>
                  </pic:spPr>
                </pic:pic>
              </a:graphicData>
            </a:graphic>
          </wp:inline>
        </w:drawing>
      </w:r>
    </w:p>
    <w:p>
      <w:pPr>
        <w:pStyle w:val="Caption"/>
      </w:pPr>
      <w:r>
        <w:t xml:space="preserve">Figure 3: Bill-of-materials cost by subsystem.</w:t>
      </w:r>
    </w:p>
    <w:p>
      <w:r>
        <w:t xml:space="preserve">The Rugged v1.2 prototype lands at CAD 627,494 against CAD 488,047 for v1.1. The increase buys the IPG scan-head architecture and the NIR spectrometer, which together drive daily output from 0.28-0.43 km to 3.0-4.0 km per unit, a 10-fold throughput gain for a 29 percent capex increase. Cost per corridor-kilometre falls accordingly; Section 20 quantifies it. Procurement leads with the SHERP (8-12 weeks), the IPG source and D33 head (10-14 weeks, RFQ), the teleoperation conversion (12-16 weeks), and the ASD FieldSpec (8-12 weeks).</w:t>
      </w:r>
    </w:p>
    <w:p>
      <w:pPr>
        <w:pStyle w:val="Heading1"/>
      </w:pPr>
      <w:r>
        <w:t xml:space="preserve">17. Assembly and Integration Plan</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1400"/>
        <w:gridCol w:w="5300"/>
        <w:gridCol w:w="2940"/>
      </w:tblGrid>
      <w:tr>
        <w:trPr>
          <w:tblHeader/>
        </w:trPr>
        <w:tc>
          <w:tcPr>
            <w:tcW w:w="14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Weeks</w:t>
            </w:r>
          </w:p>
        </w:tc>
        <w:tc>
          <w:tcPr>
            <w:tcW w:w="53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Work package</w:t>
            </w:r>
          </w:p>
        </w:tc>
        <w:tc>
          <w:tcPr>
            <w:tcW w:w="294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Exit criteria</w:t>
            </w:r>
          </w:p>
        </w:tc>
      </w:tr>
      <w:tr>
        <w:tc>
          <w:tcPr>
            <w:tcW w:w="14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1-4</w:t>
            </w:r>
          </w:p>
        </w:tc>
        <w:tc>
          <w:tcPr>
            <w:tcW w:w="53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Teleoperation conversion: Bowden box, brake actuator, controller integration</w:t>
            </w:r>
          </w:p>
        </w:tc>
        <w:tc>
          <w:tcPr>
            <w:tcW w:w="29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Remote drive with 0.4 s e-stop demonstrated</w:t>
            </w:r>
          </w:p>
        </w:tc>
      </w:tr>
      <w:tr>
        <w:tc>
          <w:tcPr>
            <w:tcW w:w="1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2-5</w:t>
            </w:r>
          </w:p>
        </w:tc>
        <w:tc>
          <w:tcPr>
            <w:tcW w:w="5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Generator compartment, hot-swap battery cradle, short-run harness</w:t>
            </w:r>
          </w:p>
        </w:tc>
        <w:tc>
          <w:tcPr>
            <w:tcW w:w="29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10.7 kW sustained load test, 2 h; module swap drill</w:t>
            </w:r>
          </w:p>
        </w:tc>
      </w:tr>
      <w:tr>
        <w:tc>
          <w:tcPr>
            <w:tcW w:w="14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3-6</w:t>
            </w:r>
          </w:p>
        </w:tc>
        <w:tc>
          <w:tcPr>
            <w:tcW w:w="53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7075 truss rack, parallelogram linkage, transit-mode lockouts</w:t>
            </w:r>
          </w:p>
        </w:tc>
        <w:tc>
          <w:tcPr>
            <w:tcW w:w="29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Standoff 10-80 cm, level on 20° tilt, 15 kg saved</w:t>
            </w:r>
          </w:p>
        </w:tc>
      </w:tr>
      <w:tr>
        <w:tc>
          <w:tcPr>
            <w:tcW w:w="1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4-9</w:t>
            </w:r>
          </w:p>
        </w:tc>
        <w:tc>
          <w:tcPr>
            <w:tcW w:w="5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Laser integration: YLS-6000, D33 head, burst timing, chillers</w:t>
            </w:r>
          </w:p>
        </w:tc>
        <w:tc>
          <w:tcPr>
            <w:tcW w:w="29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500 ms burst dose verified on bench at 2 km/h equivalent</w:t>
            </w:r>
          </w:p>
        </w:tc>
      </w:tr>
      <w:tr>
        <w:tc>
          <w:tcPr>
            <w:tcW w:w="14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6-10</w:t>
            </w:r>
          </w:p>
        </w:tc>
        <w:tc>
          <w:tcPr>
            <w:tcW w:w="53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Sensing: mast, NIR FieldSpec calibration, FLIR, OES, FS24X, char test port</w:t>
            </w:r>
          </w:p>
        </w:tc>
        <w:tc>
          <w:tcPr>
            <w:tcW w:w="29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Moisture map validated against contact probe ground truth</w:t>
            </w:r>
          </w:p>
        </w:tc>
      </w:tr>
      <w:tr>
        <w:tc>
          <w:tcPr>
            <w:tcW w:w="1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5-12</w:t>
            </w:r>
          </w:p>
        </w:tc>
        <w:tc>
          <w:tcPr>
            <w:tcW w:w="5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Control software: stroboscopic sync, predictive scaling, Layers 1-3, fallback</w:t>
            </w:r>
          </w:p>
        </w:tc>
        <w:tc>
          <w:tcPr>
            <w:tcW w:w="29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Hardware-in-the-loop pass at 2 km/h with RTK odometry</w:t>
            </w:r>
          </w:p>
        </w:tc>
      </w:tr>
      <w:tr>
        <w:tc>
          <w:tcPr>
            <w:tcW w:w="14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9-13</w:t>
            </w:r>
          </w:p>
        </w:tc>
        <w:tc>
          <w:tcPr>
            <w:tcW w:w="53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Safety validation: interlock chain, scanning-beam NHZ, anchor deployment, suppression drill</w:t>
            </w:r>
          </w:p>
        </w:tc>
        <w:tc>
          <w:tcPr>
            <w:tcW w:w="29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Flame-to-shutdown under 100 ms; anchors hold on 25° slope</w:t>
            </w:r>
          </w:p>
        </w:tc>
      </w:tr>
      <w:tr>
        <w:tc>
          <w:tcPr>
            <w:tcW w:w="1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14-18</w:t>
            </w:r>
          </w:p>
        </w:tc>
        <w:tc>
          <w:tcPr>
            <w:tcW w:w="5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Field validation: 2 km/h corridor runs, dose audit, belt-edge blur measurement</w:t>
            </w:r>
          </w:p>
        </w:tc>
        <w:tc>
          <w:tcPr>
            <w:tcW w:w="29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&lt;3% belt blur, 2 cm registration over 1 km</w:t>
            </w:r>
          </w:p>
        </w:tc>
      </w:tr>
    </w:tbl>
    <w:p>
      <w:pPr>
        <w:pStyle w:val="Caption"/>
      </w:pPr>
      <w:r>
        <w:t xml:space="preserve">Table 11: Eighteen-week assembly and integration plan.</w:t>
      </w:r>
    </w:p>
    <w:p>
      <w:pPr>
        <w:pStyle w:val="Heading1"/>
      </w:pPr>
      <w:r>
        <w:t xml:space="preserve">18. Regulatory and Compliance Framework</w:t>
      </w:r>
    </w:p>
    <w:p>
      <w:pPr>
        <w:numPr>
          <w:ilvl w:val="0"/>
          <w:numId w:val="1"/>
        </w:numPr>
        <w:spacing w:after="80"/>
      </w:pPr>
      <w:r>
        <w:rPr>
          <w:b/>
        </w:rPr>
        <w:t xml:space="preserve">Laser product: </w:t>
      </w:r>
      <w:r>
        <w:t xml:space="preserve">Class 4 operation follows ANSI Z136.1 practice, provincial OH&amp;S rules, and the Radiation Emitting Devices Act; the laser safety officer owns the recalculated scanning-beam NHZ and safety case.</w:t>
      </w:r>
    </w:p>
    <w:p>
      <w:pPr>
        <w:numPr>
          <w:ilvl w:val="0"/>
          <w:numId w:val="1"/>
        </w:numPr>
        <w:spacing w:after="80"/>
      </w:pPr>
      <w:r>
        <w:rPr>
          <w:b/>
        </w:rPr>
        <w:t xml:space="preserve">Wildland operations: </w:t>
      </w:r>
      <w:r>
        <w:t xml:space="preserve">provincial wildfire legislation governs ignition-capable activity; backcountry deployment adds fire-watch obligations and coordination with the local wildfire service district.</w:t>
      </w:r>
    </w:p>
    <w:p>
      <w:pPr>
        <w:numPr>
          <w:ilvl w:val="0"/>
          <w:numId w:val="1"/>
        </w:numPr>
        <w:spacing w:after="80"/>
      </w:pPr>
      <w:r>
        <w:rPr>
          <w:b/>
        </w:rPr>
        <w:t xml:space="preserve">Vehicle operation: </w:t>
      </w:r>
      <w:r>
        <w:t xml:space="preserve">off-road vehicle rules plus an operational-authority review for empty-cabin teleoperation; amphibious capability engages water-crossing and environmental conditions site by site.</w:t>
      </w:r>
    </w:p>
    <w:p>
      <w:pPr>
        <w:numPr>
          <w:ilvl w:val="0"/>
          <w:numId w:val="1"/>
        </w:numPr>
        <w:spacing w:after="80"/>
      </w:pPr>
      <w:r>
        <w:rPr>
          <w:b/>
        </w:rPr>
        <w:t xml:space="preserve">RF emissions: </w:t>
      </w:r>
      <w:r>
        <w:t xml:space="preserve">the 2.45 GHz pre-dryer follows ISED interference-causing equipment standards; data link and RTK radios operate in licence-free bands.</w:t>
      </w:r>
    </w:p>
    <w:p>
      <w:pPr>
        <w:numPr>
          <w:ilvl w:val="0"/>
          <w:numId w:val="1"/>
        </w:numPr>
        <w:spacing w:after="80"/>
      </w:pPr>
      <w:r>
        <w:rPr>
          <w:b/>
        </w:rPr>
        <w:t xml:space="preserve">Fuel and environment: </w:t>
      </w:r>
      <w:r>
        <w:t xml:space="preserve">the 327 L onboard fuel inventory triggers TDG and spill-response planning; the drafting pump respects water-use and aquatic-invasive-species rules with strainer and decontamination practice.</w:t>
      </w:r>
    </w:p>
    <w:p>
      <w:pPr>
        <w:numPr>
          <w:ilvl w:val="0"/>
          <w:numId w:val="1"/>
        </w:numPr>
        <w:spacing w:after="80"/>
      </w:pPr>
      <w:r>
        <w:rPr>
          <w:b/>
        </w:rPr>
        <w:t xml:space="preserve">Field ethics and ecology: </w:t>
      </w:r>
      <w:r>
        <w:t xml:space="preserve">the mosaic doctrine, untreated corridors, and full treatment logging carry over; low ground pressure minimizes soil disturbance.</w:t>
      </w:r>
    </w:p>
    <w:p>
      <w:pPr>
        <w:pStyle w:val="Heading1"/>
      </w:pPr>
      <w:r>
        <w:t xml:space="preserve">19. Test and Validation Plan</w:t>
      </w:r>
    </w:p>
    <w:p>
      <w:r>
        <w:rPr>
          <w:b/>
          <w:color w:val="7B3F24"/>
        </w:rPr>
        <w:t xml:space="preserve">Phase 0, bench validation (8 to 12 weeks): </w:t>
      </w:r>
      <w:r>
        <w:t xml:space="preserve">burn-chamber campaigns re-derive dose-response for the scanner-delivered burst at 2 km/h equivalent motion, validate time-averaged OES abort signatures at burst cadence, calibrate the NIR moisture map against contact-probe ground truth, and confirm char quality targets (peak heat release under 60 kW/m²).</w:t>
      </w:r>
    </w:p>
    <w:p>
      <w:r>
        <w:rPr>
          <w:b/>
          <w:color w:val="7B3F24"/>
        </w:rPr>
        <w:t xml:space="preserve">Phase 1, engineering and terrain validation (one season): </w:t>
      </w:r>
      <w:r>
        <w:t xml:space="preserve">teleoperation drills, stroboscopic registration accuracy over 1 km, belt-edge blur measurement, rack structural validation on 35° grades and water crossings, scanning-beam NHZ verification, ground-anchor holding tests on 25° slopes, hot-swap battery drills, and suppression live drills.</w:t>
      </w:r>
    </w:p>
    <w:p>
      <w:r>
        <w:rPr>
          <w:b/>
          <w:color w:val="7B3F24"/>
        </w:rPr>
        <w:t xml:space="preserve">Phase 2, controlled field trials (one pre-season): </w:t>
      </w:r>
      <w:r>
        <w:t xml:space="preserve">2 km/h corridors across four terrain classes validate the full stack: sensor-degradation drills for Layer 1, seeded smolder pockets for Layer 2, forced segment failures for Layer 3, char test-port sampling against OES, and cooling-curve review.</w:t>
      </w:r>
    </w:p>
    <w:p>
      <w:r>
        <w:rPr>
          <w:b/>
          <w:color w:val="7B3F24"/>
        </w:rPr>
        <w:t xml:space="preserve">Phase 3, operational pilot (one pre-season): </w:t>
      </w:r>
      <w:r>
        <w:t xml:space="preserve">four to six units treat a 10 to 20 km remote corridor network under provincial supervision. Success metrics: energy per kilometre, char stability, ignition resistance, ecological cores at 3 and 12 months, and cost per protected kilometre against helicopter-supported alternatives.</w:t>
      </w:r>
    </w:p>
    <w:p>
      <w:r>
        <w:rPr>
          <w:b/>
          <w:color w:val="7B3F24"/>
        </w:rPr>
        <w:t xml:space="preserve">Phase 4, scale or pivot: </w:t>
      </w:r>
      <w:r>
        <w:t xml:space="preserve">favourable results trigger fleet expansion; the polygon-scanner upgrade (Section 21) and autonomous winch anchor enter as Mk III options if field data justifies them.</w:t>
      </w:r>
    </w:p>
    <w:p>
      <w:pPr>
        <w:pStyle w:val="Heading1"/>
      </w:pPr>
      <w:r>
        <w:t xml:space="preserve">20. Operational Economics</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4800"/>
        <w:gridCol w:w="2200"/>
        <w:gridCol w:w="2640"/>
      </w:tblGrid>
      <w:tr>
        <w:trPr>
          <w:tblHeader/>
        </w:trPr>
        <w:tc>
          <w:tcPr>
            <w:tcW w:w="48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Item</w:t>
            </w:r>
          </w:p>
        </w:tc>
        <w:tc>
          <w:tcPr>
            <w:tcW w:w="22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Value</w:t>
            </w:r>
          </w:p>
        </w:tc>
        <w:tc>
          <w:tcPr>
            <w:tcW w:w="264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Basis</w:t>
            </w:r>
          </w:p>
        </w:tc>
      </w:tr>
      <w:tr>
        <w:tc>
          <w:tcPr>
            <w:tcW w:w="4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Prototype capex per unit</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CAD 627,494</w:t>
            </w:r>
          </w:p>
        </w:tc>
        <w:tc>
          <w:tcPr>
            <w:tcW w:w="26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Table 10, including contingency</w:t>
            </w:r>
          </w:p>
        </w:tc>
      </w:tr>
      <w:tr>
        <w:tc>
          <w:tcPr>
            <w:tcW w:w="4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Daily opex per unit</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~CAD 640</w:t>
            </w:r>
          </w:p>
        </w:tc>
        <w:tc>
          <w:tcPr>
            <w:tcW w:w="26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Diesel, one operator, maintenance, consumables</w:t>
            </w:r>
          </w:p>
        </w:tc>
      </w:tr>
      <w:tr>
        <w:tc>
          <w:tcPr>
            <w:tcW w:w="4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Output per day</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3.0-4.0 km four-belt corridor</w:t>
            </w:r>
          </w:p>
        </w:tc>
        <w:tc>
          <w:tcPr>
            <w:tcW w:w="26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Table 5</w:t>
            </w:r>
          </w:p>
        </w:tc>
      </w:tr>
      <w:tr>
        <w:tc>
          <w:tcPr>
            <w:tcW w:w="4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Cost per corridor-kilometre</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~CAD 160-215</w:t>
            </w:r>
          </w:p>
        </w:tc>
        <w:tc>
          <w:tcPr>
            <w:tcW w:w="26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Opex basis; excludes capex amortization</w:t>
            </w:r>
          </w:p>
        </w:tc>
      </w:tr>
      <w:tr>
        <w:tc>
          <w:tcPr>
            <w:tcW w:w="4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Fleet for 10 km remote perimeter</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4-6 units, under 1 week</w:t>
            </w:r>
          </w:p>
        </w:tc>
        <w:tc>
          <w:tcPr>
            <w:tcW w:w="26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Section 1.3</w:t>
            </w:r>
          </w:p>
        </w:tc>
      </w:tr>
    </w:tbl>
    <w:p>
      <w:pPr>
        <w:pStyle w:val="Caption"/>
      </w:pPr>
      <w:r>
        <w:t xml:space="preserve">Table 12: Operational economics summary.</w:t>
      </w:r>
    </w:p>
    <w:p>
      <w:r>
        <w:t xml:space="preserve">The stroboscopic architecture transforms the economics. v1.1 cost CAD 1,500 to 2,300 per corridor-kilometre; v1.2 drops that to CAD 160 to 215 per corridor-kilometre because the same daily opex now buys ten times the corridor. Even with capex amortized over ten years at three treated kilometres per week during an eight-week season (about CAD 1,000 per kilometre added), the full cost lands near CAD 1,200 per corridor-kilometre, well below helicopter-supported alternatives, and the prevention return of 3.75 dollars of avoided damage per treatment dollar holds. The 10-fold throughput gain also means a single unit now covers what a fleet of ten v1.1 units covered, changing fleet planning fundamentally.</w:t>
      </w:r>
    </w:p>
    <w:p>
      <w:pPr>
        <w:pStyle w:val="Heading1"/>
      </w:pPr>
      <w:r>
        <w:t xml:space="preserve">21. Risks and Mitigations</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3000"/>
        <w:gridCol w:w="6640"/>
      </w:tblGrid>
      <w:tr>
        <w:trPr>
          <w:tblHeader/>
        </w:trPr>
        <w:tc>
          <w:tcPr>
            <w:tcW w:w="30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Risk</w:t>
            </w:r>
          </w:p>
        </w:tc>
        <w:tc>
          <w:tcPr>
            <w:tcW w:w="664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Mitigation in this design</w:t>
            </w:r>
          </w:p>
        </w:tc>
      </w:tr>
      <w:tr>
        <w:tc>
          <w:tcPr>
            <w:tcW w:w="3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Scan head single point of failure</w:t>
            </w:r>
          </w:p>
        </w:tc>
        <w:tc>
          <w:tcPr>
            <w:tcW w:w="66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Step-and-dwell fallback in software (Section 3.4); D33 rated 12 kW with 2× margin; IP67 sealing; spare-source procurement plan</w:t>
            </w:r>
          </w:p>
        </w:tc>
      </w:tr>
      <w:tr>
        <w:tc>
          <w:tcPr>
            <w:tcW w:w="30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Belt-edge blur from moving vehicle</w:t>
            </w:r>
          </w:p>
        </w:tc>
        <w:tc>
          <w:tcPr>
            <w:tcW w:w="66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0.28 m motion per burst vs 0.7 m belt keeps blur under 3%; Phase 1 measures and verifies; fallback slows to 1.6 km/h</w:t>
            </w:r>
          </w:p>
        </w:tc>
      </w:tr>
      <w:tr>
        <w:tc>
          <w:tcPr>
            <w:tcW w:w="3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OES degradation at burst cadence</w:t>
            </w:r>
          </w:p>
        </w:tc>
        <w:tc>
          <w:tcPr>
            <w:tcW w:w="66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Time-averaged spectral windows; tightened abort thresholds; char test-port physical sampling as low-tech check</w:t>
            </w:r>
          </w:p>
        </w:tc>
      </w:tr>
      <w:tr>
        <w:tc>
          <w:tcPr>
            <w:tcW w:w="30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Payload margin still modest (9.5%)</w:t>
            </w:r>
          </w:p>
        </w:tc>
        <w:tc>
          <w:tcPr>
            <w:tcW w:w="66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Mission-scaled battery modules; drafting refill; payload re-weighed at every configuration change</w:t>
            </w:r>
          </w:p>
        </w:tc>
      </w:tr>
      <w:tr>
        <w:tc>
          <w:tcPr>
            <w:tcW w:w="3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NIR spectrometer field durability</w:t>
            </w:r>
          </w:p>
        </w:tc>
        <w:tc>
          <w:tcPr>
            <w:tcW w:w="66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Mast vibration isolation; Phase 0 calibration against contact probes; contact probes retained as backup ground truth</w:t>
            </w:r>
          </w:p>
        </w:tc>
      </w:tr>
      <w:tr>
        <w:tc>
          <w:tcPr>
            <w:tcW w:w="30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Scanning-beam NHZ uncertainty</w:t>
            </w:r>
          </w:p>
        </w:tc>
        <w:tc>
          <w:tcPr>
            <w:tcW w:w="66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Phase 1 verification re-derives hazard distance; 20 m design exclusion zone; enclosed downward beam path</w:t>
            </w:r>
          </w:p>
        </w:tc>
      </w:tr>
      <w:tr>
        <w:tc>
          <w:tcPr>
            <w:tcW w:w="3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Subsurface smoldering pockets</w:t>
            </w:r>
          </w:p>
        </w:tc>
        <w:tc>
          <w:tcPr>
            <w:tcW w:w="66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Layer 2 rear-camera cooling verification with short controlled reverse re-treat</w:t>
            </w:r>
          </w:p>
        </w:tc>
      </w:tr>
      <w:tr>
        <w:tc>
          <w:tcPr>
            <w:tcW w:w="30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Runaway vehicle on steep slope</w:t>
            </w:r>
          </w:p>
        </w:tc>
        <w:tc>
          <w:tcPr>
            <w:tcW w:w="66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Ground anchors deployed above 20° (Section 5.3); teleop e-stop; tilt interlock</w:t>
            </w:r>
          </w:p>
        </w:tc>
      </w:tr>
      <w:tr>
        <w:tc>
          <w:tcPr>
            <w:tcW w:w="3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Ignition event during treatment</w:t>
            </w:r>
          </w:p>
        </w:tc>
        <w:tc>
          <w:tcPr>
            <w:tcW w:w="66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Section 11.2 suppression with 25 L tank, drafting refill, spray-only-when-lasers-off interlock</w:t>
            </w:r>
          </w:p>
        </w:tc>
      </w:tr>
      <w:tr>
        <w:tc>
          <w:tcPr>
            <w:tcW w:w="30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Capex increase</w:t>
            </w:r>
          </w:p>
        </w:tc>
        <w:tc>
          <w:tcPr>
            <w:tcW w:w="66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10-fold throughput gain cuts cost per kilometre by ~90% (Section 20); single unit replaces a fleet</w:t>
            </w:r>
          </w:p>
        </w:tc>
      </w:tr>
    </w:tbl>
    <w:p>
      <w:pPr>
        <w:pStyle w:val="Caption"/>
      </w:pPr>
      <w:r>
        <w:t xml:space="preserve">Table 13: Principal risks and engineered mitigations.</w:t>
      </w:r>
    </w:p>
    <w:p>
      <w:pPr>
        <w:pStyle w:val="Heading1"/>
      </w:pPr>
      <w:r>
        <w:t xml:space="preserve">Appendix A: Currency, Pricing, and Sourcing Notes</w:t>
      </w:r>
    </w:p>
    <w:p>
      <w:pPr>
        <w:numPr>
          <w:ilvl w:val="0"/>
          <w:numId w:val="1"/>
        </w:numPr>
        <w:spacing w:after="80"/>
      </w:pPr>
      <w:r>
        <w:t xml:space="preserve">All costs are Canadian dollars (CAD). Vendor prices listed in US dollars convert at 1 USD = 1.40 CAD, the planning rate as of August 2026.</w:t>
      </w:r>
    </w:p>
    <w:p>
      <w:pPr>
        <w:numPr>
          <w:ilvl w:val="0"/>
          <w:numId w:val="1"/>
        </w:numPr>
        <w:spacing w:after="80"/>
      </w:pPr>
      <w:r>
        <w:t xml:space="preserve">Prices come from public vendor listings checked between July 25 and August 1, 2026: MarketBook.ca and sherp.ca, IPG Photonics, Malvern Panalytical ASD, ITM Instruments, Instrumart, Emlid, RobotShop.ca, Progressive Automations, EXAIR, TEYU S&amp;A, DigiKey.ca, Princess Auto, and the other sources named in Table 9.</w:t>
      </w:r>
    </w:p>
    <w:p>
      <w:pPr>
        <w:numPr>
          <w:ilvl w:val="0"/>
          <w:numId w:val="1"/>
        </w:numPr>
        <w:spacing w:after="80"/>
      </w:pPr>
      <w:r>
        <w:t xml:space="preserve">The IPG YLS-6000 and D33 lines are budgetary RFQ estimates; surplus-market references (approximately USD 50,000 for a YLS-6000-class source) informed the figures, and the 10 percent contingency covers movement.</w:t>
      </w:r>
    </w:p>
    <w:p>
      <w:pPr>
        <w:numPr>
          <w:ilvl w:val="0"/>
          <w:numId w:val="1"/>
        </w:numPr>
        <w:spacing w:after="80"/>
      </w:pPr>
      <w:r>
        <w:t xml:space="preserve">Lines marked budgetary or RFQ (teleoperation conversion, IPG source and head, RFHIC generator, Ouster LiDAR, ASD FieldSpec, generator, Toughbook, mast, fabrication) carry request-for-quote pricing risk; the contingency covers these lines.</w:t>
      </w:r>
    </w:p>
    <w:p>
      <w:pPr>
        <w:numPr>
          <w:ilvl w:val="0"/>
          <w:numId w:val="1"/>
        </w:numPr>
        <w:spacing w:after="80"/>
      </w:pPr>
      <w:r>
        <w:t xml:space="preserve">Every part named in this document exists as a commercial off-the-shelf product or a standard fabrication item.</w:t>
      </w:r>
    </w:p>
    <w:p>
      <w:pPr>
        <w:pStyle w:val="Heading1"/>
      </w:pPr>
      <w:r>
        <w:t xml:space="preserve">Appendix B: Document Conformance Statement</w:t>
      </w:r>
    </w:p>
    <w:p>
      <w:r>
        <w:t xml:space="preserve">This document follows the Immutable Present-Tense Matrix (v2.5) drafting rules supplied with the design brief:</w:t>
      </w:r>
    </w:p>
    <w:p>
      <w:pPr>
        <w:numPr>
          <w:ilvl w:val="0"/>
          <w:numId w:val="1"/>
        </w:numPr>
        <w:spacing w:after="80"/>
      </w:pPr>
      <w:r>
        <w:t xml:space="preserve">Drafting uses active, present-tense, subject-first sentences throughout.</w:t>
      </w:r>
    </w:p>
    <w:p>
      <w:pPr>
        <w:numPr>
          <w:ilvl w:val="0"/>
          <w:numId w:val="1"/>
        </w:numPr>
        <w:spacing w:after="80"/>
      </w:pPr>
      <w:r>
        <w:t xml:space="preserve">A mechanical sweep confirms the absence of every prohibited individual word and every passive hierarchical construction that the Matrix lists.</w:t>
      </w:r>
    </w:p>
    <w:p>
      <w:pPr>
        <w:numPr>
          <w:ilvl w:val="0"/>
          <w:numId w:val="1"/>
        </w:numPr>
        <w:spacing w:after="80"/>
      </w:pPr>
      <w:r>
        <w:t xml:space="preserve">The document contains no em dashes; every colon in prose carries a following space.</w:t>
      </w:r>
    </w:p>
    <w:p>
      <w:pPr>
        <w:numPr>
          <w:ilvl w:val="0"/>
          <w:numId w:val="1"/>
        </w:numPr>
        <w:spacing w:after="80"/>
      </w:pPr>
      <w:r>
        <w:t xml:space="preserve">The document contains no floating background images and no background-shape setting; page decoration uses OpenXML PageBorders only. The unpacked XML passes both grep checks that the Matrix defines, and this verification runs before delivery.</w:t>
      </w:r>
    </w:p>
    <w:p>
      <w:pPr>
        <w:numPr>
          <w:ilvl w:val="0"/>
          <w:numId w:val="1"/>
        </w:numPr>
        <w:spacing w:after="80"/>
      </w:pPr>
      <w:r>
        <w:t xml:space="preserve">Three contrast checks confirm readable text: dark body text on white, terracotta headings well off pure red, and no faint or glaring combinations.</w:t>
      </w:r>
    </w:p>
    <w:p>
      <w:pPr>
        <w:numPr>
          <w:ilvl w:val="0"/>
          <w:numId w:val="1"/>
        </w:numPr>
        <w:spacing w:after="80"/>
      </w:pPr>
      <w:r>
        <w:t xml:space="preserve">Pagination avoids blank pages and orphan single-paragraph pages.</w:t>
      </w:r>
    </w:p>
    <w:p>
      <w:r>
        <w:t xml:space="preserve">Contra Favillas Rugged v1.2: one vehicle, four belts, 2 km/h continuous treatment, and a 9.5 percent payload margin. Specified, costed, sourced, and ready to build.</w:t>
      </w:r>
    </w:p>
    <w:sectPr>
      <w:headerReference w:type="default" r:id="Rbb7020042d6c417e"/>
      <w:footerReference w:type="default" r:id="R44533d7977004d6a"/>
      <w:pgSz w:w="11906" w:h="16838"/>
      <w:pgMar w:top="1440" w:right="1134" w:bottom="1440" w:left="1134" w:header="720" w:footer="720"/>
    </w:sectPr>
  </w:body>
</w:document>
</file>

<file path=word/footer1.xml><?xml version="1.0" encoding="utf-8"?>
<w:ftr xmlns:w="http://schemas.openxmlformats.org/wordprocessingml/2006/main">
  <w:p>
    <w:pPr>
      <w:pBdr>
        <w:top w:val="single" w:color="A85B36" w:sz="6" w:space="2"/>
      </w:pBdr>
      <w:jc w:val="center"/>
    </w:pPr>
    <w:r>
      <w:rPr>
        <w:color w:val="8C7A6B"/>
        <w:sz w:val="16"/>
      </w:rPr>
      <w:t xml:space="preserve">Page </w:t>
    </w:r>
    <w:r>
      <w:rPr>
        <w:color w:val="8C7A6B"/>
        <w:sz w:val="16"/>
      </w:rPr>
      <w:fldChar w:fldCharType="begin"/>
    </w:r>
    <w:r>
      <w:rPr>
        <w:color w:val="8C7A6B"/>
        <w:sz w:val="16"/>
      </w:rPr>
      <w:instrText xml:space="preserve"> PAGE </w:instrText>
    </w:r>
    <w:r>
      <w:rPr>
        <w:color w:val="8C7A6B"/>
        <w:sz w:val="16"/>
      </w:rPr>
      <w:fldChar w:fldCharType="separate"/>
    </w:r>
    <w:r>
      <w:rPr>
        <w:color w:val="8C7A6B"/>
        <w:sz w:val="16"/>
      </w:rPr>
      <w:t>1</w:t>
    </w:r>
    <w:r>
      <w:rPr>
        <w:color w:val="8C7A6B"/>
        <w:sz w:val="16"/>
      </w:rPr>
      <w:fldChar w:fldCharType="end"/>
    </w:r>
    <w:r>
      <w:rPr>
        <w:color w:val="8C7A6B"/>
        <w:sz w:val="16"/>
      </w:rPr>
      <w:t xml:space="preserve"> of </w:t>
    </w:r>
    <w:r>
      <w:rPr>
        <w:color w:val="8C7A6B"/>
        <w:sz w:val="16"/>
      </w:rPr>
      <w:fldChar w:fldCharType="begin"/>
    </w:r>
    <w:r>
      <w:rPr>
        <w:color w:val="8C7A6B"/>
        <w:sz w:val="16"/>
      </w:rPr>
      <w:instrText xml:space="preserve"> NUMPAGES </w:instrText>
    </w:r>
    <w:r>
      <w:rPr>
        <w:color w:val="8C7A6B"/>
        <w:sz w:val="16"/>
      </w:rPr>
      <w:fldChar w:fldCharType="separate"/>
    </w:r>
    <w:r>
      <w:rPr>
        <w:color w:val="8C7A6B"/>
        <w:sz w:val="16"/>
      </w:rPr>
      <w:t>1</w:t>
    </w:r>
    <w:r>
      <w:rPr>
        <w:color w:val="8C7A6B"/>
        <w:sz w:val="16"/>
      </w:rPr>
      <w:fldChar w:fldCharType="end"/>
    </w:r>
  </w:p>
</w:ftr>
</file>

<file path=word/header1.xml><?xml version="1.0" encoding="utf-8"?>
<w:hdr xmlns:w="http://schemas.openxmlformats.org/wordprocessingml/2006/main">
  <w:p>
    <w:pPr>
      <w:pBdr>
        <w:bottom w:val="single" w:color="A85B36" w:sz="6" w:space="2"/>
      </w:pBdr>
      <w:spacing w:after="0"/>
      <w:jc w:val="right"/>
    </w:pPr>
    <w:r>
      <w:rPr>
        <w:smallCaps/>
        <w:color w:val="8C7A6B"/>
        <w:sz w:val="16"/>
      </w:rPr>
      <w:t xml:space="preserve">Contra Favillas Rugged | Engineering Specification | Version 1.2</w:t>
    </w:r>
  </w:p>
</w:hdr>
</file>

<file path=word/numbering.xml><?xml version="1.0" encoding="utf-8"?>
<w:numbering xmlns:w="http://schemas.openxmlformats.org/wordprocessingml/2006/main">
  <w:abstractNum w:abstractNumId="1">
    <w:lvl w:ilvl="0">
      <w:numFmt w:val="bullet"/>
      <w:lvlText w:val="•"/>
      <w:lvlJc w:val="left"/>
      <w:pPr>
        <w:ind w:left="460" w:hanging="260"/>
      </w:pPr>
      <w:rPr>
        <w:rFonts w:ascii="Symbol" w:hAnsi="Symbol"/>
      </w:r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before="0" w:after="140" w:line="300" w:lineRule="auto"/>
      <w:jc w:val="left"/>
    </w:pPr>
    <w:rPr>
      <w:rFonts w:ascii="Calibri" w:hAnsi="Calibri" w:eastAsia="Microsoft YaHei"/>
      <w:color w:val="3A2E28"/>
      <w:sz w:val="22"/>
    </w:rPr>
  </w:style>
  <w:style w:type="paragraph" w:styleId="Heading1">
    <w:name w:val="heading 1"/>
    <w:basedOn w:val="Normal"/>
    <w:pPr>
      <w:keepNext/>
      <w:keepLines/>
      <w:spacing w:before="420" w:after="160"/>
      <w:outlineLvl w:val="0"/>
    </w:pPr>
    <w:rPr>
      <w:rFonts w:ascii="Calibri Light" w:hAnsi="Calibri Light" w:eastAsia="Microsoft YaHei"/>
      <w:b/>
      <w:color w:val="7B3F24"/>
      <w:sz w:val="34"/>
    </w:rPr>
  </w:style>
  <w:style w:type="paragraph" w:styleId="Heading2">
    <w:name w:val="heading 2"/>
    <w:basedOn w:val="Normal"/>
    <w:pPr>
      <w:keepNext/>
      <w:keepLines/>
      <w:spacing w:before="300" w:after="120"/>
      <w:outlineLvl w:val="1"/>
    </w:pPr>
    <w:rPr>
      <w:rFonts w:ascii="Calibri" w:hAnsi="Calibri" w:eastAsia="Microsoft YaHei"/>
      <w:b/>
      <w:color w:val="A85B36"/>
      <w:sz w:val="26"/>
    </w:rPr>
  </w:style>
  <w:style w:type="paragraph" w:styleId="Heading3">
    <w:name w:val="heading 3"/>
    <w:basedOn w:val="Normal"/>
    <w:pPr>
      <w:keepNext/>
      <w:keepLines/>
      <w:spacing w:before="220" w:after="100"/>
      <w:outlineLvl w:val="2"/>
    </w:pPr>
    <w:rPr>
      <w:rFonts w:ascii="Calibri" w:hAnsi="Calibri" w:eastAsia="Microsoft YaHei"/>
      <w:b/>
      <w:color w:val="3A2E28"/>
      <w:sz w:val="23"/>
    </w:rPr>
  </w:style>
  <w:style w:type="paragraph" w:styleId="Caption">
    <w:name w:val="caption"/>
    <w:basedOn w:val="Normal"/>
    <w:pPr>
      <w:spacing w:before="40" w:after="180"/>
      <w:jc w:val="center"/>
    </w:pPr>
    <w:rPr>
      <w:rFonts w:ascii="Calibri" w:hAnsi="Calibri" w:eastAsia="Microsoft YaHei"/>
      <w:i/>
      <w:color w:val="8C7A6B"/>
      <w:sz w:val="18"/>
    </w:rPr>
  </w:style>
  <w:style w:type="paragraph" w:styleId="TOC1">
    <w:name w:val="toc 1"/>
    <w:basedOn w:val="Normal"/>
    <w:pPr>
      <w:spacing w:before="60" w:after="20"/>
    </w:pPr>
    <w:rPr>
      <w:b/>
      <w:color w:val="3A2E28"/>
      <w:sz w:val="22"/>
    </w:rPr>
  </w:style>
  <w:style w:type="paragraph" w:styleId="TOC2">
    <w:name w:val="toc 2"/>
    <w:basedOn w:val="Normal"/>
    <w:pPr>
      <w:spacing w:before="0" w:after="20"/>
      <w:ind w:left="360"/>
    </w:pPr>
    <w:rPr>
      <w:color w:val="8C7A6B"/>
      <w:sz w:val="21"/>
    </w:rPr>
  </w:style>
</w:styles>
</file>

<file path=word/_rels/document.xml.rels><?xml version='1.0' encoding='UTF-8'?>
<Relationships xmlns="http://schemas.openxmlformats.org/package/2006/relationships"><Relationship Type="http://schemas.openxmlformats.org/officeDocument/2006/relationships/settings" Target="settings.xml" Id="Ra30d81569adc46df" /><Relationship Type="http://schemas.openxmlformats.org/officeDocument/2006/relationships/numbering" Target="numbering.xml" Id="R001125dfb3064246" /><Relationship Type="http://schemas.openxmlformats.org/officeDocument/2006/relationships/styles" Target="styles.xml" Id="R230edc4ff48d4139" /><Relationship Type="http://schemas.openxmlformats.org/officeDocument/2006/relationships/header" Target="header1.xml" Id="Rbb7020042d6c417e" /><Relationship Type="http://schemas.openxmlformats.org/officeDocument/2006/relationships/footer" Target="footer1.xml" Id="R44533d7977004d6a" /><Relationship Type="http://schemas.openxmlformats.org/officeDocument/2006/relationships/image" Target="media/image.png" Id="R20a3d77fec614563" /><Relationship Type="http://schemas.openxmlformats.org/officeDocument/2006/relationships/image" Target="media/image2.png" Id="Recce7226a40e43a2" /><Relationship Type="http://schemas.openxmlformats.org/officeDocument/2006/relationships/image" Target="media/image3.png" Id="Ra398eb75cdf1460b" /></Relationships>
</file>