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Id="R9db2ef112bc74a6e"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2200" w:after="0"/>
      </w:pPr>
    </w:p>
    <w:tbl>
      <w:tblPr>
        <w:tblW w:w="5000" w:type="pct"/>
        <w:tblBorders>
          <w:top w:val="single" w:color="7B3F24" w:sz="18"/>
          <w:left w:val="nil"/>
          <w:bottom w:val="single" w:color="7B3F24" w:sz="18"/>
          <w:right w:val="nil"/>
          <w:insideH w:val="nil"/>
          <w:insideV w:val="nil"/>
        </w:tblBorders>
      </w:tblPr>
      <w:tblGrid>
        <w:gridCol w:w="9640"/>
      </w:tblGrid>
      <w:tr>
        <w:tc>
          <w:tcPr>
            <w:tcW w:w="9640" w:type="dxa"/>
            <w:shd w:val="clear" w:fill="F4E6DC" w:color="auto"/>
            <w:tcMar>
              <w:top w:w="300" w:type="dxa"/>
              <w:left w:w="200" w:type="dxa"/>
              <w:bottom w:w="300" w:type="dxa"/>
              <w:right w:w="200" w:type="dxa"/>
            </w:tcMar>
          </w:tcPr>
          <w:p>
            <w:pPr>
              <w:pStyle w:val="Normal"/>
              <w:spacing w:before="120" w:after="100"/>
              <w:jc w:val="center"/>
            </w:pPr>
            <w:r>
              <w:rPr>
                <w:rFonts w:ascii="Calibri Light" w:hAnsi="Calibri Light" w:eastAsia="Calibri Light" w:cs="Calibri Light"/>
                <w:b/>
                <w:color w:val="7B3F24"/>
                <w:sz w:val="64"/>
                <w:szCs w:val="64"/>
                <w:spacing w:val="30"/>
              </w:rPr>
              <w:t>CONTRA FAVILLAS</w:t>
            </w:r>
          </w:p>
          <w:p>
            <w:pPr>
              <w:pStyle w:val="Normal"/>
              <w:spacing w:after="120"/>
              <w:jc w:val="center"/>
            </w:pPr>
            <w:r>
              <w:rPr>
                <w:rFonts w:ascii="Calibri Light" w:hAnsi="Calibri Light" w:eastAsia="Calibri Light" w:cs="Calibri Light"/>
                <w:b/>
                <w:color w:val="A85B36"/>
                <w:sz w:val="44"/>
                <w:szCs w:val="44"/>
                <w:spacing w:val="60"/>
              </w:rPr>
              <w:t>RUGGED</w:t>
            </w:r>
          </w:p>
          <w:p>
            <w:pPr>
              <w:pStyle w:val="Normal"/>
              <w:spacing w:after="60"/>
              <w:jc w:val="center"/>
            </w:pPr>
            <w:r>
              <w:rPr>
                <w:color w:val="3A2E28"/>
                <w:sz w:val="24"/>
                <w:rFonts w:ascii="Calibri" w:hAnsi="Calibri" w:eastAsia="Microsoft YaHei" w:cs="Calibri"/>
                <w:szCs w:val="24"/>
              </w:rPr>
              <w:t>Engineering Specification for an Extreme-Terrain Laser-Carbonization</w:t>
            </w:r>
          </w:p>
          <w:p>
            <w:pPr>
              <w:pStyle w:val="Normal"/>
              <w:spacing w:after="160"/>
              <w:jc w:val="center"/>
            </w:pPr>
            <w:r>
              <w:rPr>
                <w:color w:val="3A2E28"/>
                <w:sz w:val="24"/>
                <w:rFonts w:ascii="Calibri" w:hAnsi="Calibri" w:eastAsia="Microsoft YaHei" w:cs="Calibri"/>
                <w:szCs w:val="24"/>
              </w:rPr>
              <w:t>Wildfire-Prevention Robot on the SHERP N 1200 Platform</w:t>
            </w:r>
          </w:p>
          <w:p>
            <w:pPr>
              <w:pStyle w:val="Normal"/>
              <w:spacing w:after="80"/>
              <w:jc w:val="center"/>
            </w:pPr>
            <w:r>
              <w:rPr>
                <w:i/>
                <w:color w:val="A85B36"/>
                <w:sz w:val="20"/>
                <w:rFonts w:ascii="Calibri" w:hAnsi="Calibri" w:eastAsia="Microsoft YaHei" w:cs="Calibri"/>
                <w:szCs w:val="20"/>
              </w:rPr>
              <w:t>v1.3: energy-corrected throughput, dual-source laser power, scanner step-and-dwell.</w:t>
            </w:r>
          </w:p>
        </w:tc>
      </w:tr>
    </w:tbl>
    <w:p>
      <w:pPr>
        <w:pStyle w:val="Normal"/>
        <w:spacing w:before="1200" w:after="0"/>
      </w:pPr>
    </w:p>
    <w:p>
      <w:pPr>
        <w:pStyle w:val="Normal"/>
        <w:spacing w:after="60"/>
        <w:jc w:val="center"/>
      </w:pPr>
      <w:r>
        <w:rPr>
          <w:b/>
          <w:color w:val="A85B36"/>
          <w:sz w:val="21"/>
          <w:rFonts w:ascii="Calibri" w:hAnsi="Calibri" w:eastAsia="Microsoft YaHei" w:cs="Calibri"/>
          <w:szCs w:val="21"/>
        </w:rPr>
        <w:t xml:space="preserve">Document class: </w:t>
      </w:r>
      <w:r>
        <w:rPr>
          <w:color w:val="3A2E28"/>
          <w:sz w:val="21"/>
          <w:rFonts w:ascii="Calibri" w:hAnsi="Calibri" w:eastAsia="Microsoft YaHei" w:cs="Calibri"/>
          <w:szCs w:val="21"/>
        </w:rPr>
        <w:t>Engineering design document, prototype level</w:t>
      </w:r>
    </w:p>
    <w:p>
      <w:pPr>
        <w:pStyle w:val="Normal"/>
        <w:spacing w:after="60"/>
        <w:jc w:val="center"/>
      </w:pPr>
      <w:r>
        <w:rPr>
          <w:b/>
          <w:color w:val="A85B36"/>
          <w:sz w:val="21"/>
          <w:rFonts w:ascii="Calibri" w:hAnsi="Calibri" w:eastAsia="Microsoft YaHei" w:cs="Calibri"/>
          <w:szCs w:val="21"/>
        </w:rPr>
        <w:t xml:space="preserve">Platform: </w:t>
      </w:r>
      <w:r>
        <w:rPr>
          <w:color w:val="3A2E28"/>
          <w:sz w:val="21"/>
          <w:rFonts w:ascii="Calibri" w:hAnsi="Calibri" w:eastAsia="Microsoft YaHei" w:cs="Calibri"/>
          <w:szCs w:val="21"/>
        </w:rPr>
        <w:t>Contra Favillas Rugged, SHERP N 1200 single-element treatment vehicle</w:t>
      </w:r>
    </w:p>
    <w:p>
      <w:pPr>
        <w:pStyle w:val="Normal"/>
        <w:spacing w:after="60"/>
        <w:jc w:val="center"/>
      </w:pPr>
      <w:r>
        <w:rPr>
          <w:b/>
          <w:color w:val="A85B36"/>
          <w:sz w:val="21"/>
          <w:rFonts w:ascii="Calibri" w:hAnsi="Calibri" w:eastAsia="Microsoft YaHei" w:cs="Calibri"/>
          <w:szCs w:val="21"/>
        </w:rPr>
        <w:t xml:space="preserve">Version: </w:t>
      </w:r>
      <w:r>
        <w:rPr>
          <w:color w:val="3A2E28"/>
          <w:sz w:val="21"/>
          <w:rFonts w:ascii="Calibri" w:hAnsi="Calibri" w:eastAsia="Microsoft YaHei" w:cs="Calibri"/>
          <w:szCs w:val="21"/>
        </w:rPr>
        <w:t>1.3 (supersedes v1.2; corrects the v1.1 and v1.2 throughput energy-balance error)</w:t>
      </w:r>
    </w:p>
    <w:p>
      <w:pPr>
        <w:pStyle w:val="Normal"/>
        <w:spacing w:after="60"/>
        <w:jc w:val="center"/>
      </w:pPr>
      <w:r>
        <w:rPr>
          <w:b/>
          <w:color w:val="A85B36"/>
          <w:sz w:val="21"/>
          <w:rFonts w:ascii="Calibri" w:hAnsi="Calibri" w:eastAsia="Microsoft YaHei" w:cs="Calibri"/>
          <w:szCs w:val="21"/>
        </w:rPr>
        <w:t xml:space="preserve">Date: </w:t>
      </w:r>
      <w:r>
        <w:rPr>
          <w:color w:val="3A2E28"/>
          <w:sz w:val="21"/>
          <w:rFonts w:ascii="Calibri" w:hAnsi="Calibri" w:eastAsia="Microsoft YaHei" w:cs="Calibri"/>
          <w:szCs w:val="21"/>
        </w:rPr>
        <w:t>August 2, 2026</w:t>
      </w:r>
    </w:p>
    <w:p>
      <w:pPr>
        <w:pStyle w:val="Normal"/>
        <w:spacing w:after="60"/>
        <w:jc w:val="center"/>
      </w:pPr>
      <w:r>
        <w:rPr>
          <w:b/>
          <w:color w:val="A85B36"/>
          <w:sz w:val="21"/>
          <w:rFonts w:ascii="Calibri" w:hAnsi="Calibri" w:eastAsia="Microsoft YaHei" w:cs="Calibri"/>
          <w:szCs w:val="21"/>
        </w:rPr>
        <w:t xml:space="preserve">Status: </w:t>
      </w:r>
      <w:r>
        <w:rPr>
          <w:color w:val="3A2E28"/>
          <w:sz w:val="21"/>
          <w:rFonts w:ascii="Calibri" w:hAnsi="Calibri" w:eastAsia="Microsoft YaHei" w:cs="Calibri"/>
          <w:szCs w:val="21"/>
        </w:rPr>
        <w:t>Fully specified for prototyping; all parts named, costed (CAD), and sourced</w:t>
      </w:r>
    </w:p>
    <w:p>
      <w:pPr>
        <w:pStyle w:val="Normal"/>
        <w:sectPr>
          <w:type w:val="nextPage"/>
          <w:pgSz w:w="11906" w:h="16838"/>
          <w:pgMar w:top="1440" w:right="1440" w:bottom="1440" w:left="1440" w:header="720" w:footer="720"/>
          <w:pgBorders w:offsetFrom="page">
            <w:top w:val="double" w:color="7B3F24" w:sz="18" w:space="24"/>
            <w:left w:val="double" w:color="7B3F24" w:sz="18" w:space="24"/>
            <w:bottom w:val="double" w:color="7B3F24" w:sz="18" w:space="24"/>
            <w:right w:val="double" w:color="7B3F24" w:sz="18" w:space="24"/>
          </w:pgBorders>
          <w:titlePg/>
        </w:sectPr>
      </w:pPr>
    </w:p>
    <w:p>
      <w:pPr>
        <w:pStyle w:val="Heading1"/>
      </w:pPr>
      <w:r>
        <w:rPr>
          <w:rFonts w:ascii="Calibri Light" w:hAnsi="Calibri Light" w:eastAsia="Microsoft YaHei" w:cs="Calibri Light"/>
          <w:b/>
          <w:color w:val="7B3F24"/>
          <w:sz w:val="34"/>
          <w:szCs w:val="34"/>
        </w:rPr>
        <w:t>Contents</w:t>
      </w:r>
    </w:p>
    <w:p>
      <w:pPr>
        <w:pStyle w:val="Normal"/>
      </w:pPr>
      <w:r>
        <w:fldChar w:fldCharType="begin"/>
      </w:r>
      <w:r>
        <w:instrText xml:space="preserve"> TOC \o "1-2" \h \z \u </w:instrText>
      </w:r>
      <w:r>
        <w:fldChar w:fldCharType="separate"/>
      </w:r>
    </w:p>
    <w:p>
      <w:pPr>
        <w:pStyle w:val="TOC1"/>
      </w:pPr>
      <w:r>
        <w:rPr>
          <w:rFonts w:ascii="Calibri" w:hAnsi="Calibri" w:eastAsia="Microsoft YaHei" w:cs="Calibri"/>
          <w:b/>
          <w:color w:val="3A2E28"/>
          <w:sz w:val="22"/>
          <w:szCs w:val="22"/>
        </w:rPr>
        <w:t>1. Overview: Concept, Purpose, and v1.3 Changes</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1.1 The v1.3 Mandate: Correct the Energy Balance, Scale Laser Power</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1.2 Variant Differences Against v1.1</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1.3 Mission Profile and Treatment Doctrine</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2. Payload: Weight Savings Against the Scale-Up Trade</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2.1 Five Weight-Saving Changes</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2.2 Recovered Mass Budget and Margin</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3. Scanner Step-and-Dwell Treatment</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3.1 The Energy-Balance Error and Its Correction</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3.2 Dual D33 Scan Heads and Corridor Coverage</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3.3 Energy-Conserving Throughput Model</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3.4 Why Continuous-Motion Treatment Drops Out</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4. System Architecture</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4.1 Single-Element Layout and Mass Budget</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4.2 Subsystem Map</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4.3 Power and Energy Budget</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5. Mobility Platform: SHERP N 1200</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5.1 Platform Parameters</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5.2 Teleoperation Conversion</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5.3 Ground Anchor System</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6. Laser Carbonization Array</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6.1 Dual 6 kW ECO Sources with Scanner Delivery</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6.2 Scan Heads and Traverse as Treatment Optics</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6.3 Treatment Rack, 7075 Truss, and Transit Mode</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6.4 Thermal Management</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6.5 Smoke Management: Air Knife</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7. RF Pre-Drying Module</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8. Sensing and Perception</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8.1 Real-Time Fuel Moisture Mapping (NIR)</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8.2 Char Quality Test Port</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8.3 Core Sensing Suite</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9. Compute and Control Electronics</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10. Onboard Power System</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10.1 Hot-Swap Battery Modules</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10.2 Generator and Distribution</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11. Stabilization Spray and Emergency Suppression</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2"/>
      </w:pPr>
      <w:r>
        <w:rPr>
          <w:rFonts w:ascii="Calibri" w:hAnsi="Calibri" w:eastAsia="Microsoft YaHei" w:cs="Calibri"/>
          <w:color w:val="8C7A6B"/>
          <w:sz w:val="21"/>
          <w:szCs w:val="21"/>
        </w:rPr>
        <w:t>11.1 Reduced Stabilization Spray</w:t>
      </w:r>
      <w:r>
        <w:rPr>
          <w:rFonts w:ascii="Calibri" w:hAnsi="Calibri" w:eastAsia="Microsoft YaHei"/>
          <w:color w:val="8C7A6B"/>
          <w:sz w:val="21"/>
        </w:rPr>
        <w:tab/>
      </w:r>
      <w:r>
        <w:rPr>
          <w:rFonts w:ascii="Calibri" w:hAnsi="Calibri" w:eastAsia="Microsoft YaHei" w:cs="Calibri"/>
          <w:color w:val="8C7A6B"/>
          <w:sz w:val="21"/>
          <w:szCs w:val="21"/>
        </w:rPr>
        <w:t>1</w:t>
      </w:r>
    </w:p>
    <w:p>
      <w:pPr>
        <w:pStyle w:val="TOC2"/>
      </w:pPr>
      <w:r>
        <w:rPr>
          <w:rFonts w:ascii="Calibri" w:hAnsi="Calibri" w:eastAsia="Microsoft YaHei" w:cs="Calibri"/>
          <w:color w:val="8C7A6B"/>
          <w:sz w:val="21"/>
          <w:szCs w:val="21"/>
        </w:rPr>
        <w:t>11.2 Emergency Suppression System</w:t>
      </w:r>
      <w:r>
        <w:rPr>
          <w:rFonts w:ascii="Calibri" w:hAnsi="Calibri" w:eastAsia="Microsoft YaHei"/>
          <w:color w:val="8C7A6B"/>
          <w:sz w:val="21"/>
        </w:rPr>
        <w:tab/>
      </w:r>
      <w:r>
        <w:rPr>
          <w:rFonts w:ascii="Calibri" w:hAnsi="Calibri" w:eastAsia="Microsoft YaHei" w:cs="Calibri"/>
          <w:color w:val="8C7A6B"/>
          <w:sz w:val="21"/>
          <w:szCs w:val="21"/>
        </w:rPr>
        <w:t>1</w:t>
      </w:r>
    </w:p>
    <w:p>
      <w:pPr>
        <w:pStyle w:val="TOC1"/>
      </w:pPr>
      <w:r>
        <w:rPr>
          <w:rFonts w:ascii="Calibri" w:hAnsi="Calibri" w:eastAsia="Microsoft YaHei" w:cs="Calibri"/>
          <w:b/>
          <w:color w:val="3A2E28"/>
          <w:sz w:val="22"/>
          <w:szCs w:val="22"/>
        </w:rPr>
        <w:t>12. Communications and Ground Control</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13. Safety Architecture and Interlocks</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14. Control Software and Treatment Logic</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15. Consolidated Bill of Materials</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16. Cost Summary and Variant Comparison</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17. Assembly and Integration Plan</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18. Regulatory and Compliance Framework</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19. Test and Validation Plan</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20. Operational Economics</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21. Risks and Mitigations</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Appendix A: Currency, Pricing, and Sourcing Notes</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TOC1"/>
      </w:pPr>
      <w:r>
        <w:rPr>
          <w:rFonts w:ascii="Calibri" w:hAnsi="Calibri" w:eastAsia="Microsoft YaHei" w:cs="Calibri"/>
          <w:b/>
          <w:color w:val="3A2E28"/>
          <w:sz w:val="22"/>
          <w:szCs w:val="22"/>
        </w:rPr>
        <w:t>Appendix B: Document Conformance Statement</w:t>
      </w:r>
      <w:r>
        <w:rPr>
          <w:rFonts w:ascii="Calibri" w:hAnsi="Calibri" w:eastAsia="Microsoft YaHei"/>
          <w:b/>
          <w:color w:val="3A2E28"/>
          <w:sz w:val="22"/>
        </w:rPr>
        <w:tab/>
      </w:r>
      <w:r>
        <w:rPr>
          <w:rFonts w:ascii="Calibri" w:hAnsi="Calibri" w:eastAsia="Microsoft YaHei" w:cs="Calibri"/>
          <w:b/>
          <w:color w:val="3A2E28"/>
          <w:sz w:val="22"/>
          <w:szCs w:val="22"/>
        </w:rPr>
        <w:t>1</w:t>
      </w:r>
    </w:p>
    <w:p>
      <w:pPr>
        <w:pStyle w:val="Normal"/>
      </w:pPr>
      <w:r>
        <w:fldChar w:fldCharType="end"/>
      </w:r>
    </w:p>
    <w:p>
      <w:pPr>
        <w:pStyle w:val="Heading1"/>
      </w:pPr>
      <w:r>
        <w:rPr>
          <w:rFonts w:ascii="Calibri Light" w:hAnsi="Calibri Light" w:eastAsia="Microsoft YaHei" w:cs="Calibri Light"/>
          <w:b/>
          <w:color w:val="7B3F24"/>
          <w:sz w:val="34"/>
          <w:szCs w:val="34"/>
        </w:rPr>
        <w:t>1. Overview: Concept, Purpose, and v1.3 Changes</w:t>
      </w:r>
    </w:p>
    <w:p>
      <w:pPr>
        <w:pStyle w:val="Heading2"/>
      </w:pPr>
      <w:r>
        <w:rPr>
          <w:rFonts w:ascii="Calibri" w:hAnsi="Calibri" w:eastAsia="Microsoft YaHei" w:cs="Calibri"/>
          <w:b/>
          <w:color w:val="A85B36"/>
          <w:sz w:val="26"/>
          <w:szCs w:val="26"/>
        </w:rPr>
        <w:t>1.1 The v1.3 Mandate: Correct the Energy Balance, Scale Laser Power</w:t>
      </w:r>
    </w:p>
    <w:p>
      <w:pPr>
        <w:pStyle w:val="Normal"/>
      </w:pPr>
      <w:r>
        <w:rPr>
          <w:rFonts w:ascii="Calibri" w:hAnsi="Calibri" w:eastAsia="Microsoft YaHei" w:cs="Calibri"/>
          <w:color w:val="3A2E28"/>
          <w:sz w:val="22"/>
          <w:szCs w:val="22"/>
        </w:rPr>
        <w:t>Contra Favillas Rugged v1.1 put the full laser-carbonization system on a single SHERP N 1200 chassis, and v1.2 consolidated the eight laser sources into one 6 kW source feeding a galvanometric scan head. A post-release energy audit of both versions then found a structural error. The throughput tables in v1.1 and v1.2 implied irradiances that the laser arrays' average optical power does not deliver. At the stated 1.0 MJ/m² design dose, the v1.2 stroboscopic design point implied roughly 311 kW of average optical power against 2.1 kW available, and the delivered dose per patch fell short of the design figure by nearly two orders of magnitude; the v1.1 tables carried the same error by a smaller factor. Version 1.3 corrects the physics and rebuilds the design around energy conservation.</w:t>
      </w:r>
    </w:p>
    <w:p>
      <w:pPr>
        <w:pStyle w:val="Normal"/>
      </w:pPr>
      <w:r>
        <w:rPr>
          <w:rFonts w:ascii="Calibri" w:hAnsi="Calibri" w:eastAsia="Microsoft YaHei" w:cs="Calibri"/>
          <w:color w:val="3A2E28"/>
          <w:sz w:val="22"/>
          <w:szCs w:val="22"/>
        </w:rPr>
        <w:t>Three engineering changes close the gap. First, laser power scales up: two IPG YLS-6000-ECO 6 kW sources replace the single source, a 30 kW generator replaces the 20 kW unit, and the ECO-class wall-plug efficiency of 50 percent sustains 10 kW of average optical power at 84 percent generator load. Second, the treated width narrows from four 0.7 m belts to four 0.5 m belts, and the RF pre-dryer earns a Phase 0 validated dose credit that lowers the laser design dose from 1.0 to 0.6 MJ/m². Third, the treatment cycle reverts to step-and-dwell, now scanner-driven: two scan heads on cross-corridor traverse rails paint all four belts from each stop, so one stop treats the full corridor width. Energy-honest daily output lands at 0.13 to 0.24 km of four-belt corridor per unit, about three times the energy-consistent v1.1 figure of roughly 0.06 km per day, with dual-source redundancy as a byproduct.</w:t>
      </w:r>
    </w:p>
    <w:p>
      <w:pPr>
        <w:pStyle w:val="Heading2"/>
      </w:pPr>
      <w:r>
        <w:rPr>
          <w:rFonts w:ascii="Calibri" w:hAnsi="Calibri" w:eastAsia="Microsoft YaHei" w:cs="Calibri"/>
          <w:b/>
          <w:color w:val="A85B36"/>
          <w:sz w:val="26"/>
          <w:szCs w:val="26"/>
        </w:rPr>
        <w:t>1.2 Variant Differences Against v1.1</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600"/>
        <w:gridCol w:w="3420"/>
        <w:gridCol w:w="3620"/>
      </w:tblGrid>
      <w:tr>
        <w:trPr>
          <w:tblHeader w:val="1"/>
        </w:trPr>
        <w:tc>
          <w:tcPr>
            <w:tcW w:w="26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Attribute</w:t>
            </w:r>
          </w:p>
        </w:tc>
        <w:tc>
          <w:tcPr>
            <w:tcW w:w="342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v1.1 (Rugged)</w:t>
            </w:r>
          </w:p>
        </w:tc>
        <w:tc>
          <w:tcPr>
            <w:tcW w:w="362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v1.3 (this document)</w:t>
            </w:r>
          </w:p>
        </w:tc>
      </w:tr>
      <w:tr>
        <w:tc>
          <w:tcPr>
            <w:tcW w:w="2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Treatment cycle</w:t>
            </w:r>
          </w:p>
        </w:tc>
        <w:tc>
          <w:tcPr>
            <w:tcW w:w="34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Step-and-dwell (stop, fire, advance)</w:t>
            </w:r>
          </w:p>
        </w:tc>
        <w:tc>
          <w:tcPr>
            <w:tcW w:w="36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Scanner step-and-dwell: stop, traverse-paint, advance 25 cm</w:t>
            </w:r>
          </w:p>
        </w:tc>
      </w:tr>
      <w:tr>
        <w:tc>
          <w:tcPr>
            <w:tcW w:w="2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Advance rate</w:t>
            </w:r>
          </w:p>
        </w:tc>
        <w:tc>
          <w:tcPr>
            <w:tcW w:w="34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0.28-0.43 km/day as printed; ~0.06 km/day energy-consistent</w:t>
            </w:r>
          </w:p>
        </w:tc>
        <w:tc>
          <w:tcPr>
            <w:tcW w:w="36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0.13-0.24 km/day (energy-conserving model)</w:t>
            </w:r>
          </w:p>
        </w:tc>
      </w:tr>
      <w:tr>
        <w:tc>
          <w:tcPr>
            <w:tcW w:w="2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Laser delivery</w:t>
            </w:r>
          </w:p>
        </w:tc>
        <w:tc>
          <w:tcPr>
            <w:tcW w:w="34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Static top-hat heads, 8 sources</w:t>
            </w:r>
          </w:p>
        </w:tc>
        <w:tc>
          <w:tcPr>
            <w:tcW w:w="36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 x 6 kW ECO sources, 2 IPG D33 heads on traverse rails</w:t>
            </w:r>
          </w:p>
        </w:tc>
      </w:tr>
      <w:tr>
        <w:tc>
          <w:tcPr>
            <w:tcW w:w="2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Laser peak power</w:t>
            </w:r>
          </w:p>
        </w:tc>
        <w:tc>
          <w:tcPr>
            <w:tcW w:w="34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16 kW (8 × 2 kW)</w:t>
            </w:r>
          </w:p>
        </w:tc>
        <w:tc>
          <w:tcPr>
            <w:tcW w:w="36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12 kW peak, 10 kW average optical</w:t>
            </w:r>
          </w:p>
        </w:tc>
      </w:tr>
      <w:tr>
        <w:tc>
          <w:tcPr>
            <w:tcW w:w="2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Payload margin</w:t>
            </w:r>
          </w:p>
        </w:tc>
        <w:tc>
          <w:tcPr>
            <w:tcW w:w="34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 (25 kg)</w:t>
            </w:r>
          </w:p>
        </w:tc>
        <w:tc>
          <w:tcPr>
            <w:tcW w:w="36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3.2% (39 kg)</w:t>
            </w:r>
          </w:p>
        </w:tc>
      </w:tr>
      <w:tr>
        <w:tc>
          <w:tcPr>
            <w:tcW w:w="2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Battery architecture</w:t>
            </w:r>
          </w:p>
        </w:tc>
        <w:tc>
          <w:tcPr>
            <w:tcW w:w="34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Fixed 20.5 kWh bank</w:t>
            </w:r>
          </w:p>
        </w:tc>
        <w:tc>
          <w:tcPr>
            <w:tcW w:w="36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 hot-swap 5.12 kWh modules + aux start battery (3rd module optional)</w:t>
            </w:r>
          </w:p>
        </w:tc>
      </w:tr>
      <w:tr>
        <w:tc>
          <w:tcPr>
            <w:tcW w:w="2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Fuel moisture sensing</w:t>
            </w:r>
          </w:p>
        </w:tc>
        <w:tc>
          <w:tcPr>
            <w:tcW w:w="34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Contact skid probe (reactive)</w:t>
            </w:r>
          </w:p>
        </w:tc>
        <w:tc>
          <w:tcPr>
            <w:tcW w:w="36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NIR spectrometer continuous map (predictive)</w:t>
            </w:r>
          </w:p>
        </w:tc>
      </w:tr>
      <w:tr>
        <w:tc>
          <w:tcPr>
            <w:tcW w:w="2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Chillers at base</w:t>
            </w:r>
          </w:p>
        </w:tc>
        <w:tc>
          <w:tcPr>
            <w:tcW w:w="34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 × CWFL-3000</w:t>
            </w:r>
          </w:p>
        </w:tc>
        <w:tc>
          <w:tcPr>
            <w:tcW w:w="36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 × CWFL-3000 (spare stays at base)</w:t>
            </w:r>
          </w:p>
        </w:tc>
      </w:tr>
      <w:tr>
        <w:tc>
          <w:tcPr>
            <w:tcW w:w="2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Emergency water</w:t>
            </w:r>
          </w:p>
        </w:tc>
        <w:tc>
          <w:tcPr>
            <w:tcW w:w="34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55 L dedicated</w:t>
            </w:r>
          </w:p>
        </w:tc>
        <w:tc>
          <w:tcPr>
            <w:tcW w:w="36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25 L + drafting refill diverter</w:t>
            </w:r>
          </w:p>
        </w:tc>
      </w:tr>
      <w:tr>
        <w:tc>
          <w:tcPr>
            <w:tcW w:w="2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Ground anchors</w:t>
            </w:r>
          </w:p>
        </w:tc>
        <w:tc>
          <w:tcPr>
            <w:tcW w:w="34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None</w:t>
            </w:r>
          </w:p>
        </w:tc>
        <w:tc>
          <w:tcPr>
            <w:tcW w:w="36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4 screw-in anchors + winch, 8 kg</w:t>
            </w:r>
          </w:p>
        </w:tc>
      </w:tr>
      <w:tr>
        <w:tc>
          <w:tcPr>
            <w:tcW w:w="2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Char quality check</w:t>
            </w:r>
          </w:p>
        </w:tc>
        <w:tc>
          <w:tcPr>
            <w:tcW w:w="34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OES only</w:t>
            </w:r>
          </w:p>
        </w:tc>
        <w:tc>
          <w:tcPr>
            <w:tcW w:w="362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OES + spring-loaded coring test port</w:t>
            </w:r>
          </w:p>
        </w:tc>
      </w:tr>
      <w:tr>
        <w:tc>
          <w:tcPr>
            <w:tcW w:w="2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Prototype capex</w:t>
            </w:r>
          </w:p>
        </w:tc>
        <w:tc>
          <w:tcPr>
            <w:tcW w:w="34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CAD 488,047</w:t>
            </w:r>
          </w:p>
        </w:tc>
        <w:tc>
          <w:tcPr>
            <w:tcW w:w="36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CAD 800,898</w:t>
            </w:r>
          </w:p>
        </w:tc>
      </w:tr>
      <w:tr>
        <w:tc>
          <w:tcPr>
            <w:tcW w:w="2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Design laser dose</w:t>
            </w:r>
          </w:p>
        </w:tc>
        <w:tc>
          <w:tcPr>
            <w:tcW w:w="34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1.0 MJ/m² (no pre-dry credit)</w:t>
            </w:r>
          </w:p>
        </w:tc>
        <w:tc>
          <w:tcPr>
            <w:tcW w:w="362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0.6 MJ/m² (RF pre-dry credit, Phase 0 validated)</w:t>
            </w:r>
          </w:p>
        </w:tc>
      </w:tr>
    </w:tbl>
    <w:p>
      <w:pPr>
        <w:pStyle w:val="Caption"/>
      </w:pPr>
      <w:r>
        <w:rPr>
          <w:rFonts w:ascii="Calibri" w:hAnsi="Calibri" w:eastAsia="Microsoft YaHei" w:cs="Calibri"/>
          <w:i/>
          <w:color w:val="8C7A6B"/>
          <w:sz w:val="18"/>
          <w:szCs w:val="18"/>
        </w:rPr>
        <w:t>Table 1: Variant differences, Rugged v1.1 against Rugged v1.3.</w:t>
      </w:r>
    </w:p>
    <w:p>
      <w:pPr>
        <w:pStyle w:val="Heading2"/>
      </w:pPr>
      <w:r>
        <w:rPr>
          <w:rFonts w:ascii="Calibri" w:hAnsi="Calibri" w:eastAsia="Microsoft YaHei" w:cs="Calibri"/>
          <w:b/>
          <w:color w:val="A85B36"/>
          <w:sz w:val="26"/>
          <w:szCs w:val="26"/>
        </w:rPr>
        <w:t>1.3 Mission Profile and Treatment Doctrine</w:t>
      </w:r>
    </w:p>
    <w:p>
      <w:pPr>
        <w:pStyle w:val="Normal"/>
        <w:numPr>
          <w:ilvl w:val="0"/>
          <w:numId w:val="1"/>
        </w:numPr>
        <w:spacing w:after="80"/>
      </w:pPr>
      <w:r>
        <w:rPr>
          <w:b/>
          <w:rFonts w:ascii="Calibri" w:hAnsi="Calibri" w:eastAsia="Microsoft YaHei" w:cs="Calibri"/>
          <w:color w:val="3A2E28"/>
          <w:sz w:val="22"/>
          <w:szCs w:val="22"/>
        </w:rPr>
        <w:t xml:space="preserve">Operating environment: </w:t>
      </w:r>
      <w:r>
        <w:rPr>
          <w:rFonts w:ascii="Calibri" w:hAnsi="Calibri" w:eastAsia="Microsoft YaHei" w:cs="Calibri"/>
          <w:color w:val="3A2E28"/>
          <w:sz w:val="22"/>
          <w:szCs w:val="22"/>
        </w:rPr>
        <w:t>unchanged from v1.1: remote fuel corridors, backcountry choke points, steep cutblocks, muskeg and riparian edges, post-logging slash fields, and road-inaccessible WUI perimeters.</w:t>
      </w:r>
    </w:p>
    <w:p>
      <w:pPr>
        <w:pStyle w:val="Normal"/>
        <w:numPr>
          <w:ilvl w:val="0"/>
          <w:numId w:val="1"/>
        </w:numPr>
        <w:spacing w:after="80"/>
      </w:pPr>
      <w:r>
        <w:rPr>
          <w:b/>
          <w:rFonts w:ascii="Calibri" w:hAnsi="Calibri" w:eastAsia="Microsoft YaHei" w:cs="Calibri"/>
          <w:color w:val="3A2E28"/>
          <w:sz w:val="22"/>
          <w:szCs w:val="22"/>
        </w:rPr>
        <w:t xml:space="preserve">Treatment geometry: </w:t>
      </w:r>
      <w:r>
        <w:rPr>
          <w:rFonts w:ascii="Calibri" w:hAnsi="Calibri" w:eastAsia="Microsoft YaHei" w:cs="Calibri"/>
          <w:color w:val="3A2E28"/>
          <w:sz w:val="22"/>
          <w:szCs w:val="22"/>
        </w:rPr>
        <w:t>four staggered 0.5 m carbonized belts with 1.0 to 1.2 m untreated gaps, painted in a single 5.5 m corridor pass.</w:t>
      </w:r>
    </w:p>
    <w:p>
      <w:pPr>
        <w:pStyle w:val="Normal"/>
        <w:numPr>
          <w:ilvl w:val="0"/>
          <w:numId w:val="1"/>
        </w:numPr>
        <w:spacing w:after="80"/>
      </w:pPr>
      <w:r>
        <w:rPr>
          <w:b/>
          <w:rFonts w:ascii="Calibri" w:hAnsi="Calibri" w:eastAsia="Microsoft YaHei" w:cs="Calibri"/>
          <w:color w:val="3A2E28"/>
          <w:sz w:val="22"/>
          <w:szCs w:val="22"/>
        </w:rPr>
        <w:t xml:space="preserve">Treatment cycle: </w:t>
      </w:r>
      <w:r>
        <w:rPr>
          <w:rFonts w:ascii="Calibri" w:hAnsi="Calibri" w:eastAsia="Microsoft YaHei" w:cs="Calibri"/>
          <w:color w:val="3A2E28"/>
          <w:sz w:val="22"/>
          <w:szCs w:val="22"/>
        </w:rPr>
        <w:t>scanner step-and-dwell. The vehicle stops; both scan heads paint their belt pairs through the galvanometric field and the traverse rail during a 23 to 45 s dwell; the vehicle then advances 25 cm and repeats. Dwell time, not vehicle speed, sets the delivered dose, and one stop treats the full corridor width.</w:t>
      </w:r>
    </w:p>
    <w:p>
      <w:pPr>
        <w:pStyle w:val="Normal"/>
        <w:numPr>
          <w:ilvl w:val="0"/>
          <w:numId w:val="1"/>
        </w:numPr>
        <w:spacing w:after="80"/>
      </w:pPr>
      <w:r>
        <w:rPr>
          <w:b/>
          <w:rFonts w:ascii="Calibri" w:hAnsi="Calibri" w:eastAsia="Microsoft YaHei" w:cs="Calibri"/>
          <w:color w:val="3A2E28"/>
          <w:sz w:val="22"/>
          <w:szCs w:val="22"/>
        </w:rPr>
        <w:t xml:space="preserve">Daily output: </w:t>
      </w:r>
      <w:r>
        <w:rPr>
          <w:rFonts w:ascii="Calibri" w:hAnsi="Calibri" w:eastAsia="Microsoft YaHei" w:cs="Calibri"/>
          <w:color w:val="3A2E28"/>
          <w:sz w:val="22"/>
          <w:szCs w:val="22"/>
        </w:rPr>
        <w:t>0.13 to 0.24 km of four-belt corridor per unit per 8-hour day, depending on fuel dose (0.19 km at the 0.6 MJ/m² design point). A fleet of four to six units treats a 10 km remote perimeter in two to three weeks.</w:t>
      </w:r>
    </w:p>
    <w:p>
      <w:pPr>
        <w:pStyle w:val="Normal"/>
        <w:numPr>
          <w:ilvl w:val="0"/>
          <w:numId w:val="1"/>
        </w:numPr>
        <w:spacing w:after="80"/>
      </w:pPr>
      <w:r>
        <w:rPr>
          <w:b/>
          <w:rFonts w:ascii="Calibri" w:hAnsi="Calibri" w:eastAsia="Microsoft YaHei" w:cs="Calibri"/>
          <w:color w:val="3A2E28"/>
          <w:sz w:val="22"/>
          <w:szCs w:val="22"/>
        </w:rPr>
        <w:t xml:space="preserve">Transit advantage: </w:t>
      </w:r>
      <w:r>
        <w:rPr>
          <w:rFonts w:ascii="Calibri" w:hAnsi="Calibri" w:eastAsia="Microsoft YaHei" w:cs="Calibri"/>
          <w:color w:val="3A2E28"/>
          <w:sz w:val="22"/>
          <w:szCs w:val="22"/>
        </w:rPr>
        <w:t>40 km/h land speed and amphibious crossing connect distant segments in a single day; 327 L of onboard diesel supports 20 to 25 hours of combined operation.</w:t>
      </w:r>
    </w:p>
    <w:p>
      <w:pPr>
        <w:pStyle w:val="Heading1"/>
      </w:pPr>
      <w:r>
        <w:rPr>
          <w:rFonts w:ascii="Calibri Light" w:hAnsi="Calibri Light" w:eastAsia="Microsoft YaHei" w:cs="Calibri Light"/>
          <w:b/>
          <w:color w:val="7B3F24"/>
          <w:sz w:val="34"/>
          <w:szCs w:val="34"/>
        </w:rPr>
        <w:t>2. Payload: Weight Savings Against the Scale-Up Trade</w:t>
      </w:r>
    </w:p>
    <w:p>
      <w:pPr>
        <w:pStyle w:val="Heading2"/>
      </w:pPr>
      <w:r>
        <w:rPr>
          <w:rFonts w:ascii="Calibri" w:hAnsi="Calibri" w:eastAsia="Microsoft YaHei" w:cs="Calibri"/>
          <w:b/>
          <w:color w:val="A85B36"/>
          <w:sz w:val="26"/>
          <w:szCs w:val="26"/>
        </w:rPr>
        <w:t>2.1 Five Weight-Saving Changes</w:t>
      </w:r>
    </w:p>
    <w:p>
      <w:pPr>
        <w:pStyle w:val="Normal"/>
      </w:pPr>
      <w:r>
        <w:rPr>
          <w:rFonts w:ascii="Calibri" w:hAnsi="Calibri" w:eastAsia="Microsoft YaHei" w:cs="Calibri"/>
          <w:color w:val="3A2E28"/>
          <w:sz w:val="22"/>
          <w:szCs w:val="22"/>
        </w:rPr>
        <w:t>The v1.1 payload budget ran 1,175 kg aboard a 1,200 kg rating, a 2 percent margin. Five changes recover roughly 141 kg against that baseline. None compromises treatment quality or safety; each removes mass that the mission profile does not actually consume. The v1.3 scale-up hardware then adds about 260 kg: the second laser source, second scan head, larger generator, traverse rails, and onboard radiator. Compensating trims to the PCM buffer, battery fit, rack, and stabilization tank recover about 160 kg, and Table 3 books the RF pre-dryer explicitly for the first time. The budget closes at 1,161 kg, a 3.2 percent margin.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400"/>
        <w:gridCol w:w="3640"/>
        <w:gridCol w:w="3600"/>
      </w:tblGrid>
      <w:tr>
        <w:trPr>
          <w:tblHeader w:val="1"/>
        </w:trPr>
        <w:tc>
          <w:tcPr>
            <w:tcW w:w="24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Change</w:t>
            </w:r>
          </w:p>
        </w:tc>
        <w:tc>
          <w:tcPr>
            <w:tcW w:w="36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Rationale</w:t>
            </w:r>
          </w:p>
        </w:tc>
        <w:tc>
          <w:tcPr>
            <w:tcW w:w="36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Mass saved (kg)</w:t>
            </w:r>
          </w:p>
        </w:tc>
      </w:tr>
      <w:tr>
        <w:tc>
          <w:tcPr>
            <w:tcW w:w="2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 Emergency suppression tank 55 L to 25 L</w:t>
            </w:r>
          </w:p>
        </w:tc>
        <w:tc>
          <w:tcPr>
            <w:tcW w:w="3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A 2-5 s burst at 40 L/min needs 3.5 L, not 55 L. The tank refills in minutes from the drafting pump via a new 3-way diverter valve.</w:t>
            </w:r>
          </w:p>
        </w:tc>
        <w:tc>
          <w:tcPr>
            <w:tcW w:w="3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30</w:t>
            </w:r>
          </w:p>
        </w:tc>
      </w:tr>
      <w:tr>
        <w:tc>
          <w:tcPr>
            <w:tcW w:w="2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 Single chiller at base</w:t>
            </w:r>
          </w:p>
        </w:tc>
        <w:tc>
          <w:tcPr>
            <w:tcW w:w="3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One CWFL-3000 reconditions the 90 kg PCM overnight. The second chiller stays at base as a spare, off the vehicle. A quick-disconnect coupler simplifies the loop.</w:t>
            </w:r>
          </w:p>
        </w:tc>
        <w:tc>
          <w:tcPr>
            <w:tcW w:w="3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28 (off-vehicle logistics)</w:t>
            </w:r>
          </w:p>
        </w:tc>
      </w:tr>
      <w:tr>
        <w:tc>
          <w:tcPr>
            <w:tcW w:w="2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 Stabilization mix 110 L to 18 L aboard</w:t>
            </w:r>
          </w:p>
        </w:tc>
        <w:tc>
          <w:tcPr>
            <w:tcW w:w="3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At 50 L/ha and 0.07-0.13 ha/day output, about 5 L of mix suffices per day; 18 L aboard covers three days. The drafting pump refills from any water body.</w:t>
            </w:r>
          </w:p>
        </w:tc>
        <w:tc>
          <w:tcPr>
            <w:tcW w:w="3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92 (fluid mass)</w:t>
            </w:r>
          </w:p>
        </w:tc>
      </w:tr>
      <w:tr>
        <w:tc>
          <w:tcPr>
            <w:tcW w:w="2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4. 7075-T6 truss rack</w:t>
            </w:r>
          </w:p>
        </w:tc>
        <w:tc>
          <w:tcPr>
            <w:tcW w:w="3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Replace solid-plate 80/20 rack with high-strength 7075-T6 aluminum truss arms. Same stiffness, validated in Phase 1 structural analysis.</w:t>
            </w:r>
          </w:p>
        </w:tc>
        <w:tc>
          <w:tcPr>
            <w:tcW w:w="3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15</w:t>
            </w:r>
          </w:p>
        </w:tc>
      </w:tr>
      <w:tr>
        <w:tc>
          <w:tcPr>
            <w:tcW w:w="2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5. Intermittent-duty air compressor</w:t>
            </w:r>
          </w:p>
        </w:tc>
        <w:tc>
          <w:tcPr>
            <w:tcW w:w="3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Viair 400C (smaller, lighter) plus a 1 L receiver buffers flow; the knife runs only during treatment cycles (40-50% duty).</w:t>
            </w:r>
          </w:p>
        </w:tc>
        <w:tc>
          <w:tcPr>
            <w:tcW w:w="3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4</w:t>
            </w:r>
          </w:p>
        </w:tc>
      </w:tr>
      <w:tr>
        <w:tc>
          <w:tcPr>
            <w:tcW w:w="2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Total recovered</w:t>
            </w:r>
          </w:p>
        </w:tc>
        <w:tc>
          <w:tcPr>
            <w:tcW w:w="3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
            </w:r>
          </w:p>
        </w:tc>
        <w:tc>
          <w:tcPr>
            <w:tcW w:w="3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≈141 (plus 28 kg off-vehicle logistics)</w:t>
            </w:r>
          </w:p>
        </w:tc>
      </w:tr>
    </w:tbl>
    <w:p>
      <w:pPr>
        <w:pStyle w:val="Caption"/>
      </w:pPr>
      <w:r>
        <w:rPr>
          <w:rFonts w:ascii="Calibri" w:hAnsi="Calibri" w:eastAsia="Microsoft YaHei" w:cs="Calibri"/>
          <w:i/>
          <w:color w:val="8C7A6B"/>
          <w:sz w:val="18"/>
          <w:szCs w:val="18"/>
        </w:rPr>
        <w:t>Table 2: Weight-saving changes carried into v1.3.</w:t>
      </w:r>
    </w:p>
    <w:p>
      <w:pPr>
        <w:pStyle w:val="Heading2"/>
      </w:pPr>
      <w:r>
        <w:rPr>
          <w:rFonts w:ascii="Calibri" w:hAnsi="Calibri" w:eastAsia="Microsoft YaHei" w:cs="Calibri"/>
          <w:b/>
          <w:color w:val="A85B36"/>
          <w:sz w:val="26"/>
          <w:szCs w:val="26"/>
        </w:rPr>
        <w:t>2.2 Recovered Mass Budget and Margin</w:t>
      </w:r>
    </w:p>
    <w:p>
      <w:pPr>
        <w:pStyle w:val="Normal"/>
      </w:pPr>
      <w:r>
        <w:rPr>
          <w:rFonts w:ascii="Calibri" w:hAnsi="Calibri" w:eastAsia="Microsoft YaHei" w:cs="Calibri"/>
          <w:color w:val="3A2E28"/>
          <w:sz w:val="22"/>
          <w:szCs w:val="22"/>
        </w:rPr>
        <w:t>Applying the five changes, adding the scale-up hardware, and booking every subsystem explicitly yields the v1.3 budget. The margin settles at 3.2 percent (39 kg), slimmer than the erroneous v1.2 figure of 9.5 percent, which also omitted the RF pre-dryer and summed its own line items incorrectly. Mission-scaled battery modules and the drafting refill keep the slim margin workable; every configuration change triggers a payload re-weigh.</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5000"/>
        <w:gridCol w:w="1900"/>
        <w:gridCol w:w="2740"/>
      </w:tblGrid>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Onboard payload item</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Mass (kg)</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Notes</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30 kW compact generator in isolated compartment</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390</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Prime-rated vehicle-mount class, Section 10 (was 20 kW)</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Battery system (2 hot-swap modules + aux)</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102</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10.1; 3rd module optional (+50 kg)</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 x IPG YLS-6000-ECO 6 kW laser sources + fibers</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240</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50% wall-plug class, water-cooled</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 x IPG D33 scan heads + mounting</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56</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6.2; dual-head redundancy</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Cross-corridor traverse rails + drives</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10</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6.2; positions each head across two belts</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7075-T6 truss rack, linkage, actuators</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60</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6.3; shorter arms for 0.5 m belts</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Onboard radiator, fans, glycol loop</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30</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6.4; 15 kW steady-state heat rejection</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PCM transient buffer panels</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30</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6.4; was 105 kg, radiator takes steady state</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Sensing suite incl. NIR spectrometer</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22</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8</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Compute and control electronics</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15</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Jetson, Beckhoff, enclosures</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RF pre-dryer module</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62</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7; booked explicitly for the first time</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Stabilization spray with 18 L fluid</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45</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11.1; 30 L tank</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Emergency suppression with 22 L fluid</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42</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11.2</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Air knife + Viair 400C + receiver</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10</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6.5</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Teleoperation conversion kit</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25</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5.2</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Ground anchor system</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9</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5.3</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Char quality test port</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Section 8.2</w:t>
            </w:r>
          </w:p>
        </w:tc>
      </w:tr>
      <w:tr>
        <w:trPr>
          <w:tblHeader w:val="1"/>
        </w:trPr>
        <w:tc>
          <w:tcPr>
            <w:tcW w:w="5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Cabling, shielding, misc.</w:t>
            </w:r>
          </w:p>
        </w:tc>
        <w:tc>
          <w:tcPr>
            <w:tcW w:w="1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12</w:t>
            </w:r>
          </w:p>
        </w:tc>
        <w:tc>
          <w:tcPr>
            <w:tcW w:w="27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Short-run harness incl. second source</w:t>
            </w:r>
          </w:p>
        </w:tc>
      </w:tr>
      <w:tr>
        <w:trPr>
          <w:tblHeader w:val="1"/>
        </w:trPr>
        <w:tc>
          <w:tcPr>
            <w:tcW w:w="5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Total payload</w:t>
            </w:r>
          </w:p>
        </w:tc>
        <w:tc>
          <w:tcPr>
            <w:tcW w:w="1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1,161</w:t>
            </w:r>
          </w:p>
        </w:tc>
        <w:tc>
          <w:tcPr>
            <w:tcW w:w="27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vs. 1,200 kg rated payload: 3.2% margin</w:t>
            </w:r>
          </w:p>
        </w:tc>
      </w:tr>
    </w:tbl>
    <w:p>
      <w:pPr>
        <w:pStyle w:val="Caption"/>
      </w:pPr>
      <w:r>
        <w:rPr>
          <w:rFonts w:ascii="Calibri" w:hAnsi="Calibri" w:eastAsia="Microsoft YaHei" w:cs="Calibri"/>
          <w:i/>
          <w:color w:val="8C7A6B"/>
          <w:sz w:val="18"/>
          <w:szCs w:val="18"/>
        </w:rPr>
        <w:t>Table 3: Recovered payload allocation against the SHERP N 1200 rating.</w:t>
      </w:r>
    </w:p>
    <w:p>
      <w:pPr>
        <w:pStyle w:val="Heading1"/>
      </w:pPr>
      <w:r>
        <w:rPr>
          <w:rFonts w:ascii="Calibri Light" w:hAnsi="Calibri Light" w:eastAsia="Microsoft YaHei" w:cs="Calibri Light"/>
          <w:b/>
          <w:color w:val="7B3F24"/>
          <w:sz w:val="34"/>
          <w:szCs w:val="34"/>
        </w:rPr>
        <w:t>3. Scanner Step-and-Dwell Treatment</w:t>
      </w:r>
    </w:p>
    <w:p>
      <w:pPr>
        <w:pStyle w:val="Heading2"/>
      </w:pPr>
      <w:r>
        <w:rPr>
          <w:rFonts w:ascii="Calibri" w:hAnsi="Calibri" w:eastAsia="Microsoft YaHei" w:cs="Calibri"/>
          <w:b/>
          <w:color w:val="A85B36"/>
          <w:sz w:val="26"/>
          <w:szCs w:val="26"/>
        </w:rPr>
        <w:t>3.1 The Energy-Balance Error and Its Correction</w:t>
      </w:r>
    </w:p>
    <w:p>
      <w:pPr>
        <w:pStyle w:val="Normal"/>
      </w:pPr>
      <w:r>
        <w:rPr>
          <w:rFonts w:ascii="Calibri" w:hAnsi="Calibri" w:eastAsia="Microsoft YaHei" w:cs="Calibri"/>
          <w:color w:val="3A2E28"/>
          <w:sz w:val="22"/>
          <w:szCs w:val="22"/>
        </w:rPr>
        <w:t>The energy audit anchors on one relation: corridor speed equals average optical power divided by the product of dose and treated width. Nothing else moves the number. Pulse timing, burst structure, and scanner choreography distribute energy across the corridor; they do not create it. The v1.2 stroboscopic tables violated that relation: at 2 km/h across 2.8 m of treated width and the stated 1.0 MJ/m² dose, they implied roughly 311 kW of average optical power from an array that delivers 2.1 kW on average, so each patch received a few kilojoules per square metre rather than the megajoule the design requires. The v1.1 tables carried the same error by a smaller factor, and Mk I by a smaller factor still.</w:t>
      </w:r>
    </w:p>
    <w:p>
      <w:pPr>
        <w:pStyle w:val="Normal"/>
      </w:pPr>
      <w:r>
        <w:rPr>
          <w:rFonts w:ascii="Calibri" w:hAnsi="Calibri" w:eastAsia="Microsoft YaHei" w:cs="Calibri"/>
          <w:color w:val="3A2E28"/>
          <w:sz w:val="22"/>
          <w:szCs w:val="22"/>
        </w:rPr>
        <w:t>Version 1.3 rebuilds every throughput figure from that relation. Average optical power rises to 10 kW: two 6 kW ECO sources at 83 percent duty and 50 percent wall-plug efficiency, inside the prime rating of a 30 kW generator. The treated width drops to 2.0 m with four 0.5 m belts. The RF pre-dryer earns a validated dose credit: its continuous 1.6 kW ahead of the beam removes moisture and preheats the fuel bed, and short scanner dwells at high irradiance lose less energy to soil conduction than long static dwells, so Phase 0 re-derives the laser design dose at 0.6 MJ/m². The result is an honest corridor speed of about 26 m per hour at the design dose.</w:t>
      </w:r>
    </w:p>
    <w:p>
      <w:pPr>
        <w:pStyle w:val="Normal"/>
        <w:keepNext/>
        <w:spacing w:before="200" w:after="60"/>
        <w:jc w:val="center"/>
      </w:pPr>
      <w:r>
        <w:drawing>
          <wp:inline distT="0" distB="0" distL="0" distR="0">
            <wp:extent cx="5400000" cy="2992084"/>
            <wp:effectExtent l="0" t="0" r="0" b="0"/>
            <wp:docPr id="100" name="StroboscopicTiming"/>
            <wp:cNvGraphicFramePr>
              <a:graphicFrameLocks noChangeAspect="1"/>
            </wp:cNvGraphicFramePr>
            <a:graphic>
              <a:graphicData uri="http://schemas.openxmlformats.org/drawingml/2006/picture">
                <pic:pic>
                  <pic:nvPicPr>
                    <pic:cNvPr id="0" name="StroboscopicTiming.png"/>
                    <pic:cNvPicPr/>
                  </pic:nvPicPr>
                  <pic:blipFill>
                    <a:blip r:embed="R20a3d77fec614563"/>
                    <a:stretch>
                      <a:fillRect/>
                    </a:stretch>
                  </pic:blipFill>
                  <pic:spPr>
                    <a:xfrm>
                      <a:off x="0" y="0"/>
                      <a:ext cx="5400000" cy="2992084"/>
                    </a:xfrm>
                    <a:prstGeom prst="rect"/>
                  </pic:spPr>
                </pic:pic>
              </a:graphicData>
            </a:graphic>
          </wp:inline>
        </w:drawing>
      </w:r>
    </w:p>
    <w:p>
      <w:pPr>
        <w:pStyle w:val="Caption"/>
      </w:pPr>
      <w:r>
        <w:rPr>
          <w:rFonts w:ascii="Calibri" w:hAnsi="Calibri" w:eastAsia="Microsoft YaHei" w:cs="Calibri"/>
          <w:i/>
          <w:color w:val="8C7A6B"/>
          <w:sz w:val="18"/>
          <w:szCs w:val="18"/>
        </w:rPr>
        <w:t>Figure 1: Scanner step-and-dwell timing: 23 to 45 s traverse-painted dwells, 25 cm advances.</w:t>
      </w:r>
    </w:p>
    <w:p>
      <w:pPr>
        <w:pStyle w:val="Heading2"/>
      </w:pPr>
      <w:r>
        <w:rPr>
          <w:rFonts w:ascii="Calibri" w:hAnsi="Calibri" w:eastAsia="Microsoft YaHei" w:cs="Calibri"/>
          <w:b/>
          <w:color w:val="A85B36"/>
          <w:sz w:val="26"/>
          <w:szCs w:val="26"/>
        </w:rPr>
        <w:t>3.2 Dual D33 Scan Heads and Corridor Coverage</w:t>
      </w:r>
    </w:p>
    <w:p>
      <w:pPr>
        <w:pStyle w:val="Normal"/>
      </w:pPr>
      <w:r>
        <w:rPr>
          <w:rFonts w:ascii="Calibri" w:hAnsi="Calibri" w:eastAsia="Microsoft YaHei" w:cs="Calibri"/>
          <w:color w:val="3A2E28"/>
          <w:sz w:val="22"/>
          <w:szCs w:val="22"/>
        </w:rPr>
        <w:t>The treatment optic changes from the single-head v1.2 arrangement to two IPG D33 ultra-high-power galvanometric scan heads, one per 6 kW source. Each D33 handles 12 kW multimode laser power, carries an IP67 rating, and scans a 250 × 250 mm field from a 500 mm focal length at a 630 mm working distance. The v1.2 layout asked one head to cover the full 5.5 m corridor through galvo jumps alone, but the galvo field spans only 250 mm; that coverage claim failed alongside the energy figures. In v1.3 each head rides a cross-corridor traverse rail with 1.3 m of travel and paints two 0.5 m belts, tiling 250 mm fields along each belt during the dwell. Two heads cover all four belts from one stop, and the pair restores redundancy: a single head fault degrades the corridor to half width rather than ending treatment.</w:t>
      </w:r>
    </w:p>
    <w:p>
      <w:pPr>
        <w:pStyle w:val="Normal"/>
      </w:pPr>
      <w:r>
        <w:rPr>
          <w:rFonts w:ascii="Calibri" w:hAnsi="Calibri" w:eastAsia="Microsoft YaHei" w:cs="Calibri"/>
          <w:color w:val="3A2E28"/>
          <w:sz w:val="22"/>
          <w:szCs w:val="22"/>
        </w:rPr>
        <w:t>During each dwell the vehicle stands still, so belt-edge blur disappears as a design variable. The galvo sweeps the beam within each 250 mm field at high irradiance while the traverse repositions the head between fields in about a second. The Jetson controller sequences fields, heads, and advances from RTK-corrected wheel odometry and scanner position feedback, holding patch registration to under 2 cm per kilometre. The 5-degree off-normal window angle and air purge carry over to manage reflections and contamination.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800"/>
        <w:gridCol w:w="5840"/>
      </w:tblGrid>
      <w:tr>
        <w:trPr>
          <w:tblHeader w:val="1"/>
        </w:trPr>
        <w:tc>
          <w:tcPr>
            <w:tcW w:w="38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Treatment parameter</w:t>
            </w:r>
          </w:p>
        </w:tc>
        <w:tc>
          <w:tcPr>
            <w:tcW w:w="58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Value</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Vehicle motion during dwell</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Stationary (step-and-dwell)</w:t>
            </w:r>
          </w:p>
        </w:tc>
      </w:tr>
      <w:tr>
        <w:tc>
          <w:tcPr>
            <w:tcW w:w="3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Strip treated per stop</w:t>
            </w:r>
          </w:p>
        </w:tc>
        <w:tc>
          <w:tcPr>
            <w:tcW w:w="58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0.25 m along corridor, full 5.5 m width</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Dwell time per stop</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23-45 s (dose-dependent)</w:t>
            </w:r>
          </w:p>
        </w:tc>
      </w:tr>
      <w:tr>
        <w:tc>
          <w:tcPr>
            <w:tcW w:w="3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Advance and settle per cycle</w:t>
            </w:r>
          </w:p>
        </w:tc>
        <w:tc>
          <w:tcPr>
            <w:tcW w:w="58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~4 s (25 cm at 2 km/h plus settling)</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Average optical power</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10 kW (12 kW peak, 83% duty)</w:t>
            </w:r>
          </w:p>
        </w:tc>
      </w:tr>
      <w:tr>
        <w:tc>
          <w:tcPr>
            <w:tcW w:w="3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Patch registration</w:t>
            </w:r>
          </w:p>
        </w:tc>
        <w:tc>
          <w:tcPr>
            <w:tcW w:w="58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&lt;2 cm per kilometre (RTK odometry + scanner feedback)</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Belt-edge blur</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None (stationary dwell)</w:t>
            </w:r>
          </w:p>
        </w:tc>
      </w:tr>
      <w:tr>
        <w:tc>
          <w:tcPr>
            <w:tcW w:w="3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Scan heads</w:t>
            </w:r>
          </w:p>
        </w:tc>
        <w:tc>
          <w:tcPr>
            <w:tcW w:w="58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 x IPG D33, 12 kW rated each, 250 × 250 mm field, F500, IP67</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Laser sources</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 x IPG YLS-6000-ECO, 6 kW multimode CW fiber, 1080 nm, 50% wall-plug</w:t>
            </w:r>
          </w:p>
        </w:tc>
      </w:tr>
    </w:tbl>
    <w:p>
      <w:pPr>
        <w:pStyle w:val="Caption"/>
      </w:pPr>
      <w:r>
        <w:rPr>
          <w:rFonts w:ascii="Calibri" w:hAnsi="Calibri" w:eastAsia="Microsoft YaHei" w:cs="Calibri"/>
          <w:i/>
          <w:color w:val="8C7A6B"/>
          <w:sz w:val="18"/>
          <w:szCs w:val="18"/>
        </w:rPr>
        <w:t>Table 4: Scanner step-and-dwell treatment parameters.</w:t>
      </w:r>
    </w:p>
    <w:p>
      <w:pPr>
        <w:pStyle w:val="Heading2"/>
      </w:pPr>
      <w:r>
        <w:rPr>
          <w:rFonts w:ascii="Calibri" w:hAnsi="Calibri" w:eastAsia="Microsoft YaHei" w:cs="Calibri"/>
          <w:b/>
          <w:color w:val="A85B36"/>
          <w:sz w:val="26"/>
          <w:szCs w:val="26"/>
        </w:rPr>
        <w:t>3.3 Energy-Conserving Throughput Model</w:t>
      </w:r>
    </w:p>
    <w:p>
      <w:pPr>
        <w:pStyle w:val="Normal"/>
      </w:pPr>
      <w:r>
        <w:rPr>
          <w:rFonts w:ascii="Calibri" w:hAnsi="Calibri" w:eastAsia="Microsoft YaHei" w:cs="Calibri"/>
          <w:color w:val="3A2E28"/>
          <w:sz w:val="22"/>
          <w:szCs w:val="22"/>
        </w:rPr>
        <w:t>The throughput model now starts from energy conservation. Each stop treats a 0.25 m strip across the full corridor: 0.5 m² of carbonized belt at the 0.6 MJ/m² design dose, or 300 kJ. At 10 kW of average optical power the dwell runs 30 s; advance and settling add about 4 s, giving a 34 s cycle and 26 m per hour. Dry lanes drop the dose to 0.45 MJ/m² and wet lanes raise it to 0.9 MJ/m², and the dwell scales in proportion. At 90 percent field uptime the unit delivers 0.19 km of four-belt corridor per 8-hour day at the design point, and 0.13 to 0.24 km across the dose range. Every figure in this table divides average optical power by dose and treated width; Phase 0 bench campaigns verify the model before any field claim advances.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000"/>
        <w:gridCol w:w="2000"/>
        <w:gridCol w:w="2200"/>
        <w:gridCol w:w="3440"/>
      </w:tblGrid>
      <w:tr>
        <w:trPr>
          <w:tblHeader w:val="1"/>
        </w:trPr>
        <w:tc>
          <w:tcPr>
            <w:tcW w:w="2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Fuel dose</w:t>
            </w:r>
          </w:p>
        </w:tc>
        <w:tc>
          <w:tcPr>
            <w:tcW w:w="2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Dwell per stop</w:t>
            </w:r>
          </w:p>
        </w:tc>
        <w:tc>
          <w:tcPr>
            <w:tcW w:w="22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Cycle time</w:t>
            </w:r>
          </w:p>
        </w:tc>
        <w:tc>
          <w:tcPr>
            <w:tcW w:w="34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Four-belt corridor per 8 h day</w:t>
            </w:r>
          </w:p>
        </w:tc>
      </w:tr>
      <w:tr>
        <w:trPr>
          <w:tblHeader w:val="1"/>
        </w:trPr>
        <w:tc>
          <w:tcPr>
            <w:tcW w:w="2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0.45 MJ/m² (dry lanes)</w:t>
            </w:r>
          </w:p>
        </w:tc>
        <w:tc>
          <w:tcPr>
            <w:tcW w:w="2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23 s</w:t>
            </w:r>
          </w:p>
        </w:tc>
        <w:tc>
          <w:tcPr>
            <w:tcW w:w="22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27 s</w:t>
            </w:r>
          </w:p>
        </w:tc>
        <w:tc>
          <w:tcPr>
            <w:tcW w:w="34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0.24 km</w:t>
            </w:r>
          </w:p>
        </w:tc>
      </w:tr>
      <w:tr>
        <w:trPr>
          <w:tblHeader w:val="1"/>
        </w:trPr>
        <w:tc>
          <w:tcPr>
            <w:tcW w:w="2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0.6 MJ/m² (design point)</w:t>
            </w:r>
          </w:p>
        </w:tc>
        <w:tc>
          <w:tcPr>
            <w:tcW w:w="2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30 s</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34 s</w:t>
            </w:r>
          </w:p>
        </w:tc>
        <w:tc>
          <w:tcPr>
            <w:tcW w:w="34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0.19 km</w:t>
            </w:r>
          </w:p>
        </w:tc>
      </w:tr>
      <w:tr>
        <w:trPr>
          <w:tblHeader w:val="1"/>
        </w:trPr>
        <w:tc>
          <w:tcPr>
            <w:tcW w:w="2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0.9 MJ/m² (wet lanes)</w:t>
            </w:r>
          </w:p>
        </w:tc>
        <w:tc>
          <w:tcPr>
            <w:tcW w:w="2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45 s</w:t>
            </w:r>
          </w:p>
        </w:tc>
        <w:tc>
          <w:tcPr>
            <w:tcW w:w="22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49 s</w:t>
            </w:r>
          </w:p>
        </w:tc>
        <w:tc>
          <w:tcPr>
            <w:tcW w:w="34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0.13 km</w:t>
            </w:r>
          </w:p>
        </w:tc>
      </w:tr>
    </w:tbl>
    <w:p>
      <w:pPr>
        <w:pStyle w:val="Caption"/>
      </w:pPr>
      <w:r>
        <w:rPr>
          <w:rFonts w:ascii="Calibri" w:hAnsi="Calibri" w:eastAsia="Microsoft YaHei" w:cs="Calibri"/>
          <w:i/>
          <w:color w:val="8C7A6B"/>
          <w:sz w:val="18"/>
          <w:szCs w:val="18"/>
        </w:rPr>
        <w:t>Table 5: Energy-conserving throughput sensitivity to fuel dose (90% field uptime).</w:t>
      </w:r>
    </w:p>
    <w:p>
      <w:pPr>
        <w:pStyle w:val="Heading2"/>
      </w:pPr>
      <w:r>
        <w:rPr>
          <w:rFonts w:ascii="Calibri" w:hAnsi="Calibri" w:eastAsia="Microsoft YaHei" w:cs="Calibri"/>
          <w:b/>
          <w:color w:val="A85B36"/>
          <w:sz w:val="26"/>
          <w:szCs w:val="26"/>
        </w:rPr>
        <w:t>3.4 Why Continuous-Motion Treatment Drops Out</w:t>
      </w:r>
    </w:p>
    <w:p>
      <w:pPr>
        <w:pStyle w:val="Normal"/>
      </w:pPr>
      <w:r>
        <w:rPr>
          <w:rFonts w:ascii="Calibri" w:hAnsi="Calibri" w:eastAsia="Microsoft YaHei" w:cs="Calibri"/>
          <w:color w:val="3A2E28"/>
          <w:sz w:val="22"/>
          <w:szCs w:val="22"/>
        </w:rPr>
        <w:t>Continuous-motion treatment at the SHERP's 2 km/h minimum drivetrain speed survives only where the product of dose and treated width stays under about 5.4 kJ per metre of corridor at 10 kW average optical power, a light scorch rather than carbonization. A genuine crawl at 26 m per hour sits two orders of magnitude below the drivetrain minimum, so the vehicle steps instead. An electric creep drive that enables true moving treatment at energy-consistent speed enters the Mk III option list alongside the polygon scanner (Section 21). The scanner-driven step-and-dwell cycle stands as the primary and only treatment mode in v1.3, and the scan heads eliminate the rack repositioning that slowed v1.1.</w:t>
      </w:r>
    </w:p>
    <w:p>
      <w:pPr>
        <w:pStyle w:val="Heading1"/>
      </w:pPr>
      <w:r>
        <w:rPr>
          <w:rFonts w:ascii="Calibri Light" w:hAnsi="Calibri Light" w:eastAsia="Microsoft YaHei" w:cs="Calibri Light"/>
          <w:b/>
          <w:color w:val="7B3F24"/>
          <w:sz w:val="34"/>
          <w:szCs w:val="34"/>
        </w:rPr>
        <w:t>4. System Architecture</w:t>
      </w:r>
    </w:p>
    <w:p>
      <w:pPr>
        <w:pStyle w:val="Heading2"/>
      </w:pPr>
      <w:r>
        <w:rPr>
          <w:rFonts w:ascii="Calibri" w:hAnsi="Calibri" w:eastAsia="Microsoft YaHei" w:cs="Calibri"/>
          <w:b/>
          <w:color w:val="A85B36"/>
          <w:sz w:val="26"/>
          <w:szCs w:val="26"/>
        </w:rPr>
        <w:t>4.1 Single-Element Layout and Mass Budget</w:t>
      </w:r>
    </w:p>
    <w:p>
      <w:pPr>
        <w:pStyle w:val="Normal"/>
      </w:pPr>
      <w:r>
        <w:rPr>
          <w:rFonts w:ascii="Calibri" w:hAnsi="Calibri" w:eastAsia="Microsoft YaHei" w:cs="Calibri"/>
          <w:color w:val="3A2E28"/>
          <w:sz w:val="22"/>
          <w:szCs w:val="22"/>
        </w:rPr>
        <w:t>The single-element SHERP layout carries over from v1.1. Section 2 details the corrected mass budget: total onboard payload lands at 1,161 kg, a 3.2 percent margin against the 1,200 kg rating. The generator compartment grows for the 30 kW unit, the hull battery cradle takes two hot-swap modules with room for the optional third, the front rack carries both scan heads and the traverse rails, and the sensor mast carries over unchanged.</w:t>
      </w:r>
    </w:p>
    <w:p>
      <w:pPr>
        <w:pStyle w:val="Heading2"/>
      </w:pPr>
      <w:r>
        <w:rPr>
          <w:rFonts w:ascii="Calibri" w:hAnsi="Calibri" w:eastAsia="Microsoft YaHei" w:cs="Calibri"/>
          <w:b/>
          <w:color w:val="A85B36"/>
          <w:sz w:val="26"/>
          <w:szCs w:val="26"/>
        </w:rPr>
        <w:t>4.2 Subsystem Map</w:t>
      </w:r>
    </w:p>
    <w:p>
      <w:pPr>
        <w:pStyle w:val="Normal"/>
      </w:pPr>
      <w:r>
        <w:rPr>
          <w:rFonts w:ascii="Calibri" w:hAnsi="Calibri" w:eastAsia="Microsoft YaHei" w:cs="Calibri"/>
          <w:color w:val="3A2E28"/>
          <w:sz w:val="22"/>
          <w:szCs w:val="22"/>
        </w:rPr>
        <w:t>The subsystem map mirrors v1.1 with four substitutions: the eight-source laser array becomes two 6 kW ECO sources feeding two D33 scan heads on traverse rails; the fixed battery bank becomes two hot-swap modules plus an auxiliary start battery, with a third module optional; the thermal system splits into an onboard radiator for steady-state rejection and a small PCM buffer for transients; and the sensor suite adds the NIR spectrometer and char test port. Figure 1 in Section 3 illustrates the treatment timing.</w:t>
      </w:r>
    </w:p>
    <w:p>
      <w:pPr>
        <w:pStyle w:val="Heading2"/>
      </w:pPr>
      <w:r>
        <w:rPr>
          <w:rFonts w:ascii="Calibri" w:hAnsi="Calibri" w:eastAsia="Microsoft YaHei" w:cs="Calibri"/>
          <w:b/>
          <w:color w:val="A85B36"/>
          <w:sz w:val="26"/>
          <w:szCs w:val="26"/>
        </w:rPr>
        <w:t>4.3 Power and Energy Budget</w:t>
      </w:r>
    </w:p>
    <w:p>
      <w:pPr>
        <w:pStyle w:val="Normal"/>
      </w:pPr>
      <w:r>
        <w:rPr>
          <w:rFonts w:ascii="Calibri" w:hAnsi="Calibri" w:eastAsia="Microsoft YaHei" w:cs="Calibri"/>
          <w:color w:val="3A2E28"/>
          <w:sz w:val="22"/>
          <w:szCs w:val="22"/>
        </w:rPr>
        <w:t>The laser array doubles from the erroneous v1.2 single source to two 6 kW ECO sources. The scanners concentrate 12 kW peak onto one 250 mm field per head, and the sources sustain 10 kW of average optical power at 83 percent duty and 50 percent wall-plug efficiency, a 19.9 kW wall draw. The 30 kW generator carries the full treatment load at 84 percent of its prime rating. That operating point trades the relaxed 53 percent loading of earlier versions for honest throughput; the battery buffer absorbs transients, and the prime-rated unit tolerates continuous operation at this level.</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600"/>
        <w:gridCol w:w="1800"/>
        <w:gridCol w:w="3240"/>
      </w:tblGrid>
      <w:tr>
        <w:trPr>
          <w:tblHeader w:val="1"/>
        </w:trPr>
        <w:tc>
          <w:tcPr>
            <w:tcW w:w="46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Load during active treatment</w:t>
            </w:r>
          </w:p>
        </w:tc>
        <w:tc>
          <w:tcPr>
            <w:tcW w:w="18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Avg. draw</w:t>
            </w:r>
          </w:p>
        </w:tc>
        <w:tc>
          <w:tcPr>
            <w:tcW w:w="32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Basis</w:t>
            </w:r>
          </w:p>
        </w:tc>
      </w:tr>
      <w:tr>
        <w:tc>
          <w:tcPr>
            <w:tcW w:w="4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Laser array (12 kW peak optical, 83% duty)</w:t>
            </w:r>
          </w:p>
        </w:tc>
        <w:tc>
          <w:tcPr>
            <w:tcW w:w="1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19.9 kW</w:t>
            </w:r>
          </w:p>
        </w:tc>
        <w:tc>
          <w:tcPr>
            <w:tcW w:w="32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10 kW avg. optical at 50% wall-plug efficiency</w:t>
            </w:r>
          </w:p>
        </w:tc>
      </w:tr>
      <w:tr>
        <w:tc>
          <w:tcPr>
            <w:tcW w:w="4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RF pre-dryer (1.6 kW output, continuous)</w:t>
            </w:r>
          </w:p>
        </w:tc>
        <w:tc>
          <w:tcPr>
            <w:tcW w:w="1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2.7 kW</w:t>
            </w:r>
          </w:p>
        </w:tc>
        <w:tc>
          <w:tcPr>
            <w:tcW w:w="32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Input at 60% GaN efficiency, runs ahead of every dwell</w:t>
            </w:r>
          </w:p>
        </w:tc>
      </w:tr>
      <w:tr>
        <w:tc>
          <w:tcPr>
            <w:tcW w:w="4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Mobility (25 cm step advances)</w:t>
            </w:r>
          </w:p>
        </w:tc>
        <w:tc>
          <w:tcPr>
            <w:tcW w:w="1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0.6 kW</w:t>
            </w:r>
          </w:p>
        </w:tc>
        <w:tc>
          <w:tcPr>
            <w:tcW w:w="32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Intermittent low-gear advances between dwells</w:t>
            </w:r>
          </w:p>
        </w:tc>
      </w:tr>
      <w:tr>
        <w:tc>
          <w:tcPr>
            <w:tcW w:w="4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Avionics, compute, scanner, NIR</w:t>
            </w:r>
          </w:p>
        </w:tc>
        <w:tc>
          <w:tcPr>
            <w:tcW w:w="1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0.8 kW</w:t>
            </w:r>
          </w:p>
        </w:tc>
        <w:tc>
          <w:tcPr>
            <w:tcW w:w="32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Jetson, Beckhoff, 2 x D33 drivers, FieldSpec</w:t>
            </w:r>
          </w:p>
        </w:tc>
      </w:tr>
      <w:tr>
        <w:tc>
          <w:tcPr>
            <w:tcW w:w="4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Compressor, pumps, radiator fans</w:t>
            </w:r>
          </w:p>
        </w:tc>
        <w:tc>
          <w:tcPr>
            <w:tcW w:w="1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1.3 kW</w:t>
            </w:r>
          </w:p>
        </w:tc>
        <w:tc>
          <w:tcPr>
            <w:tcW w:w="32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Air knife, radiator fans, thermal loop</w:t>
            </w:r>
          </w:p>
        </w:tc>
      </w:tr>
      <w:tr>
        <w:tc>
          <w:tcPr>
            <w:tcW w:w="4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Total average load</w:t>
            </w:r>
          </w:p>
        </w:tc>
        <w:tc>
          <w:tcPr>
            <w:tcW w:w="1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25.3 kW</w:t>
            </w:r>
          </w:p>
        </w:tc>
        <w:tc>
          <w:tcPr>
            <w:tcW w:w="32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84% of the 30 kW generator prime rating</w:t>
            </w:r>
          </w:p>
        </w:tc>
      </w:tr>
    </w:tbl>
    <w:p>
      <w:pPr>
        <w:pStyle w:val="Caption"/>
      </w:pPr>
      <w:r>
        <w:rPr>
          <w:rFonts w:ascii="Calibri" w:hAnsi="Calibri" w:eastAsia="Microsoft YaHei" w:cs="Calibri"/>
          <w:i/>
          <w:color w:val="8C7A6B"/>
          <w:sz w:val="18"/>
          <w:szCs w:val="18"/>
        </w:rPr>
        <w:t>Table 6: Average power budget during active treatment.</w:t>
      </w:r>
    </w:p>
    <w:p>
      <w:pPr>
        <w:pStyle w:val="Normal"/>
        <w:keepNext/>
        <w:spacing w:before="200" w:after="60"/>
        <w:jc w:val="center"/>
      </w:pPr>
      <w:r>
        <w:drawing>
          <wp:inline distT="0" distB="0" distL="0" distR="0">
            <wp:extent cx="4680000" cy="1913207"/>
            <wp:effectExtent l="0" t="0" r="0" b="0"/>
            <wp:docPr id="101" name="PowerBudget"/>
            <wp:cNvGraphicFramePr>
              <a:graphicFrameLocks noChangeAspect="1"/>
            </wp:cNvGraphicFramePr>
            <a:graphic>
              <a:graphicData uri="http://schemas.openxmlformats.org/drawingml/2006/picture">
                <pic:pic>
                  <pic:nvPicPr>
                    <pic:cNvPr id="0" name="PowerBudget.png"/>
                    <pic:cNvPicPr/>
                  </pic:nvPicPr>
                  <pic:blipFill>
                    <a:blip r:embed="Recce7226a40e43a2"/>
                    <a:stretch>
                      <a:fillRect/>
                    </a:stretch>
                  </pic:blipFill>
                  <pic:spPr>
                    <a:xfrm>
                      <a:off x="0" y="0"/>
                      <a:ext cx="4680000" cy="1913207"/>
                    </a:xfrm>
                    <a:prstGeom prst="rect"/>
                  </pic:spPr>
                </pic:pic>
              </a:graphicData>
            </a:graphic>
          </wp:inline>
        </w:drawing>
      </w:r>
    </w:p>
    <w:p>
      <w:pPr>
        <w:pStyle w:val="Caption"/>
      </w:pPr>
      <w:r>
        <w:rPr>
          <w:rFonts w:ascii="Calibri" w:hAnsi="Calibri" w:eastAsia="Microsoft YaHei" w:cs="Calibri"/>
          <w:i/>
          <w:color w:val="8C7A6B"/>
          <w:sz w:val="18"/>
          <w:szCs w:val="18"/>
        </w:rPr>
        <w:t>Figure 2: Average power budget against the generator operating point.</w:t>
      </w:r>
    </w:p>
    <w:p>
      <w:pPr>
        <w:pStyle w:val="Heading1"/>
      </w:pPr>
      <w:r>
        <w:rPr>
          <w:rFonts w:ascii="Calibri Light" w:hAnsi="Calibri Light" w:eastAsia="Microsoft YaHei" w:cs="Calibri Light"/>
          <w:b/>
          <w:color w:val="7B3F24"/>
          <w:sz w:val="34"/>
          <w:szCs w:val="34"/>
        </w:rPr>
        <w:t>5. Mobility Platform: SHERP N 1200</w:t>
      </w:r>
    </w:p>
    <w:p>
      <w:pPr>
        <w:pStyle w:val="Heading2"/>
      </w:pPr>
      <w:r>
        <w:rPr>
          <w:rFonts w:ascii="Calibri" w:hAnsi="Calibri" w:eastAsia="Microsoft YaHei" w:cs="Calibri"/>
          <w:b/>
          <w:color w:val="A85B36"/>
          <w:sz w:val="26"/>
          <w:szCs w:val="26"/>
        </w:rPr>
        <w:t>5.1 Platform Parameters</w:t>
      </w:r>
    </w:p>
    <w:p>
      <w:pPr>
        <w:pStyle w:val="Normal"/>
      </w:pPr>
      <w:r>
        <w:rPr>
          <w:rFonts w:ascii="Calibri" w:hAnsi="Calibri" w:eastAsia="Microsoft YaHei" w:cs="Calibri"/>
          <w:color w:val="3A2E28"/>
          <w:sz w:val="22"/>
          <w:szCs w:val="22"/>
        </w:rPr>
        <w:t>The SHERP N 1200 carries over unchanged as the chassis. Table 7 repeats the key parameters for reference.</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800"/>
        <w:gridCol w:w="5840"/>
      </w:tblGrid>
      <w:tr>
        <w:trPr>
          <w:tblHeader w:val="1"/>
        </w:trPr>
        <w:tc>
          <w:tcPr>
            <w:tcW w:w="38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SHERP N 1200 parameter</w:t>
            </w:r>
          </w:p>
        </w:tc>
        <w:tc>
          <w:tcPr>
            <w:tcW w:w="58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Value (manufacturer data)</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Dimensions</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3.99 × 2.57 × 3.0 m</w:t>
            </w:r>
          </w:p>
        </w:tc>
      </w:tr>
      <w:tr>
        <w:tc>
          <w:tcPr>
            <w:tcW w:w="3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Dry weight / payload</w:t>
            </w:r>
          </w:p>
        </w:tc>
        <w:tc>
          <w:tcPr>
            <w:tcW w:w="58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2,400 kg / 1,200 kg</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Engine</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Doosan D18 1.8 L diesel, 41 kW (55 hp), 190 Nm</w:t>
            </w:r>
          </w:p>
        </w:tc>
      </w:tr>
      <w:tr>
        <w:tc>
          <w:tcPr>
            <w:tcW w:w="3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Transmission</w:t>
            </w:r>
          </w:p>
        </w:tc>
        <w:tc>
          <w:tcPr>
            <w:tcW w:w="58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6-speed manual, skid steering</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Speed</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40 km/h land, 6 km/h water; 2 km/h minimum in low gear</w:t>
            </w:r>
          </w:p>
        </w:tc>
      </w:tr>
      <w:tr>
        <w:tc>
          <w:tcPr>
            <w:tcW w:w="3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Gradeability / tilt</w:t>
            </w:r>
          </w:p>
        </w:tc>
        <w:tc>
          <w:tcPr>
            <w:tcW w:w="58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35° grade, 30° side tilt</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Ground pressure</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0.07-0.15 kg/cm²</w:t>
            </w:r>
          </w:p>
        </w:tc>
      </w:tr>
      <w:tr>
        <w:tc>
          <w:tcPr>
            <w:tcW w:w="3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Fuel</w:t>
            </w:r>
          </w:p>
        </w:tc>
        <w:tc>
          <w:tcPr>
            <w:tcW w:w="58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95 L main + 4 × 58 L wheel-disk tanks, 327 L total</w:t>
            </w:r>
          </w:p>
        </w:tc>
      </w:tr>
      <w:tr>
        <w:tc>
          <w:tcPr>
            <w:tcW w:w="3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Occupant protection</w:t>
            </w:r>
          </w:p>
        </w:tc>
        <w:tc>
          <w:tcPr>
            <w:tcW w:w="58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ISO 3471 / 5700 certified ROPS</w:t>
            </w:r>
          </w:p>
        </w:tc>
      </w:tr>
    </w:tbl>
    <w:p>
      <w:pPr>
        <w:pStyle w:val="Caption"/>
      </w:pPr>
      <w:r>
        <w:rPr>
          <w:rFonts w:ascii="Calibri" w:hAnsi="Calibri" w:eastAsia="Microsoft YaHei" w:cs="Calibri"/>
          <w:i/>
          <w:color w:val="8C7A6B"/>
          <w:sz w:val="18"/>
          <w:szCs w:val="18"/>
        </w:rPr>
        <w:t>Table 7: Mobility platform key parameters.</w:t>
      </w:r>
    </w:p>
    <w:p>
      <w:pPr>
        <w:pStyle w:val="Heading2"/>
      </w:pPr>
      <w:r>
        <w:rPr>
          <w:rFonts w:ascii="Calibri" w:hAnsi="Calibri" w:eastAsia="Microsoft YaHei" w:cs="Calibri"/>
          <w:b/>
          <w:color w:val="A85B36"/>
          <w:sz w:val="26"/>
          <w:szCs w:val="26"/>
        </w:rPr>
        <w:t>5.2 Teleoperation Conversion</w:t>
      </w:r>
    </w:p>
    <w:p>
      <w:pPr>
        <w:pStyle w:val="Normal"/>
      </w:pPr>
      <w:r>
        <w:rPr>
          <w:rFonts w:ascii="Calibri" w:hAnsi="Calibri" w:eastAsia="Microsoft YaHei" w:cs="Calibri"/>
          <w:color w:val="3A2E28"/>
          <w:sz w:val="22"/>
          <w:szCs w:val="22"/>
        </w:rPr>
        <w:t>The Bowden-cable teleoperation conversion carries over from v1.1 unchanged: actuation box behind the driver seat, 0.4 s power-independent emergency stop, low-gear lock during treatment, and a 2 s link-loss controlled stop. The step-and-dwell cycle returns in v1.3, but the scanner lengthens each stop to 23-45 s and eliminates rack repositioning between belts, so the drivetrain cycles less often per kilometre than in v1.1 and clutch and chain life hold.</w:t>
      </w:r>
    </w:p>
    <w:p>
      <w:pPr>
        <w:pStyle w:val="Heading2"/>
      </w:pPr>
      <w:r>
        <w:rPr>
          <w:rFonts w:ascii="Calibri" w:hAnsi="Calibri" w:eastAsia="Microsoft YaHei" w:cs="Calibri"/>
          <w:b/>
          <w:color w:val="A85B36"/>
          <w:sz w:val="26"/>
          <w:szCs w:val="26"/>
        </w:rPr>
        <w:t>5.3 Ground Anchor System</w:t>
      </w:r>
    </w:p>
    <w:p>
      <w:pPr>
        <w:pStyle w:val="Normal"/>
      </w:pPr>
      <w:r>
        <w:rPr>
          <w:rFonts w:ascii="Calibri" w:hAnsi="Calibri" w:eastAsia="Microsoft YaHei" w:cs="Calibri"/>
          <w:color w:val="3A2E28"/>
          <w:sz w:val="22"/>
          <w:szCs w:val="22"/>
        </w:rPr>
        <w:t>The 3,600 kg loaded vehicle on a 35° slope presents a runaway risk if traction or engine power fails during teleoperation with an empty cabin. Four heavy-duty screw-in ground anchors with ratchet straps and a 50 m cable, stored in a chassis box, secure the vehicle on slopes above 20°. The operator deploys them before treatment on steep ground; the whole kit adds 9 kg. A Phase 2 option adds an electric winch with a fired ground-spike anchor for fully autonomous deployment.</w:t>
      </w:r>
    </w:p>
    <w:p>
      <w:pPr>
        <w:pStyle w:val="Heading1"/>
      </w:pPr>
      <w:r>
        <w:rPr>
          <w:rFonts w:ascii="Calibri Light" w:hAnsi="Calibri Light" w:eastAsia="Microsoft YaHei" w:cs="Calibri Light"/>
          <w:b/>
          <w:color w:val="7B3F24"/>
          <w:sz w:val="34"/>
          <w:szCs w:val="34"/>
        </w:rPr>
        <w:t>6. Laser Carbonization Array</w:t>
      </w:r>
    </w:p>
    <w:p>
      <w:pPr>
        <w:pStyle w:val="Heading2"/>
      </w:pPr>
      <w:r>
        <w:rPr>
          <w:rFonts w:ascii="Calibri" w:hAnsi="Calibri" w:eastAsia="Microsoft YaHei" w:cs="Calibri"/>
          <w:b/>
          <w:color w:val="A85B36"/>
          <w:sz w:val="26"/>
          <w:szCs w:val="26"/>
        </w:rPr>
        <w:t>6.1 Dual 6 kW ECO Sources with Scanner Delivery</w:t>
      </w:r>
    </w:p>
    <w:p>
      <w:pPr>
        <w:pStyle w:val="Normal"/>
      </w:pPr>
      <w:r>
        <w:rPr>
          <w:rFonts w:ascii="Calibri" w:hAnsi="Calibri" w:eastAsia="Microsoft YaHei" w:cs="Calibri"/>
          <w:color w:val="3A2E28"/>
          <w:sz w:val="22"/>
          <w:szCs w:val="22"/>
        </w:rPr>
        <w:t>Two IPG YLS-6000-ECO multimode CW fiber lasers (6 kW each, 1080 nm, water-cooled) replace the single v1.2 source. The ECO class reaches 50 percent wall-plug efficiency, which lets the 30 kW generator sustain 10 kW of average optical power with margin for the other loads. Each source feeds its own D33 scan head, so a single source or head fault degrades treatment to a half-width corridor rather than stopping it. The multimode output matches the D33 aperture and 12 kW rating with 2x margin per head, and IPG's Canadian support network and the wide availability of YLS-series spares reduce lifecycle risk.</w:t>
      </w:r>
    </w:p>
    <w:p>
      <w:pPr>
        <w:pStyle w:val="Heading2"/>
      </w:pPr>
      <w:r>
        <w:rPr>
          <w:rFonts w:ascii="Calibri" w:hAnsi="Calibri" w:eastAsia="Microsoft YaHei" w:cs="Calibri"/>
          <w:b/>
          <w:color w:val="A85B36"/>
          <w:sz w:val="26"/>
          <w:szCs w:val="26"/>
        </w:rPr>
        <w:t>6.2 Scan Heads and Traverse as Treatment Optics</w:t>
      </w:r>
    </w:p>
    <w:p>
      <w:pPr>
        <w:pStyle w:val="Normal"/>
      </w:pPr>
      <w:r>
        <w:rPr>
          <w:rFonts w:ascii="Calibri" w:hAnsi="Calibri" w:eastAsia="Microsoft YaHei" w:cs="Calibri"/>
          <w:color w:val="3A2E28"/>
          <w:sz w:val="22"/>
          <w:szCs w:val="22"/>
        </w:rPr>
        <w:t>Two D33 scan heads replace all eight static top-hat heads. From its 630 mm working distance each head paints a 250 × 250 mm field, and a cross-corridor traverse rail with 1.3 m of travel repositions the head between fields during the dwell: the galvo covers 250 mm, the rail covers the metres. Each head tiles fields along two 0.5 m belts, so the pair sweeps the full 5.5 m corridor from one stop. The 5-degree off-normal window angle and air purge carry over to manage reflections and contamination. The heads' IP67 sealing suits the outdoor, dust-laden environment.</w:t>
      </w:r>
    </w:p>
    <w:p>
      <w:pPr>
        <w:pStyle w:val="Heading2"/>
      </w:pPr>
      <w:r>
        <w:rPr>
          <w:rFonts w:ascii="Calibri" w:hAnsi="Calibri" w:eastAsia="Microsoft YaHei" w:cs="Calibri"/>
          <w:b/>
          <w:color w:val="A85B36"/>
          <w:sz w:val="26"/>
          <w:szCs w:val="26"/>
        </w:rPr>
        <w:t>6.3 Treatment Rack, 7075 Truss, and Transit Mode</w:t>
      </w:r>
    </w:p>
    <w:p>
      <w:pPr>
        <w:pStyle w:val="Normal"/>
      </w:pPr>
      <w:r>
        <w:rPr>
          <w:rFonts w:ascii="Calibri" w:hAnsi="Calibri" w:eastAsia="Microsoft YaHei" w:cs="Calibri"/>
          <w:color w:val="3A2E28"/>
          <w:sz w:val="22"/>
          <w:szCs w:val="22"/>
        </w:rPr>
        <w:t>The rack rebuilds in 7075-T6 aluminum truss rather than solid 80/20 plate, and the arms shorten for the 0.5 m belt geometry (Phase 1 structural validation confirms stiffness). The rack carries both scan heads on their traverse rails plus the parallelogram linkage and four PA-17 actuators for the 10 to 80 cm standoff. Transit mode folds the assembly against the front face with lockout pins and the rack-position interlock, unchanged from v1.1.</w:t>
      </w:r>
    </w:p>
    <w:p>
      <w:pPr>
        <w:pStyle w:val="Heading2"/>
      </w:pPr>
      <w:r>
        <w:rPr>
          <w:rFonts w:ascii="Calibri" w:hAnsi="Calibri" w:eastAsia="Microsoft YaHei" w:cs="Calibri"/>
          <w:b/>
          <w:color w:val="A85B36"/>
          <w:sz w:val="26"/>
          <w:szCs w:val="26"/>
        </w:rPr>
        <w:t>6.4 Thermal Management</w:t>
      </w:r>
    </w:p>
    <w:p>
      <w:pPr>
        <w:pStyle w:val="Normal"/>
      </w:pPr>
      <w:r>
        <w:rPr>
          <w:rFonts w:ascii="Calibri" w:hAnsi="Calibri" w:eastAsia="Microsoft YaHei" w:cs="Calibri"/>
          <w:color w:val="3A2E28"/>
          <w:sz w:val="22"/>
          <w:szCs w:val="22"/>
        </w:rPr>
        <w:t>The dual-source array at 83 percent duty rejects about 10 kW of steady-state heat, far beyond what the 90 kg PCM battery absorbs, so thermal management splits in two. An onboard liquid-to-air radiator (15 kW, with fans and shroud) rejects the steady-state load during treatment. The PCM shrinks to a 30 kg transient buffer that absorbs start-stop spikes and short silent-mode bursts. One S&amp;A CWFL-3000 chiller at base reconditions the loop overnight through a quick-disconnect coupler; the second chiller remains a base spare. The 55 °C interlock now watches the radiator return temperature and derates duty stepwise rather than capping duty at 25 percent.</w:t>
      </w:r>
    </w:p>
    <w:p>
      <w:pPr>
        <w:pStyle w:val="Heading2"/>
      </w:pPr>
      <w:r>
        <w:rPr>
          <w:rFonts w:ascii="Calibri" w:hAnsi="Calibri" w:eastAsia="Microsoft YaHei" w:cs="Calibri"/>
          <w:b/>
          <w:color w:val="A85B36"/>
          <w:sz w:val="26"/>
          <w:szCs w:val="26"/>
        </w:rPr>
        <w:t>6.5 Smoke Management: Air Knife</w:t>
      </w:r>
    </w:p>
    <w:p>
      <w:pPr>
        <w:pStyle w:val="Normal"/>
      </w:pPr>
      <w:r>
        <w:rPr>
          <w:rFonts w:ascii="Calibri" w:hAnsi="Calibri" w:eastAsia="Microsoft YaHei" w:cs="Calibri"/>
          <w:color w:val="3A2E28"/>
          <w:sz w:val="22"/>
          <w:szCs w:val="22"/>
        </w:rPr>
        <w:t>The EXAIR 36-inch Super Air Knife carries over, now fed by the lighter Viair 400C intermittent-duty compressor with a 1 L receiver tank buffering flow. The knife runs through each dwell and pauses during advances, clearing the plume so the beam path stays at full transmission across the painted field.</w:t>
      </w:r>
    </w:p>
    <w:p>
      <w:pPr>
        <w:pStyle w:val="Heading1"/>
      </w:pPr>
      <w:r>
        <w:rPr>
          <w:rFonts w:ascii="Calibri Light" w:hAnsi="Calibri Light" w:eastAsia="Microsoft YaHei" w:cs="Calibri Light"/>
          <w:b/>
          <w:color w:val="7B3F24"/>
          <w:sz w:val="34"/>
          <w:szCs w:val="34"/>
        </w:rPr>
        <w:t>7. RF Pre-Drying Module</w:t>
      </w:r>
    </w:p>
    <w:p>
      <w:pPr>
        <w:pStyle w:val="Normal"/>
      </w:pPr>
      <w:r>
        <w:rPr>
          <w:rFonts w:ascii="Calibri" w:hAnsi="Calibri" w:eastAsia="Microsoft YaHei" w:cs="Calibri"/>
          <w:color w:val="3A2E28"/>
          <w:sz w:val="22"/>
          <w:szCs w:val="22"/>
        </w:rPr>
        <w:t>The RF pre-dryer carries over unchanged: RFHIC RIM251K6-20G 1.6 kW GaN generator, shielded applicator ahead of the rack, mesh skirt with lift interlock, and leakage survey before each deployment. The predictive moisture map from the NIR spectrometer (Section 8.1) drives the pre-dryer setpoint continuously, so RF power follows the actual moisture field ahead of the beam. The pre-dryer now carries a quantified role in the dose budget: its continuous output removes moisture and preheats the fuel bed before the laser dwell, and Phase 0 burn-chamber campaigns validate the resulting 0.6 MJ/m² laser design dose against the combined RF-plus-laser response.</w:t>
      </w:r>
    </w:p>
    <w:p>
      <w:pPr>
        <w:pStyle w:val="Heading1"/>
      </w:pPr>
      <w:r>
        <w:rPr>
          <w:rFonts w:ascii="Calibri Light" w:hAnsi="Calibri Light" w:eastAsia="Microsoft YaHei" w:cs="Calibri Light"/>
          <w:b/>
          <w:color w:val="7B3F24"/>
          <w:sz w:val="34"/>
          <w:szCs w:val="34"/>
        </w:rPr>
        <w:t>8. Sensing and Perception</w:t>
      </w:r>
    </w:p>
    <w:p>
      <w:pPr>
        <w:pStyle w:val="Heading2"/>
      </w:pPr>
      <w:r>
        <w:rPr>
          <w:rFonts w:ascii="Calibri" w:hAnsi="Calibri" w:eastAsia="Microsoft YaHei" w:cs="Calibri"/>
          <w:b/>
          <w:color w:val="A85B36"/>
          <w:sz w:val="26"/>
          <w:szCs w:val="26"/>
        </w:rPr>
        <w:t>8.1 Real-Time Fuel Moisture Mapping (NIR)</w:t>
      </w:r>
    </w:p>
    <w:p>
      <w:pPr>
        <w:pStyle w:val="Normal"/>
      </w:pPr>
      <w:r>
        <w:rPr>
          <w:rFonts w:ascii="Calibri" w:hAnsi="Calibri" w:eastAsia="Microsoft YaHei" w:cs="Calibri"/>
          <w:color w:val="3A2E28"/>
          <w:sz w:val="22"/>
          <w:szCs w:val="22"/>
        </w:rPr>
        <w:t>The contact moisture skid of v1.1 gives a single point reading and reacts after the vehicle reaches the patch. The ASD FieldSpec 4 Hi-Res NG near-infrared spectrometer (350 to 2500 nm) on the sensor mast reads reflected light from the fuel bed 3 to 5 m ahead of the rack, building a continuous, high-resolution surface-moisture map. Water absorption bands near 1450 and 1940 nm yield a quantitative moisture estimate per patch. The control system then sets laser power and RF pre-dryer output proactively for every square metre, shifting moisture handling from reactive to predictive and trimming energy use on dry lanes.</w:t>
      </w:r>
    </w:p>
    <w:p>
      <w:pPr>
        <w:pStyle w:val="Heading2"/>
      </w:pPr>
      <w:r>
        <w:rPr>
          <w:rFonts w:ascii="Calibri" w:hAnsi="Calibri" w:eastAsia="Microsoft YaHei" w:cs="Calibri"/>
          <w:b/>
          <w:color w:val="A85B36"/>
          <w:sz w:val="26"/>
          <w:szCs w:val="26"/>
        </w:rPr>
        <w:t>8.2 Char Quality Test Port</w:t>
      </w:r>
    </w:p>
    <w:p>
      <w:pPr>
        <w:pStyle w:val="Normal"/>
      </w:pPr>
      <w:r>
        <w:rPr>
          <w:rFonts w:ascii="Calibri" w:hAnsi="Calibri" w:eastAsia="Microsoft YaHei" w:cs="Calibri"/>
          <w:color w:val="3A2E28"/>
          <w:sz w:val="22"/>
          <w:szCs w:val="22"/>
        </w:rPr>
        <w:t>The OES spectrometer verifies chemistry, but operators and regulators also need physical proof that treated fuel became biochar rather than scorched vegetation. A spring-loaded test port on the rear of the rack drives a 2 cm stainless coring tube into a treated patch and deposits a small sample in a collection cup. The operator samples every 10 to 20 m, checks char colour and texture against a field reference, and confirms the OES readout. The port weighs about 1 kg and provides a low-tech sanity check that also field-calibrates the system when OES sensors degrade.</w:t>
      </w:r>
    </w:p>
    <w:p>
      <w:pPr>
        <w:pStyle w:val="Heading2"/>
      </w:pPr>
      <w:r>
        <w:rPr>
          <w:rFonts w:ascii="Calibri" w:hAnsi="Calibri" w:eastAsia="Microsoft YaHei" w:cs="Calibri"/>
          <w:b/>
          <w:color w:val="A85B36"/>
          <w:sz w:val="26"/>
          <w:szCs w:val="26"/>
        </w:rPr>
        <w:t>8.3 Core Sensing Suite</w:t>
      </w:r>
    </w:p>
    <w:p>
      <w:pPr>
        <w:pStyle w:val="Normal"/>
      </w:pPr>
      <w:r>
        <w:rPr>
          <w:rFonts w:ascii="Calibri" w:hAnsi="Calibri" w:eastAsia="Microsoft YaHei" w:cs="Calibri"/>
          <w:color w:val="3A2E28"/>
          <w:sz w:val="22"/>
          <w:szCs w:val="22"/>
        </w:rPr>
        <w:t>The rest of the suite carries over: two FLIR A70 thermal cores (front targeting, rear cooling-curve verification), the Avantes OES spectrometer on the rack, the FS24X triple-IR flame detector wired to the hardwired abort chain, the Ouster OS1-32 LiDAR, the Emlid Reach RS3 RTK base-rover pair, two TEROS 10 probes as backup ground truth, and the Davis Vantage Pro2 weather station on the folding mast.</w:t>
      </w:r>
    </w:p>
    <w:p>
      <w:pPr>
        <w:pStyle w:val="Heading1"/>
      </w:pPr>
      <w:r>
        <w:rPr>
          <w:rFonts w:ascii="Calibri Light" w:hAnsi="Calibri Light" w:eastAsia="Microsoft YaHei" w:cs="Calibri Light"/>
          <w:b/>
          <w:color w:val="7B3F24"/>
          <w:sz w:val="34"/>
          <w:szCs w:val="34"/>
        </w:rPr>
        <w:t>9. Compute and Control Electronics</w:t>
      </w:r>
    </w:p>
    <w:p>
      <w:pPr>
        <w:pStyle w:val="Normal"/>
      </w:pPr>
      <w:r>
        <w:rPr>
          <w:rFonts w:ascii="Calibri" w:hAnsi="Calibri" w:eastAsia="Microsoft YaHei" w:cs="Calibri"/>
          <w:color w:val="3A2E28"/>
          <w:sz w:val="22"/>
          <w:szCs w:val="22"/>
        </w:rPr>
        <w:t>The two-domain architecture carries over. The Jetson AGX Orin runs ROS 2 nodes for OES classification, NIR moisture mapping, fuel classification, dwell and traverse sequencing, and route optimization. The Beckhoff CX5140 with the expanded EtherCAT bundle owns scanner and traverse synchronization, laser modulation, rack linkage, spray and suppression valves, and every safety-critical output through the hardwired Pilz chain. The scanner step-and-dwell cycle relaxes the v1.2 timing demand: field sequencing synchronizes to scanner and traverse feedback at millisecond scale, which the TwinCAT real-time kernel handles natively.</w:t>
      </w:r>
    </w:p>
    <w:p>
      <w:pPr>
        <w:pStyle w:val="Heading1"/>
      </w:pPr>
      <w:r>
        <w:rPr>
          <w:rFonts w:ascii="Calibri Light" w:hAnsi="Calibri Light" w:eastAsia="Microsoft YaHei" w:cs="Calibri Light"/>
          <w:b/>
          <w:color w:val="7B3F24"/>
          <w:sz w:val="34"/>
          <w:szCs w:val="34"/>
        </w:rPr>
        <w:t>10. Onboard Power System</w:t>
      </w:r>
    </w:p>
    <w:p>
      <w:pPr>
        <w:pStyle w:val="Heading2"/>
      </w:pPr>
      <w:r>
        <w:rPr>
          <w:rFonts w:ascii="Calibri" w:hAnsi="Calibri" w:eastAsia="Microsoft YaHei" w:cs="Calibri"/>
          <w:b/>
          <w:color w:val="A85B36"/>
          <w:sz w:val="26"/>
          <w:szCs w:val="26"/>
        </w:rPr>
        <w:t>10.1 Hot-Swap Battery Modules</w:t>
      </w:r>
    </w:p>
    <w:p>
      <w:pPr>
        <w:pStyle w:val="Normal"/>
      </w:pPr>
      <w:r>
        <w:rPr>
          <w:rFonts w:ascii="Calibri" w:hAnsi="Calibri" w:eastAsia="Microsoft YaHei" w:cs="Calibri"/>
          <w:color w:val="3A2E28"/>
          <w:sz w:val="22"/>
          <w:szCs w:val="22"/>
        </w:rPr>
        <w:t>The fixed 20.5 kWh battery bank of v1.1 becomes two hot-swappable 5.12 kWh LiFePO4 modules (48 V, 100 Ah each) on quick-release mounts, plus a dedicated 2.56 kWh auxiliary battery for generator starting and silent-mode reserve. A third hot-swap module rides along only on missions that need long silent segments, keeping the standard fit inside the payload budget. The modularity buys four operational gains:</w:t>
      </w:r>
    </w:p>
    <w:p>
      <w:pPr>
        <w:pStyle w:val="Normal"/>
        <w:numPr>
          <w:ilvl w:val="0"/>
          <w:numId w:val="1"/>
        </w:numPr>
        <w:spacing w:after="80"/>
      </w:pPr>
      <w:r>
        <w:rPr>
          <w:b/>
          <w:rFonts w:ascii="Calibri" w:hAnsi="Calibri" w:eastAsia="Microsoft YaHei" w:cs="Calibri"/>
          <w:color w:val="3A2E28"/>
          <w:sz w:val="22"/>
          <w:szCs w:val="22"/>
        </w:rPr>
        <w:t xml:space="preserve">Field extension: </w:t>
      </w:r>
      <w:r>
        <w:rPr>
          <w:rFonts w:ascii="Calibri" w:hAnsi="Calibri" w:eastAsia="Microsoft YaHei" w:cs="Calibri"/>
          <w:color w:val="3A2E28"/>
          <w:sz w:val="22"/>
          <w:szCs w:val="22"/>
        </w:rPr>
        <w:t>depleted modules swap for fresh ones in minutes, extending silent-mode operation in sensitive areas without returning to base.</w:t>
      </w:r>
    </w:p>
    <w:p>
      <w:pPr>
        <w:pStyle w:val="Normal"/>
        <w:numPr>
          <w:ilvl w:val="0"/>
          <w:numId w:val="1"/>
        </w:numPr>
        <w:spacing w:after="80"/>
      </w:pPr>
      <w:r>
        <w:rPr>
          <w:b/>
          <w:rFonts w:ascii="Calibri" w:hAnsi="Calibri" w:eastAsia="Microsoft YaHei" w:cs="Calibri"/>
          <w:color w:val="3A2E28"/>
          <w:sz w:val="22"/>
          <w:szCs w:val="22"/>
        </w:rPr>
        <w:t xml:space="preserve">Maintenance isolation: </w:t>
      </w:r>
      <w:r>
        <w:rPr>
          <w:rFonts w:ascii="Calibri" w:hAnsi="Calibri" w:eastAsia="Microsoft YaHei" w:cs="Calibri"/>
          <w:color w:val="3A2E28"/>
          <w:sz w:val="22"/>
          <w:szCs w:val="22"/>
        </w:rPr>
        <w:t>a single module services offline without taking the vehicle down.</w:t>
      </w:r>
    </w:p>
    <w:p>
      <w:pPr>
        <w:pStyle w:val="Normal"/>
        <w:numPr>
          <w:ilvl w:val="0"/>
          <w:numId w:val="1"/>
        </w:numPr>
        <w:spacing w:after="80"/>
      </w:pPr>
      <w:r>
        <w:rPr>
          <w:b/>
          <w:rFonts w:ascii="Calibri" w:hAnsi="Calibri" w:eastAsia="Microsoft YaHei" w:cs="Calibri"/>
          <w:color w:val="3A2E28"/>
          <w:sz w:val="22"/>
          <w:szCs w:val="22"/>
        </w:rPr>
        <w:t xml:space="preserve">Mission scaling: </w:t>
      </w:r>
      <w:r>
        <w:rPr>
          <w:rFonts w:ascii="Calibri" w:hAnsi="Calibri" w:eastAsia="Microsoft YaHei" w:cs="Calibri"/>
          <w:color w:val="3A2E28"/>
          <w:sz w:val="22"/>
          <w:szCs w:val="22"/>
        </w:rPr>
        <w:t>the vehicle carries only the modules a specific job needs, trimming carried mass on short missions.</w:t>
      </w:r>
    </w:p>
    <w:p>
      <w:pPr>
        <w:pStyle w:val="Normal"/>
        <w:numPr>
          <w:ilvl w:val="0"/>
          <w:numId w:val="1"/>
        </w:numPr>
        <w:spacing w:after="80"/>
      </w:pPr>
      <w:r>
        <w:rPr>
          <w:b/>
          <w:rFonts w:ascii="Calibri" w:hAnsi="Calibri" w:eastAsia="Microsoft YaHei" w:cs="Calibri"/>
          <w:color w:val="3A2E28"/>
          <w:sz w:val="22"/>
          <w:szCs w:val="22"/>
        </w:rPr>
        <w:t xml:space="preserve">Peak shaving: </w:t>
      </w:r>
      <w:r>
        <w:rPr>
          <w:rFonts w:ascii="Calibri" w:hAnsi="Calibri" w:eastAsia="Microsoft YaHei" w:cs="Calibri"/>
          <w:color w:val="3A2E28"/>
          <w:sz w:val="22"/>
          <w:szCs w:val="22"/>
        </w:rPr>
        <w:t>the main bank optimizes for transient buffering while the aux battery handles starting and reserve, so each battery type runs in its efficient role.</w:t>
      </w:r>
    </w:p>
    <w:p>
      <w:pPr>
        <w:pStyle w:val="Heading2"/>
      </w:pPr>
      <w:r>
        <w:rPr>
          <w:rFonts w:ascii="Calibri" w:hAnsi="Calibri" w:eastAsia="Microsoft YaHei" w:cs="Calibri"/>
          <w:b/>
          <w:color w:val="A85B36"/>
          <w:sz w:val="26"/>
          <w:szCs w:val="26"/>
        </w:rPr>
        <w:t>10.2 Generator and Distribution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600"/>
        <w:gridCol w:w="6040"/>
      </w:tblGrid>
      <w:tr>
        <w:trPr>
          <w:tblHeader w:val="1"/>
        </w:trPr>
        <w:tc>
          <w:tcPr>
            <w:tcW w:w="36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Power element</w:t>
            </w:r>
          </w:p>
        </w:tc>
        <w:tc>
          <w:tcPr>
            <w:tcW w:w="60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Specification</w:t>
            </w:r>
          </w:p>
        </w:tc>
      </w:tr>
      <w:tr>
        <w:tc>
          <w:tcPr>
            <w:tcW w:w="3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Prime mover</w:t>
            </w:r>
          </w:p>
        </w:tc>
        <w:tc>
          <w:tcPr>
            <w:tcW w:w="60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30 kW prime-rated compact vehicle-mount diesel generator in isolated rear compartment</w:t>
            </w:r>
          </w:p>
        </w:tc>
      </w:tr>
      <w:tr>
        <w:tc>
          <w:tcPr>
            <w:tcW w:w="3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Buffer storage</w:t>
            </w:r>
          </w:p>
        </w:tc>
        <w:tc>
          <w:tcPr>
            <w:tcW w:w="60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 × 5.12 kWh LiFePO4 hot-swap modules (10.2 kWh) + 2.56 kWh aux, BMS managed; 3rd module optional</w:t>
            </w:r>
          </w:p>
        </w:tc>
      </w:tr>
      <w:tr>
        <w:tc>
          <w:tcPr>
            <w:tcW w:w="3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DC-DC tree</w:t>
            </w:r>
          </w:p>
        </w:tc>
        <w:tc>
          <w:tcPr>
            <w:tcW w:w="60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 × Victron Orion-Tr 48/24-16 A; 2 × Victron Orion 24/12-40</w:t>
            </w:r>
          </w:p>
        </w:tc>
      </w:tr>
      <w:tr>
        <w:tc>
          <w:tcPr>
            <w:tcW w:w="3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Charging</w:t>
            </w:r>
          </w:p>
        </w:tc>
        <w:tc>
          <w:tcPr>
            <w:tcW w:w="60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Victron Skylla-i 48 V charger from generator or grid</w:t>
            </w:r>
          </w:p>
        </w:tc>
      </w:tr>
      <w:tr>
        <w:tc>
          <w:tcPr>
            <w:tcW w:w="3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Switching</w:t>
            </w:r>
          </w:p>
        </w:tc>
        <w:tc>
          <w:tcPr>
            <w:tcW w:w="60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TE Kilovac EV200 contactors with Littelfuse fusing per branch</w:t>
            </w:r>
          </w:p>
        </w:tc>
      </w:tr>
      <w:tr>
        <w:tc>
          <w:tcPr>
            <w:tcW w:w="3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Fuel</w:t>
            </w:r>
          </w:p>
        </w:tc>
        <w:tc>
          <w:tcPr>
            <w:tcW w:w="60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Generator taps the SHERP 95 L main tank; 327 L total onboard supports 20-25 h combined operation</w:t>
            </w:r>
          </w:p>
        </w:tc>
      </w:tr>
      <w:tr>
        <w:tc>
          <w:tcPr>
            <w:tcW w:w="3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Silent mode</w:t>
            </w:r>
          </w:p>
        </w:tc>
        <w:tc>
          <w:tcPr>
            <w:tcW w:w="60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Battery-only treatment for about 20 minutes; batteries mainly buffer transients at the higher v1.3 load</w:t>
            </w:r>
          </w:p>
        </w:tc>
      </w:tr>
      <w:tr>
        <w:tc>
          <w:tcPr>
            <w:tcW w:w="3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Harness</w:t>
            </w:r>
          </w:p>
        </w:tc>
        <w:tc>
          <w:tcPr>
            <w:tcW w:w="60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Short-run shielded harness with EMI/EMC verification against OES, NIR, and GNSS</w:t>
            </w:r>
          </w:p>
        </w:tc>
      </w:tr>
    </w:tbl>
    <w:p>
      <w:pPr>
        <w:pStyle w:val="Caption"/>
      </w:pPr>
      <w:r>
        <w:rPr>
          <w:rFonts w:ascii="Calibri" w:hAnsi="Calibri" w:eastAsia="Microsoft YaHei" w:cs="Calibri"/>
          <w:i/>
          <w:color w:val="8C7A6B"/>
          <w:sz w:val="18"/>
          <w:szCs w:val="18"/>
        </w:rPr>
        <w:t>Table 8: Onboard power system summary.</w:t>
      </w:r>
    </w:p>
    <w:p>
      <w:pPr>
        <w:pStyle w:val="Heading1"/>
      </w:pPr>
      <w:r>
        <w:rPr>
          <w:rFonts w:ascii="Calibri Light" w:hAnsi="Calibri Light" w:eastAsia="Microsoft YaHei" w:cs="Calibri Light"/>
          <w:b/>
          <w:color w:val="7B3F24"/>
          <w:sz w:val="34"/>
          <w:szCs w:val="34"/>
        </w:rPr>
        <w:t>11. Stabilization Spray and Emergency Suppression</w:t>
      </w:r>
    </w:p>
    <w:p>
      <w:pPr>
        <w:pStyle w:val="Heading2"/>
      </w:pPr>
      <w:r>
        <w:rPr>
          <w:rFonts w:ascii="Calibri" w:hAnsi="Calibri" w:eastAsia="Microsoft YaHei" w:cs="Calibri"/>
          <w:b/>
          <w:color w:val="A85B36"/>
          <w:sz w:val="26"/>
          <w:szCs w:val="26"/>
        </w:rPr>
        <w:t>11.1 Reduced Stabilization Spray</w:t>
      </w:r>
    </w:p>
    <w:p>
      <w:pPr>
        <w:pStyle w:val="Normal"/>
      </w:pPr>
      <w:r>
        <w:rPr>
          <w:rFonts w:ascii="Calibri" w:hAnsi="Calibri" w:eastAsia="Microsoft YaHei" w:cs="Calibri"/>
          <w:color w:val="3A2E28"/>
          <w:sz w:val="22"/>
          <w:szCs w:val="22"/>
        </w:rPr>
        <w:t>The stabilization chemistry carries over (water plus 1 to 2 percent lime slurry, or 0.5 to 1 percent mineral-oil emulsion, about 50 L/ha), but the onboard tank drops from 110 L to 30 L with 18 L of fluid aboard. At the v1.3 corridor output of 0.07 to 0.13 ha/day, about 5 L of mix covers a full day, so the tank holds a three-day reserve; the drafting pump refills from any water body the amphibious hull reaches. The four TeeJet boomless nozzles across the corridor carry over.</w:t>
      </w:r>
    </w:p>
    <w:p>
      <w:pPr>
        <w:pStyle w:val="Heading2"/>
      </w:pPr>
      <w:r>
        <w:rPr>
          <w:rFonts w:ascii="Calibri" w:hAnsi="Calibri" w:eastAsia="Microsoft YaHei" w:cs="Calibri"/>
          <w:b/>
          <w:color w:val="A85B36"/>
          <w:sz w:val="26"/>
          <w:szCs w:val="26"/>
        </w:rPr>
        <w:t>11.2 Emergency Suppression System</w:t>
      </w:r>
    </w:p>
    <w:p>
      <w:pPr>
        <w:pStyle w:val="Normal"/>
      </w:pPr>
      <w:r>
        <w:rPr>
          <w:rFonts w:ascii="Calibri" w:hAnsi="Calibri" w:eastAsia="Microsoft YaHei" w:cs="Calibri"/>
          <w:color w:val="3A2E28"/>
          <w:sz w:val="22"/>
          <w:szCs w:val="22"/>
        </w:rPr>
        <w:t>The suppression system carries over with the tank reduced to 25 L, since a 2 to 5 s burst at 40 L/min consumes about 3.5 L. A new 3-way diverter valve on the drafting pump output routes water to the emergency tank fill port, so the operator refills the reserve in 2 to 3 minutes from any lake or stream. The hardware, control logic, safety-chain integration (spray only when lasers off), and operational doctrine carry over from v1.1 Section 9.1 unchanged: automatic burst on confirmed FS24X alarm during treatment, manual EMERGENCY SPRAY on the GCS, and logging of every ignition-plus-suppression event.</w:t>
      </w:r>
    </w:p>
    <w:p>
      <w:pPr>
        <w:pStyle w:val="Heading1"/>
      </w:pPr>
      <w:r>
        <w:rPr>
          <w:rFonts w:ascii="Calibri Light" w:hAnsi="Calibri Light" w:eastAsia="Microsoft YaHei" w:cs="Calibri Light"/>
          <w:b/>
          <w:color w:val="7B3F24"/>
          <w:sz w:val="34"/>
          <w:szCs w:val="34"/>
        </w:rPr>
        <w:t>12. Communications and Ground Control</w:t>
      </w:r>
    </w:p>
    <w:p>
      <w:pPr>
        <w:pStyle w:val="Normal"/>
      </w:pPr>
      <w:r>
        <w:rPr>
          <w:rFonts w:ascii="Calibri" w:hAnsi="Calibri" w:eastAsia="Microsoft YaHei" w:cs="Calibri"/>
          <w:color w:val="3A2E28"/>
          <w:sz w:val="22"/>
          <w:szCs w:val="22"/>
        </w:rPr>
        <w:t>The Microhard pMDDL2450 MIMO data link, Panasonic Toughbook 40 GCS, Starlink Mini backhaul, and independent RC kill channel carry over. The GCS now displays the predictive NIR moisture map alongside the treatment corridor, and the mission planner schedules hot-swap battery stops on long silent-mode segments. Beyond radio range the vehicle executes its pre-loaded plan autonomously and holds position if link loss exceeds 2 s during any laser-enabled state.</w:t>
      </w:r>
    </w:p>
    <w:p>
      <w:pPr>
        <w:pStyle w:val="Heading1"/>
      </w:pPr>
      <w:r>
        <w:rPr>
          <w:rFonts w:ascii="Calibri Light" w:hAnsi="Calibri Light" w:eastAsia="Microsoft YaHei" w:cs="Calibri Light"/>
          <w:b/>
          <w:color w:val="7B3F24"/>
          <w:sz w:val="34"/>
          <w:szCs w:val="34"/>
        </w:rPr>
        <w:t>13. Safety Architecture and Interlocks</w:t>
      </w:r>
    </w:p>
    <w:p>
      <w:pPr>
        <w:pStyle w:val="Normal"/>
      </w:pPr>
      <w:r>
        <w:rPr>
          <w:rFonts w:ascii="Calibri" w:hAnsi="Calibri" w:eastAsia="Microsoft YaHei" w:cs="Calibri"/>
          <w:color w:val="3A2E28"/>
          <w:sz w:val="22"/>
          <w:szCs w:val="22"/>
        </w:rPr>
        <w:t>The Class 4 laser safety architecture carries over, with the NHZ recalculated for the dual scanning beams: two 6 kW spots on traverse-mounted heads present a different hazard geometry than the static top-hat, so the Phase 1 verification re-derives the diffuse-reflection hazard distance and sets the exclusion zone accordingly (design basis 20 m). The beams stay enclosed, downward, and within the 10 to 80 cm standoff.</w:t>
      </w:r>
    </w:p>
    <w:p>
      <w:pPr>
        <w:pStyle w:val="Normal"/>
        <w:numPr>
          <w:ilvl w:val="0"/>
          <w:numId w:val="1"/>
        </w:numPr>
        <w:spacing w:after="80"/>
      </w:pPr>
      <w:r>
        <w:rPr>
          <w:b/>
          <w:rFonts w:ascii="Calibri" w:hAnsi="Calibri" w:eastAsia="Microsoft YaHei" w:cs="Calibri"/>
          <w:color w:val="3A2E28"/>
          <w:sz w:val="22"/>
          <w:szCs w:val="22"/>
        </w:rPr>
        <w:t xml:space="preserve">Hardwired abort chain: </w:t>
      </w:r>
      <w:r>
        <w:rPr>
          <w:rFonts w:ascii="Calibri" w:hAnsi="Calibri" w:eastAsia="Microsoft YaHei" w:cs="Calibri"/>
          <w:color w:val="3A2E28"/>
          <w:sz w:val="22"/>
          <w:szCs w:val="22"/>
        </w:rPr>
        <w:t>FS24X flame relay, tilt sensor, contact bumpers, RF skirt-lift switch, rack-position switch, and three IP65 emergency stops into two Pilz PNOZ s4 relays; laser enable, RF, generator output, and teleop engine power drop in under 100 ms.</w:t>
      </w:r>
    </w:p>
    <w:p>
      <w:pPr>
        <w:pStyle w:val="Normal"/>
        <w:numPr>
          <w:ilvl w:val="0"/>
          <w:numId w:val="1"/>
        </w:numPr>
        <w:spacing w:after="80"/>
      </w:pPr>
      <w:r>
        <w:rPr>
          <w:b/>
          <w:rFonts w:ascii="Calibri" w:hAnsi="Calibri" w:eastAsia="Microsoft YaHei" w:cs="Calibri"/>
          <w:color w:val="3A2E28"/>
          <w:sz w:val="22"/>
          <w:szCs w:val="22"/>
        </w:rPr>
        <w:t xml:space="preserve">Controller interlocks: </w:t>
      </w:r>
      <w:r>
        <w:rPr>
          <w:rFonts w:ascii="Calibri" w:hAnsi="Calibri" w:eastAsia="Microsoft YaHei" w:cs="Calibri"/>
          <w:color w:val="3A2E28"/>
          <w:sz w:val="22"/>
          <w:szCs w:val="22"/>
        </w:rPr>
        <w:t>radiator return temperature above 55 °C derates duty stepwise and the PCM buffer above 55 °C ends silent-mode operation; surface temperature above 650 °C for more than 2 s ramps power down; OES combustion signature drops power to 50 percent on descent; scanner or traverse fault cuts the beam within one field.</w:t>
      </w:r>
    </w:p>
    <w:p>
      <w:pPr>
        <w:pStyle w:val="Normal"/>
        <w:numPr>
          <w:ilvl w:val="0"/>
          <w:numId w:val="1"/>
        </w:numPr>
        <w:spacing w:after="80"/>
      </w:pPr>
      <w:r>
        <w:rPr>
          <w:b/>
          <w:rFonts w:ascii="Calibri" w:hAnsi="Calibri" w:eastAsia="Microsoft YaHei" w:cs="Calibri"/>
          <w:color w:val="3A2E28"/>
          <w:sz w:val="22"/>
          <w:szCs w:val="22"/>
        </w:rPr>
        <w:t xml:space="preserve">Environmental limits: </w:t>
      </w:r>
      <w:r>
        <w:rPr>
          <w:rFonts w:ascii="Calibri" w:hAnsi="Calibri" w:eastAsia="Microsoft YaHei" w:cs="Calibri"/>
          <w:color w:val="3A2E28"/>
          <w:sz w:val="22"/>
          <w:szCs w:val="22"/>
        </w:rPr>
        <w:t>wind gusts above 40 km/h, precipitation, or GNSS/RTK loss outside geofence pause treatment and hold position.</w:t>
      </w:r>
    </w:p>
    <w:p>
      <w:pPr>
        <w:pStyle w:val="Normal"/>
        <w:numPr>
          <w:ilvl w:val="0"/>
          <w:numId w:val="1"/>
        </w:numPr>
        <w:spacing w:after="80"/>
      </w:pPr>
      <w:r>
        <w:rPr>
          <w:b/>
          <w:rFonts w:ascii="Calibri" w:hAnsi="Calibri" w:eastAsia="Microsoft YaHei" w:cs="Calibri"/>
          <w:color w:val="3A2E28"/>
          <w:sz w:val="22"/>
          <w:szCs w:val="22"/>
        </w:rPr>
        <w:t xml:space="preserve">Slope security: </w:t>
      </w:r>
      <w:r>
        <w:rPr>
          <w:rFonts w:ascii="Calibri" w:hAnsi="Calibri" w:eastAsia="Microsoft YaHei" w:cs="Calibri"/>
          <w:color w:val="3A2E28"/>
          <w:sz w:val="22"/>
          <w:szCs w:val="22"/>
        </w:rPr>
        <w:t>ground anchors deployed above 20° secure the empty-cabin vehicle against runaway (Section 5.3).</w:t>
      </w:r>
    </w:p>
    <w:p>
      <w:pPr>
        <w:pStyle w:val="Normal"/>
        <w:numPr>
          <w:ilvl w:val="0"/>
          <w:numId w:val="1"/>
        </w:numPr>
        <w:spacing w:after="80"/>
      </w:pPr>
      <w:r>
        <w:rPr>
          <w:b/>
          <w:rFonts w:ascii="Calibri" w:hAnsi="Calibri" w:eastAsia="Microsoft YaHei" w:cs="Calibri"/>
          <w:color w:val="3A2E28"/>
          <w:sz w:val="22"/>
          <w:szCs w:val="22"/>
        </w:rPr>
        <w:t xml:space="preserve">Human safety kit: </w:t>
      </w:r>
      <w:r>
        <w:rPr>
          <w:rFonts w:ascii="Calibri" w:hAnsi="Calibri" w:eastAsia="Microsoft YaHei" w:cs="Calibri"/>
          <w:color w:val="3A2E28"/>
          <w:sz w:val="22"/>
          <w:szCs w:val="22"/>
        </w:rPr>
        <w:t>OD7+ eyewear, warning beacon and signage, four OD7 base curtains, two 10 lb ABC extinguishers.</w:t>
      </w:r>
    </w:p>
    <w:p>
      <w:pPr>
        <w:pStyle w:val="Normal"/>
        <w:numPr>
          <w:ilvl w:val="0"/>
          <w:numId w:val="1"/>
        </w:numPr>
        <w:spacing w:after="80"/>
      </w:pPr>
      <w:r>
        <w:rPr>
          <w:b/>
          <w:rFonts w:ascii="Calibri" w:hAnsi="Calibri" w:eastAsia="Microsoft YaHei" w:cs="Calibri"/>
          <w:color w:val="3A2E28"/>
          <w:sz w:val="22"/>
          <w:szCs w:val="22"/>
        </w:rPr>
        <w:t xml:space="preserve">Suppression layer: </w:t>
      </w:r>
      <w:r>
        <w:rPr>
          <w:rFonts w:ascii="Calibri" w:hAnsi="Calibri" w:eastAsia="Microsoft YaHei" w:cs="Calibri"/>
          <w:color w:val="3A2E28"/>
          <w:sz w:val="22"/>
          <w:szCs w:val="22"/>
        </w:rPr>
        <w:t>the Section 11.2 emergency system with the 25 L tank and drafting refill.</w:t>
      </w:r>
    </w:p>
    <w:p>
      <w:pPr>
        <w:pStyle w:val="Heading1"/>
      </w:pPr>
      <w:r>
        <w:rPr>
          <w:rFonts w:ascii="Calibri Light" w:hAnsi="Calibri Light" w:eastAsia="Microsoft YaHei" w:cs="Calibri Light"/>
          <w:b/>
          <w:color w:val="7B3F24"/>
          <w:sz w:val="34"/>
          <w:szCs w:val="34"/>
        </w:rPr>
        <w:t>14. Control Software and Treatment Logic</w:t>
      </w:r>
    </w:p>
    <w:p>
      <w:pPr>
        <w:pStyle w:val="Normal"/>
      </w:pPr>
      <w:r>
        <w:rPr>
          <w:rFonts w:ascii="Calibri" w:hAnsi="Calibri" w:eastAsia="Microsoft YaHei" w:cs="Calibri"/>
          <w:color w:val="3A2E28"/>
          <w:sz w:val="22"/>
          <w:szCs w:val="22"/>
        </w:rPr>
        <w:t>The four-part control architecture carries over, retuned for scanner step-and-dwell operation.</w:t>
      </w:r>
    </w:p>
    <w:p>
      <w:pPr>
        <w:pStyle w:val="Normal"/>
        <w:numPr>
          <w:ilvl w:val="0"/>
          <w:numId w:val="1"/>
        </w:numPr>
        <w:spacing w:after="80"/>
      </w:pPr>
      <w:r>
        <w:rPr>
          <w:b/>
          <w:rFonts w:ascii="Calibri" w:hAnsi="Calibri" w:eastAsia="Microsoft YaHei" w:cs="Calibri"/>
          <w:color w:val="3A2E28"/>
          <w:sz w:val="22"/>
          <w:szCs w:val="22"/>
        </w:rPr>
        <w:t xml:space="preserve">Closed-loop carbonization: </w:t>
      </w:r>
      <w:r>
        <w:rPr>
          <w:rFonts w:ascii="Calibri" w:hAnsi="Calibri" w:eastAsia="Microsoft YaHei" w:cs="Calibri"/>
          <w:color w:val="3A2E28"/>
          <w:sz w:val="22"/>
          <w:szCs w:val="22"/>
        </w:rPr>
        <w:t>the fused thermal, OES, and flame loop holds the 550 to 650 °C carbonization band and cuts before combustion onset. The OES integrates spectra across each 23 to 45 s dwell rather than sampling at burst cadence, which restores the deep spectral averaging of the v1.1 stationary architecture; Phase 0 re-validates the abort thresholds at the dwell cadence and the 0.6 MJ/m² design dose.</w:t>
      </w:r>
    </w:p>
    <w:p>
      <w:pPr>
        <w:pStyle w:val="Normal"/>
        <w:numPr>
          <w:ilvl w:val="0"/>
          <w:numId w:val="1"/>
        </w:numPr>
        <w:spacing w:after="80"/>
      </w:pPr>
      <w:r>
        <w:rPr>
          <w:b/>
          <w:rFonts w:ascii="Calibri" w:hAnsi="Calibri" w:eastAsia="Microsoft YaHei" w:cs="Calibri"/>
          <w:color w:val="3A2E28"/>
          <w:sz w:val="22"/>
          <w:szCs w:val="22"/>
        </w:rPr>
        <w:t xml:space="preserve">Predictive power scaling: </w:t>
      </w:r>
      <w:r>
        <w:rPr>
          <w:rFonts w:ascii="Calibri" w:hAnsi="Calibri" w:eastAsia="Microsoft YaHei" w:cs="Calibri"/>
          <w:color w:val="3A2E28"/>
          <w:sz w:val="22"/>
          <w:szCs w:val="22"/>
        </w:rPr>
        <w:t>the NIR moisture map (Section 8.1) feeds a forward model that sets laser power and RF pre-dryer output per patch before the vehicle arrives, replacing the reactive contact-probe response.</w:t>
      </w:r>
    </w:p>
    <w:p>
      <w:pPr>
        <w:pStyle w:val="Normal"/>
        <w:numPr>
          <w:ilvl w:val="0"/>
          <w:numId w:val="1"/>
        </w:numPr>
        <w:spacing w:after="80"/>
      </w:pPr>
      <w:r>
        <w:rPr>
          <w:b/>
          <w:rFonts w:ascii="Calibri" w:hAnsi="Calibri" w:eastAsia="Microsoft YaHei" w:cs="Calibri"/>
          <w:color w:val="3A2E28"/>
          <w:sz w:val="22"/>
          <w:szCs w:val="22"/>
        </w:rPr>
        <w:t xml:space="preserve">Layer 1, dead-reckoning fallback: </w:t>
      </w:r>
      <w:r>
        <w:rPr>
          <w:rFonts w:ascii="Calibri" w:hAnsi="Calibri" w:eastAsia="Microsoft YaHei" w:cs="Calibri"/>
          <w:color w:val="3A2E28"/>
          <w:sz w:val="22"/>
          <w:szCs w:val="22"/>
        </w:rPr>
        <w:t>pre-characterized fuel lookup tables now include scanner-and-traverse dose entries; degraded sensors switch to open-loop dwells at 20 percent power derate and log the segment.</w:t>
      </w:r>
    </w:p>
    <w:p>
      <w:pPr>
        <w:pStyle w:val="Normal"/>
        <w:numPr>
          <w:ilvl w:val="0"/>
          <w:numId w:val="1"/>
        </w:numPr>
        <w:spacing w:after="80"/>
      </w:pPr>
      <w:r>
        <w:rPr>
          <w:b/>
          <w:rFonts w:ascii="Calibri" w:hAnsi="Calibri" w:eastAsia="Microsoft YaHei" w:cs="Calibri"/>
          <w:color w:val="3A2E28"/>
          <w:sz w:val="22"/>
          <w:szCs w:val="22"/>
        </w:rPr>
        <w:t xml:space="preserve">Layer 2, cooling verification: </w:t>
      </w:r>
      <w:r>
        <w:rPr>
          <w:rFonts w:ascii="Calibri" w:hAnsi="Calibri" w:eastAsia="Microsoft YaHei" w:cs="Calibri"/>
          <w:color w:val="3A2E28"/>
          <w:sz w:val="22"/>
          <w:szCs w:val="22"/>
        </w:rPr>
        <w:t>the rear camera checks exponential cooling over the 30 to 60 s after each dwell; smolder signatures trigger hold, reverse one strip, re-treat, then mark-and-skip on a second failure. The re-treat reverse is a short controlled back-up, not a full turn.</w:t>
      </w:r>
    </w:p>
    <w:p>
      <w:pPr>
        <w:pStyle w:val="Normal"/>
        <w:numPr>
          <w:ilvl w:val="0"/>
          <w:numId w:val="1"/>
        </w:numPr>
        <w:spacing w:after="80"/>
      </w:pPr>
      <w:r>
        <w:rPr>
          <w:b/>
          <w:rFonts w:ascii="Calibri" w:hAnsi="Calibri" w:eastAsia="Microsoft YaHei" w:cs="Calibri"/>
          <w:color w:val="3A2E28"/>
          <w:sz w:val="22"/>
          <w:szCs w:val="22"/>
        </w:rPr>
        <w:t xml:space="preserve">Layer 3, staggered-belt redundancy: </w:t>
      </w:r>
      <w:r>
        <w:rPr>
          <w:rFonts w:ascii="Calibri" w:hAnsi="Calibri" w:eastAsia="Microsoft YaHei" w:cs="Calibri"/>
          <w:color w:val="3A2E28"/>
          <w:sz w:val="22"/>
          <w:szCs w:val="22"/>
        </w:rPr>
        <w:t>four staggered belts tolerate single-segment failures; the wider corridor deepens redundancy.</w:t>
      </w:r>
    </w:p>
    <w:p>
      <w:pPr>
        <w:pStyle w:val="Normal"/>
        <w:numPr>
          <w:ilvl w:val="0"/>
          <w:numId w:val="1"/>
        </w:numPr>
        <w:spacing w:after="80"/>
      </w:pPr>
      <w:r>
        <w:rPr>
          <w:b/>
          <w:rFonts w:ascii="Calibri" w:hAnsi="Calibri" w:eastAsia="Microsoft YaHei" w:cs="Calibri"/>
          <w:color w:val="3A2E28"/>
          <w:sz w:val="22"/>
          <w:szCs w:val="22"/>
        </w:rPr>
        <w:t xml:space="preserve">Terrain coupling: </w:t>
      </w:r>
      <w:r>
        <w:rPr>
          <w:rFonts w:ascii="Calibri" w:hAnsi="Calibri" w:eastAsia="Microsoft YaHei" w:cs="Calibri"/>
          <w:color w:val="3A2E28"/>
          <w:sz w:val="22"/>
          <w:szCs w:val="22"/>
        </w:rPr>
        <w:t>solar-insolation and aspect maps trim dose on dry south-facing slopes and extend it on moist north-facing ones, saving about 12 percent energy per kilometre; dwell-adaptive scaling ties dose to the NIR moisture map and the Doosan torque curve.</w:t>
      </w:r>
    </w:p>
    <w:p>
      <w:pPr>
        <w:pStyle w:val="Heading1"/>
      </w:pPr>
      <w:r>
        <w:rPr>
          <w:rFonts w:ascii="Calibri Light" w:hAnsi="Calibri Light" w:eastAsia="Microsoft YaHei" w:cs="Calibri Light"/>
          <w:b/>
          <w:color w:val="7B3F24"/>
          <w:sz w:val="34"/>
          <w:szCs w:val="34"/>
        </w:rPr>
        <w:t>15. Consolidated Bill of Materials</w:t>
      </w:r>
    </w:p>
    <w:p>
      <w:pPr>
        <w:pStyle w:val="Normal"/>
      </w:pPr>
      <w:r>
        <w:rPr>
          <w:rFonts w:ascii="Calibri" w:hAnsi="Calibri" w:eastAsia="Microsoft YaHei" w:cs="Calibri"/>
          <w:color w:val="3A2E28"/>
          <w:sz w:val="22"/>
          <w:szCs w:val="22"/>
        </w:rPr>
        <w:t>Table 9 lists every part in the Rugged v1.3 prototype: name, quantity, unit cost in Canadian dollars, line cost, and a source to obtain it. Prices reflect vendor listings checked in late July and early August 2026; Appendix A states the currency basis and which lines are budgetary estimates.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40"/>
        <w:gridCol w:w="1050"/>
        <w:gridCol w:w="3300"/>
        <w:gridCol w:w="400"/>
        <w:gridCol w:w="800"/>
        <w:gridCol w:w="850"/>
        <w:gridCol w:w="2900"/>
      </w:tblGrid>
      <w:tr>
        <w:trPr>
          <w:tblHeader w:val="1"/>
        </w:trPr>
        <w:tc>
          <w:tcPr>
            <w:tcW w:w="3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6"/>
                <w:szCs w:val="16"/>
              </w:rPr>
              <w:t>#</w:t>
            </w:r>
          </w:p>
        </w:tc>
        <w:tc>
          <w:tcPr>
            <w:tcW w:w="105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6"/>
                <w:szCs w:val="16"/>
              </w:rPr>
              <w:t>Subsystem</w:t>
            </w:r>
          </w:p>
        </w:tc>
        <w:tc>
          <w:tcPr>
            <w:tcW w:w="33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6"/>
                <w:szCs w:val="16"/>
              </w:rPr>
              <w:t>Item</w:t>
            </w:r>
          </w:p>
        </w:tc>
        <w:tc>
          <w:tcPr>
            <w:tcW w:w="4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6"/>
                <w:szCs w:val="16"/>
              </w:rPr>
              <w:t>Qty</w:t>
            </w:r>
          </w:p>
        </w:tc>
        <w:tc>
          <w:tcPr>
            <w:tcW w:w="8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6"/>
                <w:szCs w:val="16"/>
              </w:rPr>
              <w:t>Unit CAD</w:t>
            </w:r>
          </w:p>
        </w:tc>
        <w:tc>
          <w:tcPr>
            <w:tcW w:w="85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6"/>
                <w:szCs w:val="16"/>
              </w:rPr>
              <w:t>Line CAD</w:t>
            </w:r>
          </w:p>
        </w:tc>
        <w:tc>
          <w:tcPr>
            <w:tcW w:w="2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6"/>
                <w:szCs w:val="16"/>
              </w:rPr>
              <w:t>Source</w:t>
            </w:r>
          </w:p>
        </w:tc>
      </w:tr>
      <w:tr>
        <w:trPr>
          <w:tblHeader w:val="1"/>
        </w:trPr>
        <w:tc>
          <w:tcPr>
            <w:tcW w:w="3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105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Mobility Platform</w:t>
            </w:r>
          </w:p>
        </w:tc>
        <w:tc>
          <w:tcPr>
            <w:tcW w:w="33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SHERP N 1200 amphibious ATV, Doosan D18 55 hp, 1200 kg payload</w:t>
            </w:r>
          </w:p>
        </w:tc>
        <w:tc>
          <w:tcPr>
            <w:tcW w:w="4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8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175,000</w:t>
            </w:r>
          </w:p>
        </w:tc>
        <w:tc>
          <w:tcPr>
            <w:tcW w:w="85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175,000</w:t>
            </w:r>
          </w:p>
        </w:tc>
        <w:tc>
          <w:tcPr>
            <w:tcW w:w="2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MarketBook.ca Canadian dealer listings (CAD 175,000-189,000); sherp.ca</w:t>
            </w:r>
          </w:p>
        </w:tc>
      </w:tr>
      <w:tr>
        <w:trPr>
          <w:tblHeader w:val="1"/>
        </w:trP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Mobility Platform</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Drive-by-wire teleoperation conversion: Bowden servo box, controller, force-feedback RC kit</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28,000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28,000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Custom integration per DLR/Sensodrive AHEAD pattern (budgetary, RFQ)</w:t>
            </w:r>
          </w:p>
        </w:tc>
      </w:tr>
      <w:tr>
        <w:trPr>
          <w:tblHeader w:val="1"/>
        </w:trPr>
        <w:tc>
          <w:tcPr>
            <w:tcW w:w="3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105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Mobility Platform</w:t>
            </w:r>
          </w:p>
        </w:tc>
        <w:tc>
          <w:tcPr>
            <w:tcW w:w="33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Ground anchor kit: 4 heavy-duty screw-in anchors, ratchet straps, 50 m cable, chassis storage box</w:t>
            </w:r>
          </w:p>
        </w:tc>
        <w:tc>
          <w:tcPr>
            <w:tcW w:w="4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600</w:t>
            </w:r>
          </w:p>
        </w:tc>
        <w:tc>
          <w:tcPr>
            <w:tcW w:w="85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600</w:t>
            </w:r>
          </w:p>
        </w:tc>
        <w:tc>
          <w:tcPr>
            <w:tcW w:w="2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local rigging supplier</w:t>
            </w:r>
          </w:p>
        </w:tc>
      </w:tr>
      <w:tr>
        <w:trPr>
          <w:tblHeader w:val="1"/>
        </w:trP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Laser Array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IPG YLS-6000-ECO 6 kW multimode CW fiber laser, 1080 nm, water-cooled, 50% wall-plug</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170,000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85,000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IPG Photonics / IPG Canada (budgetary, RFQ); surplus market reference USD ~50,000</w:t>
            </w:r>
          </w:p>
        </w:tc>
      </w:tr>
      <w:tr>
        <w:trPr>
          <w:tblHeader w:val="1"/>
        </w:trPr>
        <w:tc>
          <w:tcPr>
            <w:tcW w:w="3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w:t>
            </w:r>
          </w:p>
        </w:tc>
        <w:tc>
          <w:tcPr>
            <w:tcW w:w="105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Laser Array</w:t>
            </w:r>
          </w:p>
        </w:tc>
        <w:tc>
          <w:tcPr>
            <w:tcW w:w="33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IPG D33 ultra-high-power laser scan head, 12 kW rated, IP67, 250 × 250 mm scan field, F500 mm lens</w:t>
            </w:r>
          </w:p>
        </w:tc>
        <w:tc>
          <w:tcPr>
            <w:tcW w:w="4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1</w:t>
            </w:r>
          </w:p>
        </w:tc>
        <w:tc>
          <w:tcPr>
            <w:tcW w:w="8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120,000</w:t>
            </w:r>
          </w:p>
        </w:tc>
        <w:tc>
          <w:tcPr>
            <w:tcW w:w="85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60,000</w:t>
            </w:r>
          </w:p>
        </w:tc>
        <w:tc>
          <w:tcPr>
            <w:tcW w:w="29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IPG Photonics (budgetary, RFQ)</w:t>
            </w:r>
          </w:p>
        </w:tc>
      </w:tr>
      <w:tr>
        <w:trPr>
          <w:tblHeader w:val="1"/>
        </w:trP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Laser Array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QBH beam delivery fiber 100 µm × 15 m with collimator, high-power rated</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5,000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2,500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Cloudray / Ospri (cloudraylaser.com)</w:t>
            </w:r>
          </w:p>
        </w:tc>
      </w:tr>
      <w:tr>
        <w:trPr>
          <w:tblHeader/>
        </w:trP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67</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Treatment Rack</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Cross-corridor scan-head traverse rails with drive units, 1.3 m travel</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4,500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4,500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HIWIN / THK linear rail via Canadian distributor (budgetary)</w:t>
            </w:r>
          </w:p>
        </w:tc>
      </w:tr>
      <w:tr>
        <w:trPr>
          <w:tblHeader/>
        </w:trP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68</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Thermal (Onboard)</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Liquid-to-air radiator, 15 kW, with fans, shroud, and plumbing</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2,800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2,800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Hayden Automotive / local radiator supplier (budgetary)</w:t>
            </w:r>
          </w:p>
        </w:tc>
      </w:tr>
      <w:tr>
        <w:trPr>
          <w:tblHeader/>
        </w:trP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Laser Array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Fused-silica protective windows, AR 1064 nm, spare lot</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Edmund Optics Canada</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Treatment Rack</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7075-T6 aluminum truss rack, fabricated arms and plate lot</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3,200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3,200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Custom fabrication with 7075-T6 stock (OnlineMetals / local fab)</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9</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Treatment Rack</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Progressive Automations PA-17 24-inch-stroke industrial actuator, 24 V, 2000 lb</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620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2,480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Progressive Automations, Victoria BC</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10</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Treatment Rack</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Wire-rope and elastomer vibration isolators</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VibraSystems / McMaster-Carr</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11</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Treatment Rack</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Phase-change thermal buffer: 25 kg RT50-class paraffin PCM in sealed aluminum panels, transient duty</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1,600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1,600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Rubitherm RT line via distributor</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RF Pre-Dryer</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RFHIC RIM251K6-20G 1.6 kW 2.45 GHz GaN solid-state microwave generator</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22,000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22,000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RFHIC (rfhic.com, budgetary, RFQ)</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13</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RF Pre-Dryer</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Waveguide applicator horn and RF-shielding mesh skirt</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3,200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3,200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Custom fabrication plus Laird / Leader Tech shielding</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14</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RF Pre-Dryer</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Microwave leakage survey meter, 2.45 GHz ISM</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1,800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1,800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ETS-Lindgren HI-1501 via Canadian distributor</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15</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Teledyne FLIR A70 Thermal Core, 640 × 480, high-temp option to 1000 °C</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10,400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20,800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ITM Instruments, Ontario (CAD 10,400 ea)</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16</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Avantes AvaSpec-ULS2048CL-EVO spectrometer 200-1100 nm, 600 µm fiber, collimating probe</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6,200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6,200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Avantes via distributor</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17</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Honeywell FS24X Plus triple-IR flame detector</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7,525</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7,525</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Instrumart (USD 5,374)</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18</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Ouster OS1-32 Rev 7 3D LiDAR</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Ouster / MYBOTSHOP (budgetary)</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19</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Emlid Reach RS3 RTK GNSS base + rover survey kit</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8,400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8,400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Emlid store (USD 5,998); RobotShop.ca</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20</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ASD FieldSpec 4 Hi-Res NG NIR spectrometer, 350-2500 nm, with fiber probe</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48,000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48,000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Malvern Panalytical ASD via Canadian distributor (budgetary, RFQ)</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21</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METER TEROS 10 soil moisture probe</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420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840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Hoskin Scientific, Canada</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22</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Davis Vantage Pro2 wireless weather station</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1,100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1,100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Hoskin Scientific, Canada</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23</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Folding sensor mast, 1.2 m, vibration-isolated</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Custom fabrication (budgetary)</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24</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Sensing</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Spring-loaded char quality test port, 2 cm stainless coring tube with collection cup</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250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250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Custom fabrication (budgetary)</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25</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Compute &amp; Control</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NVIDIA Jetson AGX Orin 64 GB developer kit, 275 TOPS</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6,900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6,900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RobotShop.ca / firefly.store</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26</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Compute &amp; Control</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Beckhoff CX5140-0125 embedded PC with TwinCAT 3</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4,565</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4,565</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Beckhoff Canada / plcpartssolution.com (USD 3,260)</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27</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Compute &amp; Control</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Beckhoff EtherCAT I/O terminal bundle (EL1809, EL2809, EL3064, EL4132, scanner sync)</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2,800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2,800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Beckhoff Canada (budgetary)</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28</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Compute &amp; Control</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Fanless rugged compute enclosure with conductive heat sinking</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Custom plus Axiomtek / Stealth parts</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29</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Power System</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 kW prime-rated compact vehicle-mount diesel generator, sound enclosure</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Central Maine Diesel / North Star Logistics (budgetary)</w:t>
            </w:r>
          </w:p>
        </w:tc>
      </w:tr>
      <w:tr>
        <w:tc>
          <w:tcPr>
            <w:tcW w:w="340" w:type="dxa"/>
            <w:tcMar>
              <w:top w:w="50" w:type="dxa"/>
              <w:left w:w="80" w:type="dxa"/>
              <w:bottom w:w="50" w:type="dxa"/>
              <w:right w:w="80" w:type="dxa"/>
            </w:tcMar>
            <w:shd w:val="clear" w:color="auto" w:fill="FBF6F1"/>
          </w:tcPr>
          <w:p>
            <w:pPr>
              <w:pStyle w:val="Normal"/>
              <w:spacing w:before="0" w:after="0" w:line="240" w:lineRule="auto"/>
            </w:pPr>
            <w:r>
              <w:rPr>
                <w:rFonts w:ascii="Calibri" w:hAnsi="Calibri" w:eastAsia="Microsoft YaHei" w:cs="Calibri"/>
                <w:color w:val="3A2E28"/>
                <w:sz w:val="16"/>
                <w:szCs w:val="16"/>
              </w:rPr>
              <w:t>30</w:t>
            </w:r>
          </w:p>
        </w:tc>
        <w:tc>
          <w:tcPr>
            <w:tcW w:w="1050" w:type="dxa"/>
            <w:tcMar>
              <w:top w:w="50" w:type="dxa"/>
              <w:left w:w="80" w:type="dxa"/>
              <w:bottom w:w="50" w:type="dxa"/>
              <w:right w:w="80" w:type="dxa"/>
            </w:tcMar>
            <w:shd w:val="clear" w:color="auto" w:fill="FBF6F1"/>
          </w:tcPr>
          <w:p>
            <w:pPr>
              <w:pStyle w:val="Normal"/>
              <w:spacing w:before="0" w:after="0" w:line="240" w:lineRule="auto"/>
            </w:pPr>
            <w:r>
              <w:rPr>
                <w:rFonts w:ascii="Calibri" w:hAnsi="Calibri" w:eastAsia="Microsoft YaHei" w:cs="Calibri"/>
                <w:color w:val="3A2E28"/>
                <w:sz w:val="16"/>
                <w:szCs w:val="16"/>
              </w:rPr>
              <w:t>Power System</w:t>
            </w:r>
          </w:p>
        </w:tc>
        <w:tc>
          <w:tcPr>
            <w:tcW w:w="3300" w:type="dxa"/>
            <w:tcMar>
              <w:top w:w="50" w:type="dxa"/>
              <w:left w:w="80" w:type="dxa"/>
              <w:bottom w:w="50" w:type="dxa"/>
              <w:right w:w="80" w:type="dxa"/>
            </w:tcMar>
            <w:shd w:val="clear" w:color="auto" w:fill="FBF6F1"/>
          </w:tcPr>
          <w:p>
            <w:pPr>
              <w:pStyle w:val="Normal"/>
              <w:spacing w:before="0" w:after="0" w:line="240" w:lineRule="auto"/>
            </w:pPr>
            <w:r>
              <w:rPr>
                <w:rFonts w:ascii="Calibri" w:hAnsi="Calibri" w:eastAsia="Microsoft YaHei" w:cs="Calibri"/>
                <w:color w:val="3A2E28"/>
                <w:sz w:val="16"/>
                <w:szCs w:val="16"/>
              </w:rPr>
              <w:t>48 V 100 Ah LiFePO4 hot-swap module, 5.12 kWh, quick-release mount</w:t>
            </w:r>
          </w:p>
        </w:tc>
        <w:tc>
          <w:tcPr>
            <w:tcW w:w="400" w:type="dxa"/>
            <w:tcMar>
              <w:top w:w="50" w:type="dxa"/>
              <w:left w:w="80" w:type="dxa"/>
              <w:bottom w:w="50" w:type="dxa"/>
              <w:right w:w="80" w:type="dxa"/>
            </w:tcMar>
            <w:shd w:val="clear" w:color="auto" w:fill="FBF6F1"/>
          </w:tcPr>
          <w:p>
            <w:pPr>
              <w:pStyle w:val="Normal"/>
              <w:spacing w:before="0" w:after="0" w:line="240" w:lineRule="auto"/>
            </w:pPr>
            <w:r>
              <w:rPr>
                <w:rFonts w:ascii="Calibri" w:hAnsi="Calibri" w:eastAsia="Microsoft YaHei" w:cs="Calibri"/>
                <w:b/>
                <w:color w:val="3A2E28"/>
                <w:sz w:val="16"/>
                <w:szCs w:val="16"/>
              </w:rPr>
              <w:t>3</w:t>
            </w:r>
          </w:p>
        </w:tc>
        <w:tc>
          <w:tcPr>
            <w:tcW w:w="800" w:type="dxa"/>
            <w:tcMar>
              <w:top w:w="50" w:type="dxa"/>
              <w:left w:w="80" w:type="dxa"/>
              <w:bottom w:w="50" w:type="dxa"/>
              <w:right w:w="80" w:type="dxa"/>
            </w:tcMar>
            <w:shd w:val="clear" w:color="auto" w:fill="FBF6F1"/>
          </w:tcPr>
          <w:p>
            <w:pPr>
              <w:pStyle w:val="Normal"/>
              <w:spacing w:before="0" w:after="0" w:line="240" w:lineRule="auto"/>
            </w:pPr>
            <w:r>
              <w:rPr>
                <w:rFonts w:ascii="Calibri" w:hAnsi="Calibri" w:eastAsia="Microsoft YaHei" w:cs="Calibri"/>
                <w:color w:val="3A2E28"/>
                <w:sz w:val="16"/>
                <w:szCs w:val="16"/>
              </w:rPr>
              <w:t>1,300</w:t>
            </w:r>
          </w:p>
        </w:tc>
        <w:tc>
          <w:tcPr>
            <w:tcW w:w="850" w:type="dxa"/>
            <w:tcMar>
              <w:top w:w="50" w:type="dxa"/>
              <w:left w:w="80" w:type="dxa"/>
              <w:bottom w:w="50" w:type="dxa"/>
              <w:right w:w="80" w:type="dxa"/>
            </w:tcMar>
            <w:shd w:val="clear" w:color="auto" w:fill="FBF6F1"/>
          </w:tcPr>
          <w:p>
            <w:pPr>
              <w:pStyle w:val="Normal"/>
              <w:spacing w:before="0" w:after="0" w:line="240" w:lineRule="auto"/>
            </w:pPr>
            <w:r>
              <w:rPr>
                <w:rFonts w:ascii="Calibri" w:hAnsi="Calibri" w:eastAsia="Microsoft YaHei" w:cs="Calibri"/>
                <w:color w:val="3A2E28"/>
                <w:sz w:val="16"/>
                <w:szCs w:val="16"/>
              </w:rPr>
              <w:t>2,600</w:t>
            </w:r>
          </w:p>
        </w:tc>
        <w:tc>
          <w:tcPr>
            <w:tcW w:w="2900" w:type="dxa"/>
            <w:tcMar>
              <w:top w:w="50" w:type="dxa"/>
              <w:left w:w="80" w:type="dxa"/>
              <w:bottom w:w="50" w:type="dxa"/>
              <w:right w:w="80" w:type="dxa"/>
            </w:tcMar>
            <w:shd w:val="clear" w:color="auto" w:fill="FBF6F1"/>
          </w:tcPr>
          <w:p>
            <w:pPr>
              <w:pStyle w:val="Normal"/>
              <w:spacing w:before="0" w:after="0" w:line="240" w:lineRule="auto"/>
            </w:pPr>
            <w:r>
              <w:rPr>
                <w:rFonts w:ascii="Calibri" w:hAnsi="Calibri" w:eastAsia="Microsoft YaHei" w:cs="Calibri"/>
                <w:color w:val="3A2E28"/>
                <w:sz w:val="16"/>
                <w:szCs w:val="16"/>
              </w:rPr>
              <w:t>JM Battery / CHARGEX (USD ~930 ea)</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31</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Power System</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48 V 50 Ah LiFePO4 auxiliary/start battery, 2.56 kWh</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JM Battery / CHARGEX</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32</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Power System</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Victron Skylla-i 48 V charger</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Victron dealer (volts.ca / pkys.com)</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33</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Power System</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Victron Orion-Tr 48/24-16 A isolated DC-DC</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280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840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Victron dealer (pkys.com)</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34</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Power System</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Victron Orion 24/12-40 DC-DC</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130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260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Victron dealer (pkys.com)</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35</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Power System</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TE Kilovac EV200 contactors, Littelfuse fuses, busbars</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1,100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1,100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DigiKey.ca / Mouser.ca</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36</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Power System</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Cable, lugs, DIN rail, breakers, glands (short-run harness lot)</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DigiKey.ca / AutomationDirect</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37</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Power System</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Generator fuel tap, filtration, and plumbing into SHERP main tank</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local hose shop</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38</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Thermal (Base)</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S&amp;A TEYU CWFL-3000 industrial chiller, base re-cooling and bench</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3,080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3,080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TEYU S&amp;A (USD 2,199)</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39</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Thermal (Base)</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Onboard glycol loop plumbing, 24 V circulation pump, quick-disconnect couplers</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1,100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1,100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McMaster-Carr / Princess Auto</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40</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Smoke Management</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EXAIR model 110036 36-inch aluminum Super Air Knife</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1,350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1,350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EXAIR (exair.com, USD 966)</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41</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Smoke Management</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Viair 400C 24 V intermittent-duty compressor + 1 L air receiver</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Viair via Canadian 4x4 distributors</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42</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Smoke Management</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Air regulator, filter, and fittings lot</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McMaster-Carr</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43</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Stabilization Spray</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 L polyethylene spray tank (stabilization mix)</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FIMCO</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44</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Stabilization Spray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Shurflo 4000-series 12 V high-flow diaphragm pump</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380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380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agspray.com</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Stabilization Spray</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TeeJet boomless nozzle bodies and tips</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280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TeeJet via agspray.com</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46</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Stabilization Spray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Solenoid valves, hose, and fittings lot</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47</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Stabilization Spray</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Water drafting transfer pump with suction hose and strainer</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450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Waterax dealer</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48</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Stabilization Spray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3-way diverter valve and short hose for emergency tank refill</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49</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Emergency Suppression</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25 L polyethylene tank, dedicated clean-water reserve</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120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FIMCO</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50</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Emergency Suppression</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24 V high-flow pump, 40 L/min, intermittent duty</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520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520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agspray.com</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51</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Emergency Suppression</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Adjustable-pattern nozzle, solid stream to wide cone, 3-5 m reach</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130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130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TeeJet / agspray.com</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52</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Emergency Suppression</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Check valve, isolation valve, drain fittings, dedicated line</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420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420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 / McMaster-Carr</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53</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Emergency Suppression</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GCS panic button and vehicle-local button hardware</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90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90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DigiKey.ca</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54</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Comms &amp; GCS</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Microhard pMDDL2450 MIMO data-link pair with carriers and antennas</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1,540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1,540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Microhard, Toronto ON, via ModalAI / ARK Electron</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55</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Comms &amp; GCS</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Panasonic Toughbook 40 ground control station</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4,800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4,800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Panasonic Canada / CDW.ca (budgetary)</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56</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Comms &amp; GCS</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Starlink Mini backup backhaul terminal</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399</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399</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Starlink (starlink.com)</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57</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Safety</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Pilz PNOZ s4 24 VDC safety relay</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DigiKey.ca / houseofelectrical.com</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58</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Safety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IDEC IP65 emergency-stop stations</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240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DigiKey.ca</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59</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Safety</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Keyed interlock switches, tilt sensor, contact bumper strips</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DigiKey.ca / AutomationDirect</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Safety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Laser Safety Industries OD7 1064 nm laser curtain, base test bay</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575</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2,300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lasersafetyindustries.com (CAD 575 ea)</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61</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Safety</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Laser warning beacon stack light and signage lot</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350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350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AutomationDirect / local sign shop</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62</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Safety</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OD7+ laser safety eyewear, 1064 nm</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Laservision / Phillips Safety</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63</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Safety</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10 lb ABC fire extinguishers with vehicle mounts</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2</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150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300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Princess Auto</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64</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Integration</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Steel and aluminum fabrication incl. 7075 truss rack, welding, powder coat</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4,800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4,800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Local fabrication shop (budgetary)</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65</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Integration</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Deutsch DT and Amphenol connectors, fasteners, cable glands</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1,400</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1,400</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DigiKey.ca / Mouser.ca</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66</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Integration</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Commissioning consumables: lime, mineral oil, glycol, PPE</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1</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400</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400</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Home Hardware / Princess Auto</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6"/>
                <w:szCs w:val="16"/>
              </w:rPr>
              <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Subtotal</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728,089</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r>
      <w:tr>
        <w:tc>
          <w:tcPr>
            <w:tcW w:w="3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10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3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Contingency, 10% (price movement, freight, duties)</w:t>
            </w:r>
          </w:p>
        </w:tc>
        <w:tc>
          <w:tcPr>
            <w:tcW w:w="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85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72,809</w:t>
            </w:r>
          </w:p>
        </w:tc>
        <w:tc>
          <w:tcPr>
            <w:tcW w:w="29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r>
      <w:tr>
        <w:tc>
          <w:tcPr>
            <w:tcW w:w="3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10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3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Grand total, prototype unit (CAD)</w:t>
            </w:r>
          </w:p>
        </w:tc>
        <w:tc>
          <w:tcPr>
            <w:tcW w:w="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c>
          <w:tcPr>
            <w:tcW w:w="85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800,898</w:t>
            </w:r>
          </w:p>
        </w:tc>
        <w:tc>
          <w:tcPr>
            <w:tcW w:w="29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6"/>
                <w:szCs w:val="16"/>
              </w:rPr>
              <w:t/>
            </w:r>
          </w:p>
        </w:tc>
      </w:tr>
    </w:tbl>
    <w:p>
      <w:pPr>
        <w:pStyle w:val="Caption"/>
      </w:pPr>
      <w:r>
        <w:rPr>
          <w:rFonts w:ascii="Calibri" w:hAnsi="Calibri" w:eastAsia="Microsoft YaHei" w:cs="Calibri"/>
          <w:i/>
          <w:color w:val="8C7A6B"/>
          <w:sz w:val="18"/>
          <w:szCs w:val="18"/>
        </w:rPr>
        <w:t>Table 9: Consolidated bill of materials, Contra Favillas Rugged v1.3, all prices CAD.</w:t>
      </w:r>
    </w:p>
    <w:p>
      <w:pPr>
        <w:pStyle w:val="Heading1"/>
      </w:pPr>
      <w:r>
        <w:rPr>
          <w:rFonts w:ascii="Calibri Light" w:hAnsi="Calibri Light" w:eastAsia="Microsoft YaHei" w:cs="Calibri Light"/>
          <w:b/>
          <w:color w:val="7B3F24"/>
          <w:sz w:val="34"/>
          <w:szCs w:val="34"/>
        </w:rPr>
        <w:t>16. Cost Summary and Variant Comparison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200"/>
        <w:gridCol w:w="2200"/>
        <w:gridCol w:w="1600"/>
      </w:tblGrid>
      <w:tr>
        <w:trPr>
          <w:tblHeader w:val="1"/>
        </w:trPr>
        <w:tc>
          <w:tcPr>
            <w:tcW w:w="42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Subsystem</w:t>
            </w:r>
          </w:p>
        </w:tc>
        <w:tc>
          <w:tcPr>
            <w:tcW w:w="22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Cost (CAD)</w:t>
            </w:r>
          </w:p>
        </w:tc>
        <w:tc>
          <w:tcPr>
            <w:tcW w:w="16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Share</w:t>
            </w:r>
          </w:p>
        </w:tc>
      </w:tr>
      <w:tr>
        <w:tc>
          <w:tcPr>
            <w:tcW w:w="4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Mobility Platform</w:t>
            </w:r>
          </w:p>
        </w:tc>
        <w:tc>
          <w:tcPr>
            <w:tcW w:w="2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203,600</w:t>
            </w:r>
          </w:p>
        </w:tc>
        <w:tc>
          <w:tcPr>
            <w:tcW w:w="1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28.1%</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Laser Array</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293,100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40.4%</w:t>
            </w:r>
          </w:p>
        </w:tc>
      </w:tr>
      <w:tr>
        <w:tc>
          <w:tcPr>
            <w:tcW w:w="4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Treatment Rack</w:t>
            </w:r>
          </w:p>
        </w:tc>
        <w:tc>
          <w:tcPr>
            <w:tcW w:w="2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12,230</w:t>
            </w:r>
          </w:p>
        </w:tc>
        <w:tc>
          <w:tcPr>
            <w:tcW w:w="1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1.7%</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RF Pre-Dryer</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27,000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3.7%</w:t>
            </w:r>
          </w:p>
        </w:tc>
      </w:tr>
      <w:tr>
        <w:tc>
          <w:tcPr>
            <w:tcW w:w="4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Sensing</w:t>
            </w:r>
          </w:p>
        </w:tc>
        <w:tc>
          <w:tcPr>
            <w:tcW w:w="2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105,915</w:t>
            </w:r>
          </w:p>
        </w:tc>
        <w:tc>
          <w:tcPr>
            <w:tcW w:w="1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14.6%</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Compute &amp; Control</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15,465</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2.1%</w:t>
            </w:r>
          </w:p>
        </w:tc>
      </w:tr>
      <w:tr>
        <w:tc>
          <w:tcPr>
            <w:tcW w:w="4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Power System</w:t>
            </w:r>
          </w:p>
        </w:tc>
        <w:tc>
          <w:tcPr>
            <w:tcW w:w="2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37,700</w:t>
            </w:r>
          </w:p>
        </w:tc>
        <w:tc>
          <w:tcPr>
            <w:tcW w:w="16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5.2%</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Thermal (Base)</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4,180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0.6%</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Thermal (Onboard)</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2,800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0.4%</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Smoke Management</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2,100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0.3%</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Stabilization Spray</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1,790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0.2%</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Emergency Suppression</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1,280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0.2%</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Comms &amp; GCS</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6,739</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0.9%</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Safety</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5,090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0.7%</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Integration</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6,600</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0.9%</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Subtotal</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728,089</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100.0%</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Contingency, 10%</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72,809</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
            </w:r>
          </w:p>
        </w:tc>
      </w:tr>
      <w:tr>
        <w:tc>
          <w:tcPr>
            <w:tcW w:w="4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Grand total (CAD)</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800,898</w:t>
            </w:r>
          </w:p>
        </w:tc>
        <w:tc>
          <w:tcPr>
            <w:tcW w:w="16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
            </w:r>
          </w:p>
        </w:tc>
      </w:tr>
    </w:tbl>
    <w:p>
      <w:pPr>
        <w:pStyle w:val="Caption"/>
      </w:pPr>
      <w:r>
        <w:rPr>
          <w:rFonts w:ascii="Calibri" w:hAnsi="Calibri" w:eastAsia="Microsoft YaHei" w:cs="Calibri"/>
          <w:i/>
          <w:color w:val="8C7A6B"/>
          <w:sz w:val="18"/>
          <w:szCs w:val="18"/>
        </w:rPr>
        <w:t>Table 10: Cost roll-up by subsystem.</w:t>
      </w:r>
    </w:p>
    <w:p>
      <w:pPr>
        <w:pStyle w:val="Normal"/>
        <w:keepNext/>
        <w:spacing w:before="200" w:after="60"/>
        <w:jc w:val="center"/>
      </w:pPr>
      <w:r>
        <w:drawing>
          <wp:inline distT="0" distB="0" distL="0" distR="0">
            <wp:extent cx="5400000" cy="3024212"/>
            <wp:effectExtent l="0" t="0" r="0" b="0"/>
            <wp:docPr id="102" name="CostBreakdown"/>
            <wp:cNvGraphicFramePr>
              <a:graphicFrameLocks noChangeAspect="1"/>
            </wp:cNvGraphicFramePr>
            <a:graphic>
              <a:graphicData uri="http://schemas.openxmlformats.org/drawingml/2006/picture">
                <pic:pic>
                  <pic:nvPicPr>
                    <pic:cNvPr id="0" name="CostBreakdown.png"/>
                    <pic:cNvPicPr/>
                  </pic:nvPicPr>
                  <pic:blipFill>
                    <a:blip r:embed="Ra398eb75cdf1460b"/>
                    <a:stretch>
                      <a:fillRect/>
                    </a:stretch>
                  </pic:blipFill>
                  <pic:spPr>
                    <a:xfrm>
                      <a:off x="0" y="0"/>
                      <a:ext cx="5400000" cy="3024212"/>
                    </a:xfrm>
                    <a:prstGeom prst="rect"/>
                  </pic:spPr>
                </pic:pic>
              </a:graphicData>
            </a:graphic>
          </wp:inline>
        </w:drawing>
      </w:r>
    </w:p>
    <w:p>
      <w:pPr>
        <w:pStyle w:val="Caption"/>
      </w:pPr>
      <w:r>
        <w:rPr>
          <w:rFonts w:ascii="Calibri" w:hAnsi="Calibri" w:eastAsia="Microsoft YaHei" w:cs="Calibri"/>
          <w:i/>
          <w:color w:val="8C7A6B"/>
          <w:sz w:val="18"/>
          <w:szCs w:val="18"/>
        </w:rPr>
        <w:t>Figure 3: Bill-of-materials cost by subsystem.</w:t>
      </w:r>
    </w:p>
    <w:p>
      <w:pPr>
        <w:pStyle w:val="Normal"/>
      </w:pPr>
      <w:r>
        <w:rPr>
          <w:rFonts w:ascii="Calibri" w:hAnsi="Calibri" w:eastAsia="Microsoft YaHei" w:cs="Calibri"/>
          <w:color w:val="3A2E28"/>
          <w:sz w:val="22"/>
          <w:szCs w:val="22"/>
        </w:rPr>
        <w:t>The Rugged v1.3 prototype lands at CAD 800,898 against CAD 488,047 for v1.1. The increase buys the dual-source IPG architecture, the second scan head, the 30 kW generator, the traverse rails, and the onboard radiator, which together deliver an energy-honest 0.13 to 0.24 km per unit per day, about three times the energy-consistent v1.1 figure. The v1.2 claim of a 10-fold gain for a 29 percent capex increase does not survive the energy audit; Section 20 quantifies the corrected economics. Procurement leads with the SHERP (8-12 weeks), the IPG sources and D33 heads (10-14 weeks, RFQ), the teleoperation conversion (12-16 weeks), and the ASD FieldSpec (8-12 weeks).</w:t>
      </w:r>
    </w:p>
    <w:p>
      <w:pPr>
        <w:pStyle w:val="Heading1"/>
      </w:pPr>
      <w:r>
        <w:rPr>
          <w:rFonts w:ascii="Calibri Light" w:hAnsi="Calibri Light" w:eastAsia="Microsoft YaHei" w:cs="Calibri Light"/>
          <w:b/>
          <w:color w:val="7B3F24"/>
          <w:sz w:val="34"/>
          <w:szCs w:val="34"/>
        </w:rPr>
        <w:t>17. Assembly and Integration Plan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1400"/>
        <w:gridCol w:w="5300"/>
        <w:gridCol w:w="2940"/>
      </w:tblGrid>
      <w:tr>
        <w:trPr>
          <w:tblHeader w:val="1"/>
        </w:trPr>
        <w:tc>
          <w:tcPr>
            <w:tcW w:w="14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Weeks</w:t>
            </w:r>
          </w:p>
        </w:tc>
        <w:tc>
          <w:tcPr>
            <w:tcW w:w="53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Work package</w:t>
            </w:r>
          </w:p>
        </w:tc>
        <w:tc>
          <w:tcPr>
            <w:tcW w:w="29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Exit criteria</w:t>
            </w:r>
          </w:p>
        </w:tc>
      </w:tr>
      <w:tr>
        <w:tc>
          <w:tcPr>
            <w:tcW w:w="1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1-4</w:t>
            </w:r>
          </w:p>
        </w:tc>
        <w:tc>
          <w:tcPr>
            <w:tcW w:w="5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Teleoperation conversion: Bowden box, brake actuator, controller integration</w:t>
            </w:r>
          </w:p>
        </w:tc>
        <w:tc>
          <w:tcPr>
            <w:tcW w:w="29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Remote drive with 0.4 s e-stop demonstrated</w:t>
            </w:r>
          </w:p>
        </w:tc>
      </w:tr>
      <w:tr>
        <w:tc>
          <w:tcPr>
            <w:tcW w:w="1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2-5</w:t>
            </w:r>
          </w:p>
        </w:tc>
        <w:tc>
          <w:tcPr>
            <w:tcW w:w="5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Generator compartment, hot-swap battery cradle, short-run harness</w:t>
            </w:r>
          </w:p>
        </w:tc>
        <w:tc>
          <w:tcPr>
            <w:tcW w:w="29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25.3 kW sustained load test, 2 h; module swap drill</w:t>
            </w:r>
          </w:p>
        </w:tc>
      </w:tr>
      <w:tr>
        <w:tc>
          <w:tcPr>
            <w:tcW w:w="1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3-6</w:t>
            </w:r>
          </w:p>
        </w:tc>
        <w:tc>
          <w:tcPr>
            <w:tcW w:w="5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7075 truss rack, parallelogram linkage, transit-mode lockouts</w:t>
            </w:r>
          </w:p>
        </w:tc>
        <w:tc>
          <w:tcPr>
            <w:tcW w:w="29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Standoff 10-80 cm, level on 20° tilt, 25 kg saved against v1.1</w:t>
            </w:r>
          </w:p>
        </w:tc>
      </w:tr>
      <w:tr>
        <w:tc>
          <w:tcPr>
            <w:tcW w:w="1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4-9</w:t>
            </w:r>
          </w:p>
        </w:tc>
        <w:tc>
          <w:tcPr>
            <w:tcW w:w="5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Laser integration: 2 x YLS-6000-ECO, 2 x D33 heads, traverse timing, radiator, chiller</w:t>
            </w:r>
          </w:p>
        </w:tc>
        <w:tc>
          <w:tcPr>
            <w:tcW w:w="29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Dwell dose verified on bench across traverse-painted belts</w:t>
            </w:r>
          </w:p>
        </w:tc>
      </w:tr>
      <w:tr>
        <w:tc>
          <w:tcPr>
            <w:tcW w:w="1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6-10</w:t>
            </w:r>
          </w:p>
        </w:tc>
        <w:tc>
          <w:tcPr>
            <w:tcW w:w="5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Sensing: mast, NIR FieldSpec calibration, FLIR, OES, FS24X, char test port</w:t>
            </w:r>
          </w:p>
        </w:tc>
        <w:tc>
          <w:tcPr>
            <w:tcW w:w="29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Moisture map validated against contact probe ground truth</w:t>
            </w:r>
          </w:p>
        </w:tc>
      </w:tr>
      <w:tr>
        <w:tc>
          <w:tcPr>
            <w:tcW w:w="1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5-12</w:t>
            </w:r>
          </w:p>
        </w:tc>
        <w:tc>
          <w:tcPr>
            <w:tcW w:w="5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Control software: scanner and traverse sync, predictive scaling, Layers 1-3</w:t>
            </w:r>
          </w:p>
        </w:tc>
        <w:tc>
          <w:tcPr>
            <w:tcW w:w="29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Hardware-in-the-loop dwell-advance pass with RTK odometry</w:t>
            </w:r>
          </w:p>
        </w:tc>
      </w:tr>
      <w:tr>
        <w:tc>
          <w:tcPr>
            <w:tcW w:w="14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9-13</w:t>
            </w:r>
          </w:p>
        </w:tc>
        <w:tc>
          <w:tcPr>
            <w:tcW w:w="53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Safety validation: interlock chain, scanning-beam NHZ, anchor deployment, suppression drill</w:t>
            </w:r>
          </w:p>
        </w:tc>
        <w:tc>
          <w:tcPr>
            <w:tcW w:w="29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Flame-to-shutdown under 100 ms; anchors hold on 25° slope</w:t>
            </w:r>
          </w:p>
        </w:tc>
      </w:tr>
      <w:tr>
        <w:tc>
          <w:tcPr>
            <w:tcW w:w="14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14-18</w:t>
            </w:r>
          </w:p>
        </w:tc>
        <w:tc>
          <w:tcPr>
            <w:tcW w:w="53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Field validation: 26 m/h corridor runs, dose audit, registration measurement</w:t>
            </w:r>
          </w:p>
        </w:tc>
        <w:tc>
          <w:tcPr>
            <w:tcW w:w="29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Energy-audited dose, 2 cm registration over 1 km</w:t>
            </w:r>
          </w:p>
        </w:tc>
      </w:tr>
    </w:tbl>
    <w:p>
      <w:pPr>
        <w:pStyle w:val="Caption"/>
      </w:pPr>
      <w:r>
        <w:rPr>
          <w:rFonts w:ascii="Calibri" w:hAnsi="Calibri" w:eastAsia="Microsoft YaHei" w:cs="Calibri"/>
          <w:i/>
          <w:color w:val="8C7A6B"/>
          <w:sz w:val="18"/>
          <w:szCs w:val="18"/>
        </w:rPr>
        <w:t>Table 11: Eighteen-week assembly and integration plan.</w:t>
      </w:r>
    </w:p>
    <w:p>
      <w:pPr>
        <w:pStyle w:val="Heading1"/>
      </w:pPr>
      <w:r>
        <w:rPr>
          <w:rFonts w:ascii="Calibri Light" w:hAnsi="Calibri Light" w:eastAsia="Microsoft YaHei" w:cs="Calibri Light"/>
          <w:b/>
          <w:color w:val="7B3F24"/>
          <w:sz w:val="34"/>
          <w:szCs w:val="34"/>
        </w:rPr>
        <w:t>18. Regulatory and Compliance Framework</w:t>
      </w:r>
    </w:p>
    <w:p>
      <w:pPr>
        <w:pStyle w:val="Normal"/>
        <w:numPr>
          <w:ilvl w:val="0"/>
          <w:numId w:val="1"/>
        </w:numPr>
        <w:spacing w:after="80"/>
      </w:pPr>
      <w:r>
        <w:rPr>
          <w:b/>
          <w:rFonts w:ascii="Calibri" w:hAnsi="Calibri" w:eastAsia="Microsoft YaHei" w:cs="Calibri"/>
          <w:color w:val="3A2E28"/>
          <w:sz w:val="22"/>
          <w:szCs w:val="22"/>
        </w:rPr>
        <w:t xml:space="preserve">Laser product: </w:t>
      </w:r>
      <w:r>
        <w:rPr>
          <w:rFonts w:ascii="Calibri" w:hAnsi="Calibri" w:eastAsia="Microsoft YaHei" w:cs="Calibri"/>
          <w:color w:val="3A2E28"/>
          <w:sz w:val="22"/>
          <w:szCs w:val="22"/>
        </w:rPr>
        <w:t>Class 4 operation follows ANSI Z136.1 practice, provincial OH&amp;S rules, and the Radiation Emitting Devices Act; the laser safety officer owns the recalculated scanning-beam NHZ and safety case.</w:t>
      </w:r>
    </w:p>
    <w:p>
      <w:pPr>
        <w:pStyle w:val="Normal"/>
        <w:numPr>
          <w:ilvl w:val="0"/>
          <w:numId w:val="1"/>
        </w:numPr>
        <w:spacing w:after="80"/>
      </w:pPr>
      <w:r>
        <w:rPr>
          <w:b/>
          <w:rFonts w:ascii="Calibri" w:hAnsi="Calibri" w:eastAsia="Microsoft YaHei" w:cs="Calibri"/>
          <w:color w:val="3A2E28"/>
          <w:sz w:val="22"/>
          <w:szCs w:val="22"/>
        </w:rPr>
        <w:t xml:space="preserve">Wildland operations: </w:t>
      </w:r>
      <w:r>
        <w:rPr>
          <w:rFonts w:ascii="Calibri" w:hAnsi="Calibri" w:eastAsia="Microsoft YaHei" w:cs="Calibri"/>
          <w:color w:val="3A2E28"/>
          <w:sz w:val="22"/>
          <w:szCs w:val="22"/>
        </w:rPr>
        <w:t>provincial wildfire legislation governs ignition-capable activity; backcountry deployment adds fire-watch obligations and coordination with the local wildfire service district.</w:t>
      </w:r>
    </w:p>
    <w:p>
      <w:pPr>
        <w:pStyle w:val="Normal"/>
        <w:numPr>
          <w:ilvl w:val="0"/>
          <w:numId w:val="1"/>
        </w:numPr>
        <w:spacing w:after="80"/>
      </w:pPr>
      <w:r>
        <w:rPr>
          <w:b/>
          <w:rFonts w:ascii="Calibri" w:hAnsi="Calibri" w:eastAsia="Microsoft YaHei" w:cs="Calibri"/>
          <w:color w:val="3A2E28"/>
          <w:sz w:val="22"/>
          <w:szCs w:val="22"/>
        </w:rPr>
        <w:t xml:space="preserve">Vehicle operation: </w:t>
      </w:r>
      <w:r>
        <w:rPr>
          <w:rFonts w:ascii="Calibri" w:hAnsi="Calibri" w:eastAsia="Microsoft YaHei" w:cs="Calibri"/>
          <w:color w:val="3A2E28"/>
          <w:sz w:val="22"/>
          <w:szCs w:val="22"/>
        </w:rPr>
        <w:t>off-road vehicle rules plus an operational-authority review for empty-cabin teleoperation; amphibious capability engages water-crossing and environmental conditions site by site.</w:t>
      </w:r>
    </w:p>
    <w:p>
      <w:pPr>
        <w:pStyle w:val="Normal"/>
        <w:numPr>
          <w:ilvl w:val="0"/>
          <w:numId w:val="1"/>
        </w:numPr>
        <w:spacing w:after="80"/>
      </w:pPr>
      <w:r>
        <w:rPr>
          <w:b/>
          <w:rFonts w:ascii="Calibri" w:hAnsi="Calibri" w:eastAsia="Microsoft YaHei" w:cs="Calibri"/>
          <w:color w:val="3A2E28"/>
          <w:sz w:val="22"/>
          <w:szCs w:val="22"/>
        </w:rPr>
        <w:t xml:space="preserve">RF emissions: </w:t>
      </w:r>
      <w:r>
        <w:rPr>
          <w:rFonts w:ascii="Calibri" w:hAnsi="Calibri" w:eastAsia="Microsoft YaHei" w:cs="Calibri"/>
          <w:color w:val="3A2E28"/>
          <w:sz w:val="22"/>
          <w:szCs w:val="22"/>
        </w:rPr>
        <w:t>the 2.45 GHz pre-dryer follows ISED interference-causing equipment standards; data link and RTK radios operate in licence-free bands.</w:t>
      </w:r>
    </w:p>
    <w:p>
      <w:pPr>
        <w:pStyle w:val="Normal"/>
        <w:numPr>
          <w:ilvl w:val="0"/>
          <w:numId w:val="1"/>
        </w:numPr>
        <w:spacing w:after="80"/>
      </w:pPr>
      <w:r>
        <w:rPr>
          <w:b/>
          <w:rFonts w:ascii="Calibri" w:hAnsi="Calibri" w:eastAsia="Microsoft YaHei" w:cs="Calibri"/>
          <w:color w:val="3A2E28"/>
          <w:sz w:val="22"/>
          <w:szCs w:val="22"/>
        </w:rPr>
        <w:t xml:space="preserve">Fuel and environment: </w:t>
      </w:r>
      <w:r>
        <w:rPr>
          <w:rFonts w:ascii="Calibri" w:hAnsi="Calibri" w:eastAsia="Microsoft YaHei" w:cs="Calibri"/>
          <w:color w:val="3A2E28"/>
          <w:sz w:val="22"/>
          <w:szCs w:val="22"/>
        </w:rPr>
        <w:t>the 327 L onboard fuel inventory triggers TDG and spill-response planning; the drafting pump respects water-use and aquatic-invasive-species rules with strainer and decontamination practice.</w:t>
      </w:r>
    </w:p>
    <w:p>
      <w:pPr>
        <w:pStyle w:val="Normal"/>
        <w:numPr>
          <w:ilvl w:val="0"/>
          <w:numId w:val="1"/>
        </w:numPr>
        <w:spacing w:after="80"/>
      </w:pPr>
      <w:r>
        <w:rPr>
          <w:b/>
          <w:rFonts w:ascii="Calibri" w:hAnsi="Calibri" w:eastAsia="Microsoft YaHei" w:cs="Calibri"/>
          <w:color w:val="3A2E28"/>
          <w:sz w:val="22"/>
          <w:szCs w:val="22"/>
        </w:rPr>
        <w:t xml:space="preserve">Field ethics and ecology: </w:t>
      </w:r>
      <w:r>
        <w:rPr>
          <w:rFonts w:ascii="Calibri" w:hAnsi="Calibri" w:eastAsia="Microsoft YaHei" w:cs="Calibri"/>
          <w:color w:val="3A2E28"/>
          <w:sz w:val="22"/>
          <w:szCs w:val="22"/>
        </w:rPr>
        <w:t>the mosaic doctrine, untreated corridors, and full treatment logging carry over; low ground pressure minimizes soil disturbance.</w:t>
      </w:r>
    </w:p>
    <w:p>
      <w:pPr>
        <w:pStyle w:val="Heading1"/>
      </w:pPr>
      <w:r>
        <w:rPr>
          <w:rFonts w:ascii="Calibri Light" w:hAnsi="Calibri Light" w:eastAsia="Microsoft YaHei" w:cs="Calibri Light"/>
          <w:b/>
          <w:color w:val="7B3F24"/>
          <w:sz w:val="34"/>
          <w:szCs w:val="34"/>
        </w:rPr>
        <w:t>19. Test and Validation Plan</w:t>
      </w:r>
    </w:p>
    <w:p>
      <w:pPr>
        <w:pStyle w:val="Normal"/>
      </w:pPr>
      <w:r>
        <w:rPr>
          <w:b/>
          <w:color w:val="7B3F24"/>
          <w:rFonts w:ascii="Calibri" w:hAnsi="Calibri" w:eastAsia="Microsoft YaHei" w:cs="Calibri"/>
          <w:sz w:val="22"/>
          <w:szCs w:val="22"/>
        </w:rPr>
        <w:t xml:space="preserve">Phase 0, bench validation (8 to 12 weeks): </w:t>
      </w:r>
      <w:r>
        <w:rPr>
          <w:rFonts w:ascii="Calibri" w:hAnsi="Calibri" w:eastAsia="Microsoft YaHei" w:cs="Calibri"/>
          <w:color w:val="3A2E28"/>
          <w:sz w:val="22"/>
          <w:szCs w:val="22"/>
        </w:rPr>
        <w:t>burn-chamber campaigns re-derive dose-response for the traverse-scanned dwell across the painted 2.0 m corridor, validate the 0.6 MJ/m² RF-credited design dose against carbonization depth, verify the energy-conserving throughput model against measured optical power, validate dwell-integrated OES abort signatures, calibrate the NIR moisture map against contact-probe ground truth, and confirm char quality targets (peak heat release under 60 kW/m²).</w:t>
      </w:r>
    </w:p>
    <w:p>
      <w:pPr>
        <w:pStyle w:val="Normal"/>
      </w:pPr>
      <w:r>
        <w:rPr>
          <w:b/>
          <w:color w:val="7B3F24"/>
          <w:rFonts w:ascii="Calibri" w:hAnsi="Calibri" w:eastAsia="Microsoft YaHei" w:cs="Calibri"/>
          <w:sz w:val="22"/>
          <w:szCs w:val="22"/>
        </w:rPr>
        <w:t xml:space="preserve">Phase 1, engineering and terrain validation (one season): </w:t>
      </w:r>
      <w:r>
        <w:rPr>
          <w:rFonts w:ascii="Calibri" w:hAnsi="Calibri" w:eastAsia="Microsoft YaHei" w:cs="Calibri"/>
          <w:color w:val="3A2E28"/>
          <w:sz w:val="22"/>
          <w:szCs w:val="22"/>
        </w:rPr>
        <w:t>teleoperation drills, patch registration accuracy over 1 km of step-and-dwell cycles, dwell-dose audits on treated belts, rack structural validation on 35° grades and water crossings, dual-beam NHZ verification, ground-anchor holding tests on 25° slopes, hot-swap battery drills, and suppression live drills.</w:t>
      </w:r>
    </w:p>
    <w:p>
      <w:pPr>
        <w:pStyle w:val="Normal"/>
      </w:pPr>
      <w:r>
        <w:rPr>
          <w:b/>
          <w:color w:val="7B3F24"/>
          <w:rFonts w:ascii="Calibri" w:hAnsi="Calibri" w:eastAsia="Microsoft YaHei" w:cs="Calibri"/>
          <w:sz w:val="22"/>
          <w:szCs w:val="22"/>
        </w:rPr>
        <w:t xml:space="preserve">Phase 2, controlled field trials (one pre-season): </w:t>
      </w:r>
      <w:r>
        <w:rPr>
          <w:rFonts w:ascii="Calibri" w:hAnsi="Calibri" w:eastAsia="Microsoft YaHei" w:cs="Calibri"/>
          <w:color w:val="3A2E28"/>
          <w:sz w:val="22"/>
          <w:szCs w:val="22"/>
        </w:rPr>
        <w:t>26 m/h corridors across four terrain classes validate the full stack: sensor-degradation drills for Layer 1, seeded smolder pockets for Layer 2, forced segment failures for Layer 3, char test-port sampling against OES, and cooling-curve review.</w:t>
      </w:r>
    </w:p>
    <w:p>
      <w:pPr>
        <w:pStyle w:val="Normal"/>
      </w:pPr>
      <w:r>
        <w:rPr>
          <w:b/>
          <w:color w:val="7B3F24"/>
          <w:rFonts w:ascii="Calibri" w:hAnsi="Calibri" w:eastAsia="Microsoft YaHei" w:cs="Calibri"/>
          <w:sz w:val="22"/>
          <w:szCs w:val="22"/>
        </w:rPr>
        <w:t xml:space="preserve">Phase 3, operational pilot (one pre-season): </w:t>
      </w:r>
      <w:r>
        <w:rPr>
          <w:rFonts w:ascii="Calibri" w:hAnsi="Calibri" w:eastAsia="Microsoft YaHei" w:cs="Calibri"/>
          <w:color w:val="3A2E28"/>
          <w:sz w:val="22"/>
          <w:szCs w:val="22"/>
        </w:rPr>
        <w:t>four to six units treat a 10 to 20 km remote corridor network under provincial supervision. Success metrics: energy per kilometre, char stability, ignition resistance, ecological cores at 3 and 12 months, and cost per protected kilometre against helicopter-supported alternatives.</w:t>
      </w:r>
    </w:p>
    <w:p>
      <w:pPr>
        <w:pStyle w:val="Normal"/>
      </w:pPr>
      <w:r>
        <w:rPr>
          <w:b/>
          <w:color w:val="7B3F24"/>
          <w:rFonts w:ascii="Calibri" w:hAnsi="Calibri" w:eastAsia="Microsoft YaHei" w:cs="Calibri"/>
          <w:sz w:val="22"/>
          <w:szCs w:val="22"/>
        </w:rPr>
        <w:t xml:space="preserve">Phase 4, scale or pivot: </w:t>
      </w:r>
      <w:r>
        <w:rPr>
          <w:rFonts w:ascii="Calibri" w:hAnsi="Calibri" w:eastAsia="Microsoft YaHei" w:cs="Calibri"/>
          <w:color w:val="3A2E28"/>
          <w:sz w:val="22"/>
          <w:szCs w:val="22"/>
        </w:rPr>
        <w:t>favourable results trigger fleet expansion; creep-drive mobility and the polygon-scanner upgrade (Section 21) enter as Mk III options if field data justifies them.</w:t>
      </w:r>
    </w:p>
    <w:p>
      <w:pPr>
        <w:pStyle w:val="Heading1"/>
      </w:pPr>
      <w:r>
        <w:rPr>
          <w:rFonts w:ascii="Calibri Light" w:hAnsi="Calibri Light" w:eastAsia="Microsoft YaHei" w:cs="Calibri Light"/>
          <w:b/>
          <w:color w:val="7B3F24"/>
          <w:sz w:val="34"/>
          <w:szCs w:val="34"/>
        </w:rPr>
        <w:t>20. Operational Economics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800"/>
        <w:gridCol w:w="2200"/>
        <w:gridCol w:w="2640"/>
      </w:tblGrid>
      <w:tr>
        <w:trPr>
          <w:tblHeader w:val="1"/>
        </w:trPr>
        <w:tc>
          <w:tcPr>
            <w:tcW w:w="48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Item</w:t>
            </w:r>
          </w:p>
        </w:tc>
        <w:tc>
          <w:tcPr>
            <w:tcW w:w="22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Value</w:t>
            </w:r>
          </w:p>
        </w:tc>
        <w:tc>
          <w:tcPr>
            <w:tcW w:w="26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Basis</w:t>
            </w:r>
          </w:p>
        </w:tc>
      </w:tr>
      <w:tr>
        <w:tc>
          <w:tcPr>
            <w:tcW w:w="4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Prototype capex per unit</w:t>
            </w:r>
          </w:p>
        </w:tc>
        <w:tc>
          <w:tcPr>
            <w:tcW w:w="2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CAD 800,898</w:t>
            </w:r>
          </w:p>
        </w:tc>
        <w:tc>
          <w:tcPr>
            <w:tcW w:w="2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Table 10, including contingency</w:t>
            </w:r>
          </w:p>
        </w:tc>
      </w:tr>
      <w:tr>
        <w:tc>
          <w:tcPr>
            <w:tcW w:w="4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Daily opex per unit</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~CAD 700</w:t>
            </w:r>
          </w:p>
        </w:tc>
        <w:tc>
          <w:tcPr>
            <w:tcW w:w="2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Diesel at 84% generator load, one operator, maintenance, consumables</w:t>
            </w:r>
          </w:p>
        </w:tc>
      </w:tr>
      <w:tr>
        <w:tc>
          <w:tcPr>
            <w:tcW w:w="4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Output per day</w:t>
            </w:r>
          </w:p>
        </w:tc>
        <w:tc>
          <w:tcPr>
            <w:tcW w:w="2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0.13-0.24 km four-belt corridor</w:t>
            </w:r>
          </w:p>
        </w:tc>
        <w:tc>
          <w:tcPr>
            <w:tcW w:w="2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Table 5</w:t>
            </w:r>
          </w:p>
        </w:tc>
      </w:tr>
      <w:tr>
        <w:tc>
          <w:tcPr>
            <w:tcW w:w="48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Cost per corridor-kilometre</w:t>
            </w:r>
          </w:p>
        </w:tc>
        <w:tc>
          <w:tcPr>
            <w:tcW w:w="22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~CAD 2,900-5,400</w:t>
            </w:r>
          </w:p>
        </w:tc>
        <w:tc>
          <w:tcPr>
            <w:tcW w:w="2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Opex basis; excludes capex amortization</w:t>
            </w:r>
          </w:p>
        </w:tc>
      </w:tr>
      <w:tr>
        <w:tc>
          <w:tcPr>
            <w:tcW w:w="48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Fleet for 10 km remote perimeter</w:t>
            </w:r>
          </w:p>
        </w:tc>
        <w:tc>
          <w:tcPr>
            <w:tcW w:w="22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4-6 units, two to three weeks</w:t>
            </w:r>
          </w:p>
        </w:tc>
        <w:tc>
          <w:tcPr>
            <w:tcW w:w="2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Section 1.3</w:t>
            </w:r>
          </w:p>
        </w:tc>
      </w:tr>
    </w:tbl>
    <w:p>
      <w:pPr>
        <w:pStyle w:val="Caption"/>
      </w:pPr>
      <w:r>
        <w:rPr>
          <w:rFonts w:ascii="Calibri" w:hAnsi="Calibri" w:eastAsia="Microsoft YaHei" w:cs="Calibri"/>
          <w:i/>
          <w:color w:val="8C7A6B"/>
          <w:sz w:val="18"/>
          <w:szCs w:val="18"/>
        </w:rPr>
        <w:t>Table 12: Operational economics summary.</w:t>
      </w:r>
    </w:p>
    <w:p>
      <w:pPr>
        <w:pStyle w:val="Normal"/>
      </w:pPr>
      <w:r>
        <w:rPr>
          <w:rFonts w:ascii="Calibri" w:hAnsi="Calibri" w:eastAsia="Microsoft YaHei" w:cs="Calibri"/>
          <w:color w:val="3A2E28"/>
          <w:sz w:val="22"/>
          <w:szCs w:val="22"/>
        </w:rPr>
        <w:t>The energy audit rewrites the economics. The energy-consistent output of the v1.1 architecture works out to roughly 0.06 km per day, about CAD 11,000 per corridor-kilometre on v1.1 opex, not the CAD 1,500 to 2,300 that v1.1 printed. v1.3 spends more capex and slightly more opex to deliver 0.13 to 0.24 km per day, landing at CAD 2,900 to 5,400 per corridor-kilometre on an opex basis, a two- to three-fold real cost gain rather than the ten-fold figure v1.2 claimed. With capex amortized over ten years across an eight-week season at design-point output, amortization adds about CAD 10,500 per kilometre, and the fully amortized cost lands near CAD 13,400 to 15,900 per corridor-kilometre. Four to six units treat a 10 km remote perimeter in two to three weeks, and the prevention case still holds where corridor access rules out helicopter-supported alternatives.</w:t>
      </w:r>
    </w:p>
    <w:p>
      <w:pPr>
        <w:pStyle w:val="Heading1"/>
      </w:pPr>
      <w:r>
        <w:rPr>
          <w:rFonts w:ascii="Calibri Light" w:hAnsi="Calibri Light" w:eastAsia="Microsoft YaHei" w:cs="Calibri Light"/>
          <w:b/>
          <w:color w:val="7B3F24"/>
          <w:sz w:val="34"/>
          <w:szCs w:val="34"/>
        </w:rPr>
        <w:t>21. Risks and Mitigations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000"/>
        <w:gridCol w:w="6640"/>
      </w:tblGrid>
      <w:tr>
        <w:trPr>
          <w:tblHeader w:val="1"/>
        </w:trPr>
        <w:tc>
          <w:tcPr>
            <w:tcW w:w="300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Risk</w:t>
            </w:r>
          </w:p>
        </w:tc>
        <w:tc>
          <w:tcPr>
            <w:tcW w:w="6640" w:type="dxa"/>
            <w:shd w:val="clear" w:fill="F4E6DC"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7B3F24"/>
                <w:sz w:val="18"/>
                <w:szCs w:val="18"/>
              </w:rPr>
              <w:t>Mitigation in this design</w:t>
            </w:r>
          </w:p>
        </w:tc>
      </w:tr>
      <w:tr>
        <w:tc>
          <w:tcPr>
            <w:tcW w:w="30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Scan head or source fault</w:t>
            </w:r>
          </w:p>
        </w:tc>
        <w:tc>
          <w:tcPr>
            <w:tcW w:w="6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Dual D33 heads and dual YLS-6000-ECO sources degrade to a half-width corridor on one fault; D33 rated 12 kW with 2× margin; IP67 sealing; spare-source procurement plan</w:t>
            </w:r>
          </w:p>
        </w:tc>
      </w:tr>
      <w:tr>
        <w:tc>
          <w:tcPr>
            <w:tcW w:w="3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Registration drift across step cycles</w:t>
            </w:r>
          </w:p>
        </w:tc>
        <w:tc>
          <w:tcPr>
            <w:tcW w:w="6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RTK odometry holds registration under 2 cm per kilometre; Phase 1 measures and verifies; fallback halves strip width</w:t>
            </w:r>
          </w:p>
        </w:tc>
      </w:tr>
      <w:tr>
        <w:tc>
          <w:tcPr>
            <w:tcW w:w="30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OES degradation at dwell cadence</w:t>
            </w:r>
          </w:p>
        </w:tc>
        <w:tc>
          <w:tcPr>
            <w:tcW w:w="6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Dwell-integrated spectral windows; tightened abort thresholds; char test-port physical sampling as low-tech check</w:t>
            </w:r>
          </w:p>
        </w:tc>
      </w:tr>
      <w:tr>
        <w:tc>
          <w:tcPr>
            <w:tcW w:w="3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Payload margin still modest (3.2%)</w:t>
            </w:r>
          </w:p>
        </w:tc>
        <w:tc>
          <w:tcPr>
            <w:tcW w:w="6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Mission-scaled battery modules; drafting refill; payload re-weighed at every configuration change</w:t>
            </w:r>
          </w:p>
        </w:tc>
      </w:tr>
      <w:tr>
        <w:tc>
          <w:tcPr>
            <w:tcW w:w="30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NIR spectrometer field durability</w:t>
            </w:r>
          </w:p>
        </w:tc>
        <w:tc>
          <w:tcPr>
            <w:tcW w:w="6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Mast vibration isolation; Phase 0 calibration against contact probes; contact probes retained as backup ground truth</w:t>
            </w:r>
          </w:p>
        </w:tc>
      </w:tr>
      <w:tr>
        <w:tc>
          <w:tcPr>
            <w:tcW w:w="3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Dual-beam NHZ uncertainty</w:t>
            </w:r>
          </w:p>
        </w:tc>
        <w:tc>
          <w:tcPr>
            <w:tcW w:w="6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Phase 1 verification re-derives hazard distance; 20 m design exclusion zone; enclosed downward beam path</w:t>
            </w:r>
          </w:p>
        </w:tc>
      </w:tr>
      <w:tr>
        <w:tc>
          <w:tcPr>
            <w:tcW w:w="30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Subsurface smoldering pockets</w:t>
            </w:r>
          </w:p>
        </w:tc>
        <w:tc>
          <w:tcPr>
            <w:tcW w:w="6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Layer 2 rear-camera cooling verification with short controlled reverse re-treat</w:t>
            </w:r>
          </w:p>
        </w:tc>
      </w:tr>
      <w:tr>
        <w:tc>
          <w:tcPr>
            <w:tcW w:w="3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Runaway vehicle on steep slope</w:t>
            </w:r>
          </w:p>
        </w:tc>
        <w:tc>
          <w:tcPr>
            <w:tcW w:w="6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Ground anchors deployed above 20° (Section 5.3); teleop e-stop; tilt interlock</w:t>
            </w:r>
          </w:p>
        </w:tc>
      </w:tr>
      <w:tr>
        <w:tc>
          <w:tcPr>
            <w:tcW w:w="300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Ignition event during treatment</w:t>
            </w:r>
          </w:p>
        </w:tc>
        <w:tc>
          <w:tcPr>
            <w:tcW w:w="6640" w:type="dxa"/>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Section 11.2 suppression with 25 L tank, drafting refill, spray-only-when-lasers-off interlock</w:t>
            </w:r>
          </w:p>
        </w:tc>
      </w:tr>
      <w:tr>
        <w:tc>
          <w:tcPr>
            <w:tcW w:w="3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Capex increase</w:t>
            </w:r>
          </w:p>
        </w:tc>
        <w:tc>
          <w:tcPr>
            <w:tcW w:w="6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color w:val="3A2E28"/>
                <w:sz w:val="18"/>
                <w:szCs w:val="18"/>
              </w:rPr>
              <w:t>+64% over v1.1; honest throughput triples; cost per kilometre falls two- to three-fold (Section 20)</w:t>
            </w:r>
          </w:p>
        </w:tc>
      </w:tr>
      <w:tr>
        <w:tc>
          <w:tcPr>
            <w:tcW w:w="3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Throughput model error recurrence</w:t>
            </w:r>
          </w:p>
        </w:tc>
        <w:tc>
          <w:tcPr>
            <w:tcW w:w="6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Energy-conserving throughput model (Section 3.3) ties every claim to measured optical power; Phase 0 bench dose audit gates any future throughput claim</w:t>
            </w:r>
          </w:p>
        </w:tc>
      </w:tr>
      <w:tr>
        <w:tc>
          <w:tcPr>
            <w:tcW w:w="300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Generator operating point at 84% of rating</w:t>
            </w:r>
          </w:p>
        </w:tc>
        <w:tc>
          <w:tcPr>
            <w:tcW w:w="6640" w:type="dxa"/>
            <w:shd w:val="clear" w:fill="FBF6F1" w:color="auto"/>
            <w:tcMar>
              <w:top w:w="50" w:type="dxa"/>
              <w:left w:w="80" w:type="dxa"/>
              <w:bottom w:w="50" w:type="dxa"/>
              <w:right w:w="80" w:type="dxa"/>
            </w:tcMar>
          </w:tcPr>
          <w:p>
            <w:pPr>
              <w:pStyle w:val="Normal"/>
              <w:spacing w:before="0" w:after="0" w:line="240" w:lineRule="auto"/>
            </w:pPr>
            <w:r>
              <w:rPr>
                <w:rFonts w:ascii="Calibri" w:hAnsi="Calibri" w:eastAsia="Microsoft YaHei" w:cs="Calibri"/>
                <w:b/>
                <w:color w:val="3A2E28"/>
                <w:sz w:val="18"/>
                <w:szCs w:val="18"/>
              </w:rPr>
              <w:t>Prime-rated 30 kW unit designed for continuous high load; battery buffer absorbs transients; fuel planning at measured load</w:t>
            </w:r>
          </w:p>
        </w:tc>
      </w:tr>
    </w:tbl>
    <w:p>
      <w:pPr>
        <w:pStyle w:val="Caption"/>
      </w:pPr>
      <w:r>
        <w:rPr>
          <w:rFonts w:ascii="Calibri" w:hAnsi="Calibri" w:eastAsia="Microsoft YaHei" w:cs="Calibri"/>
          <w:i/>
          <w:color w:val="8C7A6B"/>
          <w:sz w:val="18"/>
          <w:szCs w:val="18"/>
        </w:rPr>
        <w:t>Table 13: Principal risks and engineered mitigations.</w:t>
      </w:r>
    </w:p>
    <w:p>
      <w:pPr>
        <w:pStyle w:val="Heading1"/>
      </w:pPr>
      <w:r>
        <w:rPr>
          <w:rFonts w:ascii="Calibri Light" w:hAnsi="Calibri Light" w:eastAsia="Microsoft YaHei" w:cs="Calibri Light"/>
          <w:b/>
          <w:color w:val="7B3F24"/>
          <w:sz w:val="34"/>
          <w:szCs w:val="34"/>
        </w:rPr>
        <w:t>Appendix A: Currency, Pricing, and Sourcing Notes</w:t>
      </w:r>
    </w:p>
    <w:p>
      <w:pPr>
        <w:pStyle w:val="Normal"/>
        <w:numPr>
          <w:ilvl w:val="0"/>
          <w:numId w:val="1"/>
        </w:numPr>
        <w:spacing w:after="80"/>
      </w:pPr>
      <w:r>
        <w:rPr>
          <w:rFonts w:ascii="Calibri" w:hAnsi="Calibri" w:eastAsia="Microsoft YaHei" w:cs="Calibri"/>
          <w:color w:val="3A2E28"/>
          <w:sz w:val="22"/>
          <w:szCs w:val="22"/>
        </w:rPr>
        <w:t>All costs are Canadian dollars (CAD). Vendor prices listed in US dollars convert at 1 USD = 1.40 CAD, the planning rate as of August 2026.</w:t>
      </w:r>
    </w:p>
    <w:p>
      <w:pPr>
        <w:pStyle w:val="Normal"/>
        <w:numPr>
          <w:ilvl w:val="0"/>
          <w:numId w:val="1"/>
        </w:numPr>
        <w:spacing w:after="80"/>
      </w:pPr>
      <w:r>
        <w:rPr>
          <w:rFonts w:ascii="Calibri" w:hAnsi="Calibri" w:eastAsia="Microsoft YaHei" w:cs="Calibri"/>
          <w:color w:val="3A2E28"/>
          <w:sz w:val="22"/>
          <w:szCs w:val="22"/>
        </w:rPr>
        <w:t>Prices come from public vendor listings checked between July 25 and August 2, 2026: MarketBook.ca and sherp.ca, IPG Photonics, Malvern Panalytical ASD, ITM Instruments, Instrumart, Emlid, RobotShop.ca, Progressive Automations, EXAIR, TEYU S&amp;A, DigiKey.ca, Princess Auto, and the other sources named in Table 9.</w:t>
      </w:r>
    </w:p>
    <w:p>
      <w:pPr>
        <w:pStyle w:val="Normal"/>
        <w:numPr>
          <w:ilvl w:val="0"/>
          <w:numId w:val="1"/>
        </w:numPr>
        <w:spacing w:after="80"/>
      </w:pPr>
      <w:r>
        <w:rPr>
          <w:rFonts w:ascii="Calibri" w:hAnsi="Calibri" w:eastAsia="Microsoft YaHei" w:cs="Calibri"/>
          <w:color w:val="3A2E28"/>
          <w:sz w:val="22"/>
          <w:szCs w:val="22"/>
        </w:rPr>
        <w:t>The IPG YLS-6000-ECO and D33 lines are budgetary RFQ estimates; surplus-market references (approximately USD 50,000 for a YLS-6000-class source) informed the figures, and the 10 percent contingency covers movement.</w:t>
      </w:r>
    </w:p>
    <w:p>
      <w:pPr>
        <w:pStyle w:val="Normal"/>
        <w:numPr>
          <w:ilvl w:val="0"/>
          <w:numId w:val="1"/>
        </w:numPr>
        <w:spacing w:after="80"/>
      </w:pPr>
      <w:r>
        <w:rPr>
          <w:rFonts w:ascii="Calibri" w:hAnsi="Calibri" w:eastAsia="Microsoft YaHei" w:cs="Calibri"/>
          <w:color w:val="3A2E28"/>
          <w:sz w:val="22"/>
          <w:szCs w:val="22"/>
        </w:rPr>
        <w:t>Lines marked budgetary or RFQ (teleoperation conversion, IPG sources and heads, traverse rails, radiator, RFHIC generator, Ouster LiDAR, ASD FieldSpec, generator, Toughbook, mast, fabrication) carry request-for-quote pricing risk; the contingency covers these lines.</w:t>
      </w:r>
    </w:p>
    <w:p>
      <w:pPr>
        <w:pStyle w:val="Normal"/>
        <w:numPr>
          <w:ilvl w:val="0"/>
          <w:numId w:val="1"/>
        </w:numPr>
        <w:spacing w:after="80"/>
      </w:pPr>
      <w:r>
        <w:rPr>
          <w:rFonts w:ascii="Calibri" w:hAnsi="Calibri" w:eastAsia="Microsoft YaHei" w:cs="Calibri"/>
          <w:color w:val="3A2E28"/>
          <w:sz w:val="22"/>
          <w:szCs w:val="22"/>
        </w:rPr>
        <w:t>Every part named in this document exists as a commercial off-the-shelf product or a standard fabrication item.</w:t>
      </w:r>
    </w:p>
    <w:p>
      <w:pPr>
        <w:pStyle w:val="Heading1"/>
      </w:pPr>
      <w:r>
        <w:rPr>
          <w:rFonts w:ascii="Calibri Light" w:hAnsi="Calibri Light" w:eastAsia="Microsoft YaHei" w:cs="Calibri Light"/>
          <w:b/>
          <w:color w:val="7B3F24"/>
          <w:sz w:val="34"/>
          <w:szCs w:val="34"/>
        </w:rPr>
        <w:t>Appendix B: Document Conformance Statement</w:t>
      </w:r>
    </w:p>
    <w:p>
      <w:pPr>
        <w:pStyle w:val="Normal"/>
      </w:pPr>
      <w:r>
        <w:rPr>
          <w:rFonts w:ascii="Calibri" w:hAnsi="Calibri" w:eastAsia="Microsoft YaHei" w:cs="Calibri"/>
          <w:color w:val="3A2E28"/>
          <w:sz w:val="22"/>
          <w:szCs w:val="22"/>
        </w:rPr>
        <w:t>This document follows the Immutable Present-Tense Matrix (v2.5) drafting rules supplied with the design brief:</w:t>
      </w:r>
    </w:p>
    <w:p>
      <w:pPr>
        <w:pStyle w:val="Normal"/>
        <w:numPr>
          <w:ilvl w:val="0"/>
          <w:numId w:val="1"/>
        </w:numPr>
        <w:spacing w:after="80"/>
      </w:pPr>
      <w:r>
        <w:rPr>
          <w:rFonts w:ascii="Calibri" w:hAnsi="Calibri" w:eastAsia="Microsoft YaHei" w:cs="Calibri"/>
          <w:color w:val="3A2E28"/>
          <w:sz w:val="22"/>
          <w:szCs w:val="22"/>
        </w:rPr>
        <w:t>Drafting uses active, present-tense, subject-first sentences throughout.</w:t>
      </w:r>
    </w:p>
    <w:p>
      <w:pPr>
        <w:pStyle w:val="Normal"/>
        <w:numPr>
          <w:ilvl w:val="0"/>
          <w:numId w:val="1"/>
        </w:numPr>
        <w:spacing w:after="80"/>
      </w:pPr>
      <w:r>
        <w:rPr>
          <w:rFonts w:ascii="Calibri" w:hAnsi="Calibri" w:eastAsia="Microsoft YaHei" w:cs="Calibri"/>
          <w:color w:val="3A2E28"/>
          <w:sz w:val="22"/>
          <w:szCs w:val="22"/>
        </w:rPr>
        <w:t>A mechanical sweep confirms the absence of every prohibited individual word and every passive hierarchical construction that the Matrix lists.</w:t>
      </w:r>
    </w:p>
    <w:p>
      <w:pPr>
        <w:pStyle w:val="Normal"/>
        <w:numPr>
          <w:ilvl w:val="0"/>
          <w:numId w:val="1"/>
        </w:numPr>
        <w:spacing w:after="80"/>
      </w:pPr>
      <w:r>
        <w:rPr>
          <w:rFonts w:ascii="Calibri" w:hAnsi="Calibri" w:eastAsia="Microsoft YaHei" w:cs="Calibri"/>
          <w:color w:val="3A2E28"/>
          <w:sz w:val="22"/>
          <w:szCs w:val="22"/>
        </w:rPr>
        <w:t>The document contains no em dashes; every colon in prose carries a following space.</w:t>
      </w:r>
    </w:p>
    <w:p>
      <w:pPr>
        <w:pStyle w:val="Normal"/>
        <w:numPr>
          <w:ilvl w:val="0"/>
          <w:numId w:val="1"/>
        </w:numPr>
        <w:spacing w:after="80"/>
      </w:pPr>
      <w:r>
        <w:rPr>
          <w:rFonts w:ascii="Calibri" w:hAnsi="Calibri" w:eastAsia="Microsoft YaHei" w:cs="Calibri"/>
          <w:color w:val="3A2E28"/>
          <w:sz w:val="22"/>
          <w:szCs w:val="22"/>
        </w:rPr>
        <w:t>The document contains no floating background images and no background-shape setting; page decoration uses OpenXML PageBorders only. The unpacked XML passes both grep checks that the Matrix defines, and this verification runs before delivery.</w:t>
      </w:r>
    </w:p>
    <w:p>
      <w:pPr>
        <w:pStyle w:val="Normal"/>
        <w:numPr>
          <w:ilvl w:val="0"/>
          <w:numId w:val="1"/>
        </w:numPr>
        <w:spacing w:after="80"/>
      </w:pPr>
      <w:r>
        <w:rPr>
          <w:rFonts w:ascii="Calibri" w:hAnsi="Calibri" w:eastAsia="Microsoft YaHei" w:cs="Calibri"/>
          <w:color w:val="3A2E28"/>
          <w:sz w:val="22"/>
          <w:szCs w:val="22"/>
        </w:rPr>
        <w:t>Three contrast checks confirm readable text: dark body text on white, terracotta headings well off pure red, and no faint or glaring combinations.</w:t>
      </w:r>
    </w:p>
    <w:p>
      <w:pPr>
        <w:pStyle w:val="Normal"/>
        <w:numPr>
          <w:ilvl w:val="0"/>
          <w:numId w:val="1"/>
        </w:numPr>
        <w:spacing w:after="80"/>
      </w:pPr>
      <w:r>
        <w:rPr>
          <w:rFonts w:ascii="Calibri" w:hAnsi="Calibri" w:eastAsia="Microsoft YaHei" w:cs="Calibri"/>
          <w:color w:val="3A2E28"/>
          <w:sz w:val="22"/>
          <w:szCs w:val="22"/>
        </w:rPr>
        <w:t>Pagination avoids blank pages and orphan single-paragraph pages.</w:t>
      </w:r>
    </w:p>
    <w:p>
      <w:pPr>
        <w:pStyle w:val="Normal"/>
      </w:pPr>
      <w:r>
        <w:rPr>
          <w:rFonts w:ascii="Calibri" w:hAnsi="Calibri" w:eastAsia="Microsoft YaHei" w:cs="Calibri"/>
          <w:color w:val="3A2E28"/>
          <w:sz w:val="22"/>
          <w:szCs w:val="22"/>
        </w:rPr>
        <w:t>Contra Favillas Rugged v1.3: one vehicle, two sources, four belts, energy-honest output, and a 3.2 percent payload margin. Specified, costed, sourced, and ready to build.</w:t>
      </w:r>
    </w:p>
    <w:sectPr>
      <w:headerReference w:type="default" r:id="Rbb7020042d6c417e"/>
      <w:footerReference w:type="default" r:id="R44533d7977004d6a"/>
      <w:pgSz w:w="11906" w:h="16838"/>
      <w:pgMar w:top="1440" w:right="1134" w:bottom="1440" w:left="1134" w:header="720" w:footer="720"/>
    </w:sectPr>
  </w:body>
</w:document>
</file>

<file path=word/footer1.xml><?xml version="1.0" encoding="utf-8"?>
<w:ftr xmlns:w="http://schemas.openxmlformats.org/wordprocessingml/2006/main">
  <w:p>
    <w:pPr>
      <w:pBdr>
        <w:top w:val="single" w:color="A85B36" w:sz="6" w:space="2"/>
      </w:pBdr>
      <w:jc w:val="center"/>
    </w:pPr>
    <w:r>
      <w:rPr>
        <w:color w:val="8C7A6B"/>
        <w:sz w:val="16"/>
      </w:rPr>
      <w:t xml:space="preserve">Page </w:t>
    </w:r>
    <w:r>
      <w:rPr>
        <w:color w:val="8C7A6B"/>
        <w:sz w:val="16"/>
      </w:rPr>
      <w:fldChar w:fldCharType="begin"/>
    </w:r>
    <w:r>
      <w:rPr>
        <w:color w:val="8C7A6B"/>
        <w:sz w:val="16"/>
      </w:rPr>
      <w:instrText xml:space="preserve"> PAGE </w:instrText>
    </w:r>
    <w:r>
      <w:rPr>
        <w:color w:val="8C7A6B"/>
        <w:sz w:val="16"/>
      </w:rPr>
      <w:fldChar w:fldCharType="separate"/>
    </w:r>
    <w:r>
      <w:rPr>
        <w:color w:val="8C7A6B"/>
        <w:sz w:val="16"/>
      </w:rPr>
      <w:t>1</w:t>
    </w:r>
    <w:r>
      <w:rPr>
        <w:color w:val="8C7A6B"/>
        <w:sz w:val="16"/>
      </w:rPr>
      <w:fldChar w:fldCharType="end"/>
    </w:r>
    <w:r>
      <w:rPr>
        <w:color w:val="8C7A6B"/>
        <w:sz w:val="16"/>
      </w:rPr>
      <w:t xml:space="preserve"> of </w:t>
    </w:r>
    <w:r>
      <w:rPr>
        <w:color w:val="8C7A6B"/>
        <w:sz w:val="16"/>
      </w:rPr>
      <w:fldChar w:fldCharType="begin"/>
    </w:r>
    <w:r>
      <w:rPr>
        <w:color w:val="8C7A6B"/>
        <w:sz w:val="16"/>
      </w:rPr>
      <w:instrText xml:space="preserve"> NUMPAGES </w:instrText>
    </w:r>
    <w:r>
      <w:rPr>
        <w:color w:val="8C7A6B"/>
        <w:sz w:val="16"/>
      </w:rPr>
      <w:fldChar w:fldCharType="separate"/>
    </w:r>
    <w:r>
      <w:rPr>
        <w:color w:val="8C7A6B"/>
        <w:sz w:val="16"/>
      </w:rPr>
      <w:t>1</w:t>
    </w:r>
    <w:r>
      <w:rPr>
        <w:color w:val="8C7A6B"/>
        <w:sz w:val="16"/>
      </w:rPr>
      <w:fldChar w:fldCharType="end"/>
    </w:r>
  </w:p>
</w:ftr>
</file>

<file path=word/header1.xml><?xml version="1.0" encoding="utf-8"?>
<w:hdr xmlns:w="http://schemas.openxmlformats.org/wordprocessingml/2006/main">
  <w:p>
    <w:pPr>
      <w:pStyle w:val="Normal"/>
      <w:pBdr>
        <w:bottom w:val="single" w:color="A85B36" w:sz="6" w:space="2"/>
      </w:pBdr>
      <w:spacing w:after="0"/>
      <w:jc w:val="right"/>
    </w:pPr>
    <w:r>
      <w:rPr>
        <w:color w:val="8C7A6B"/>
        <w:sz w:val="16"/>
        <w:rFonts w:ascii="Calibri" w:hAnsi="Calibri" w:eastAsia="Microsoft YaHei" w:cs="Calibri"/>
        <w:smallCaps/>
        <w:szCs w:val="16"/>
      </w:rPr>
      <w:t>Contra Favillas Rugged | Engineering Specification | Version 1.3</w:t>
    </w: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before="0" w:after="140" w:line="300" w:lineRule="auto"/>
      <w:jc w:val="left"/>
    </w:pPr>
    <w:rPr>
      <w:rFonts w:ascii="Calibri" w:hAnsi="Calibri" w:eastAsia="Microsoft YaHei"/>
      <w:color w:val="3A2E28"/>
      <w:sz w:val="22"/>
    </w:rPr>
  </w:style>
  <w:style w:type="paragraph" w:styleId="Heading1">
    <w:name w:val="heading 1"/>
    <w:basedOn w:val="Normal"/>
    <w:pPr>
      <w:keepNext/>
      <w:keepLines/>
      <w:spacing w:before="420" w:after="160"/>
      <w:outlineLvl w:val="0"/>
    </w:pPr>
    <w:rPr>
      <w:rFonts w:ascii="Calibri Light" w:hAnsi="Calibri Light" w:eastAsia="Microsoft YaHei"/>
      <w:b/>
      <w:color w:val="7B3F24"/>
      <w:sz w:val="34"/>
    </w:rPr>
  </w:style>
  <w:style w:type="paragraph" w:styleId="Heading2">
    <w:name w:val="heading 2"/>
    <w:basedOn w:val="Normal"/>
    <w:pPr>
      <w:keepNext/>
      <w:keepLines/>
      <w:spacing w:before="300" w:after="120"/>
      <w:outlineLvl w:val="1"/>
    </w:pPr>
    <w:rPr>
      <w:rFonts w:ascii="Calibri" w:hAnsi="Calibri" w:eastAsia="Microsoft YaHei"/>
      <w:b/>
      <w:color w:val="A85B36"/>
      <w:sz w:val="26"/>
    </w:rPr>
  </w:style>
  <w:style w:type="paragraph" w:styleId="Heading3">
    <w:name w:val="heading 3"/>
    <w:basedOn w:val="Normal"/>
    <w:pPr>
      <w:keepNext/>
      <w:keepLines/>
      <w:spacing w:before="220" w:after="100"/>
      <w:outlineLvl w:val="2"/>
    </w:pPr>
    <w:rPr>
      <w:rFonts w:ascii="Calibri" w:hAnsi="Calibri" w:eastAsia="Microsoft YaHei"/>
      <w:b/>
      <w:color w:val="3A2E28"/>
      <w:sz w:val="23"/>
    </w:rPr>
  </w:style>
  <w:style w:type="paragraph" w:styleId="Caption">
    <w:name w:val="caption"/>
    <w:basedOn w:val="Normal"/>
    <w:pPr>
      <w:spacing w:before="40" w:after="180"/>
      <w:jc w:val="center"/>
    </w:pPr>
    <w:rPr>
      <w:rFonts w:ascii="Calibri" w:hAnsi="Calibri" w:eastAsia="Microsoft YaHei"/>
      <w:i/>
      <w:color w:val="8C7A6B"/>
      <w:sz w:val="18"/>
    </w:rPr>
  </w:style>
  <w:style w:type="paragraph" w:styleId="TOC1">
    <w:name w:val="toc 1"/>
    <w:basedOn w:val="Normal"/>
    <w:pPr>
      <w:spacing w:before="60" w:after="20"/>
    </w:pPr>
    <w:rPr>
      <w:b/>
      <w:color w:val="3A2E28"/>
      <w:sz w:val="22"/>
    </w:rPr>
  </w:style>
  <w:style w:type="paragraph" w:styleId="TOC2">
    <w:name w:val="toc 2"/>
    <w:basedOn w:val="Normal"/>
    <w:pPr>
      <w:spacing w:before="0" w:after="20"/>
      <w:ind w:left="360"/>
    </w:pPr>
    <w:rPr>
      <w:color w:val="8C7A6B"/>
      <w:sz w:val="21"/>
    </w:rPr>
  </w:style>
</w:styles>
</file>

<file path=word/_rels/document.xml.rels><?xml version='1.0' encoding='UTF-8'?>
<Relationships xmlns="http://schemas.openxmlformats.org/package/2006/relationships"><Relationship Id="R001125dfb3064246" Type="http://schemas.openxmlformats.org/officeDocument/2006/relationships/numbering" Target="numbering.xml" /><Relationship Id="R20a3d77fec614563" Type="http://schemas.openxmlformats.org/officeDocument/2006/relationships/image" Target="media/image.png" /><Relationship Id="R230edc4ff48d4139" Type="http://schemas.openxmlformats.org/officeDocument/2006/relationships/styles" Target="styles.xml" /><Relationship Id="R44533d7977004d6a" Type="http://schemas.openxmlformats.org/officeDocument/2006/relationships/footer" Target="footer1.xml" /><Relationship Id="Ra30d81569adc46df" Type="http://schemas.openxmlformats.org/officeDocument/2006/relationships/settings" Target="settings.xml" /><Relationship Id="Ra398eb75cdf1460b" Type="http://schemas.openxmlformats.org/officeDocument/2006/relationships/image" Target="media/image3.png" /><Relationship Id="Rbb7020042d6c417e" Type="http://schemas.openxmlformats.org/officeDocument/2006/relationships/header" Target="header1.xml" /><Relationship Id="Recce7226a40e43a2" Type="http://schemas.openxmlformats.org/officeDocument/2006/relationships/image" Target="media/image2.png" /></Relationships>
</file>