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0ad13005d4704582"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2600" w:after="0"/>
      </w:pPr>
    </w:p>
    <w:tbl>
      <w:tblPr>
        <w:tblW w:w="5000" w:type="pct"/>
        <w:tblBorders>
          <w:top w:val="single" w:color="7B3F24" w:sz="18"/>
          <w:left w:val="nil"/>
          <w:bottom w:val="single" w:color="7B3F24" w:sz="18"/>
          <w:right w:val="nil"/>
          <w:insideH w:val="nil"/>
          <w:insideV w:val="nil"/>
        </w:tblBorders>
      </w:tblPr>
      <w:tblGrid>
        <w:gridCol w:w="9640"/>
      </w:tblGrid>
      <w:tr>
        <w:tc>
          <w:tcPr>
            <w:tcW w:w="9640" w:type="dxa"/>
            <w:shd w:val="clear" w:fill="F4E6DC"/>
            <w:tcMar>
              <w:top w:w="300" w:type="dxa"/>
              <w:left w:w="200" w:type="dxa"/>
              <w:bottom w:w="300" w:type="dxa"/>
              <w:right w:w="200" w:type="dxa"/>
            </w:tcMar>
          </w:tcPr>
          <w:p>
            <w:pPr>
              <w:spacing w:before="120" w:after="120"/>
              <w:jc w:val="center"/>
            </w:pPr>
            <w:r>
              <w:rPr>
                <w:rFonts w:ascii="Calibri Light" w:hAnsi="Calibri Light"/>
                <w:b/>
                <w:color w:val="7B3F24"/>
                <w:spacing w:val="40"/>
                <w:sz w:val="76"/>
              </w:rPr>
              <w:t>CONTRA FAVILLAS</w:t>
            </w:r>
          </w:p>
          <w:p>
            <w:pPr>
              <w:spacing w:after="60"/>
              <w:jc w:val="center"/>
            </w:pPr>
            <w:r>
              <w:rPr>
                <w:color w:val="3A2E28"/>
                <w:sz w:val="26"/>
              </w:rPr>
              <w:t>Engineering Specification for an Autonomous Laser-Carbonization</w:t>
            </w:r>
          </w:p>
          <w:p>
            <w:pPr>
              <w:spacing w:after="160"/>
              <w:jc w:val="center"/>
            </w:pPr>
            <w:r>
              <w:rPr>
                <w:color w:val="3A2E28"/>
                <w:sz w:val="26"/>
              </w:rPr>
              <w:t>Wildfire-Prevention Robot</w:t>
            </w:r>
          </w:p>
          <w:p>
            <w:pPr>
              <w:spacing w:after="80"/>
              <w:jc w:val="center"/>
            </w:pPr>
            <w:r>
              <w:rPr>
                <w:i/>
                <w:color w:val="A85B36"/>
                <w:sz w:val="21"/>
              </w:rPr>
              <w:t>Favilla: a glowing ember. Contra favillas: against embers.</w:t>
            </w:r>
          </w:p>
        </w:tc>
      </w:tr>
    </w:tbl>
    <w:p>
      <w:pPr>
        <w:spacing w:before="1400" w:after="0"/>
      </w:pPr>
    </w:p>
    <w:p>
      <w:pPr>
        <w:spacing w:after="60"/>
        <w:jc w:val="center"/>
      </w:pPr>
      <w:r>
        <w:rPr>
          <w:b/>
          <w:color w:val="A85B36"/>
          <w:sz w:val="21"/>
        </w:rPr>
        <w:t xml:space="preserve">Document class: </w:t>
      </w:r>
      <w:r>
        <w:rPr>
          <w:color w:val="3A2E28"/>
          <w:sz w:val="21"/>
        </w:rPr>
        <w:t xml:space="preserve">Engineering design document, prototype level</w:t>
      </w:r>
    </w:p>
    <w:p>
      <w:pPr>
        <w:spacing w:after="60"/>
        <w:jc w:val="center"/>
      </w:pPr>
      <w:r>
        <w:rPr>
          <w:b/>
          <w:color w:val="A85B36"/>
          <w:sz w:val="21"/>
        </w:rPr>
        <w:t xml:space="preserve">Platform: </w:t>
      </w:r>
      <w:r>
        <w:rPr>
          <w:color w:val="3A2E28"/>
          <w:sz w:val="21"/>
        </w:rPr>
        <w:t xml:space="preserve">Contra Favillas Mk I, ATV-scale autonomous treatment robot</w:t>
      </w:r>
    </w:p>
    <w:p>
      <w:pPr>
        <w:spacing w:after="60"/>
        <w:jc w:val="center"/>
      </w:pPr>
      <w:r>
        <w:rPr>
          <w:b/>
          <w:color w:val="A85B36"/>
          <w:sz w:val="21"/>
        </w:rPr>
        <w:t xml:space="preserve">Version: </w:t>
      </w:r>
      <w:r>
        <w:rPr>
          <w:color w:val="3A2E28"/>
          <w:sz w:val="21"/>
        </w:rPr>
        <w:t xml:space="preserve">1.0</w:t>
      </w:r>
    </w:p>
    <w:p>
      <w:pPr>
        <w:spacing w:after="60"/>
        <w:jc w:val="center"/>
      </w:pPr>
      <w:r>
        <w:rPr>
          <w:b/>
          <w:color w:val="A85B36"/>
          <w:sz w:val="21"/>
        </w:rPr>
        <w:t xml:space="preserve">Date: </w:t>
      </w:r>
      <w:r>
        <w:rPr>
          <w:color w:val="3A2E28"/>
          <w:sz w:val="21"/>
        </w:rPr>
        <w:t xml:space="preserve">August 1, 2026</w:t>
      </w:r>
    </w:p>
    <w:p>
      <w:pPr>
        <w:spacing w:after="60"/>
        <w:jc w:val="center"/>
      </w:pPr>
      <w:r>
        <w:rPr>
          <w:b/>
          <w:color w:val="A85B36"/>
          <w:sz w:val="21"/>
        </w:rPr>
        <w:t xml:space="preserve">Status: </w:t>
      </w:r>
      <w:r>
        <w:rPr>
          <w:color w:val="3A2E28"/>
          <w:sz w:val="21"/>
        </w:rPr>
        <w:t xml:space="preserve">Fully specified for prototyping; all parts named, costed (CAD), and sourced</w:t>
      </w:r>
    </w:p>
    <w:p>
      <w:pPr>
        <w:sectPr>
          <w:type w:val="nextPage"/>
          <w:pgSz w:w="11906" w:h="16838"/>
          <w:pgMar w:top="1440" w:right="1440" w:bottom="1440" w:left="1440" w:header="720" w:footer="720"/>
          <w:pgBorders w:offsetFrom="page">
            <w:top w:val="double" w:color="7B3F24" w:sz="18" w:space="24"/>
            <w:left w:val="double" w:color="7B3F24" w:sz="18" w:space="24"/>
            <w:bottom w:val="double" w:color="7B3F24" w:sz="18" w:space="24"/>
            <w:right w:val="double" w:color="7B3F24" w:sz="18" w:space="24"/>
          </w:pgBorders>
          <w:titlePg/>
        </w:sectPr>
      </w:pPr>
    </w:p>
    <w:p>
      <w:pPr>
        <w:pStyle w:val="Heading1"/>
      </w:pPr>
      <w:r>
        <w:t xml:space="preserve">Contents</w:t>
      </w:r>
    </w:p>
    <w:p>
      <w:r>
        <w:fldChar w:fldCharType="begin"/>
      </w:r>
      <w:r>
        <w:instrText xml:space="preserve"> TOC \o "1-2" \h \z \u </w:instrText>
      </w:r>
      <w:r>
        <w:fldChar w:fldCharType="separate"/>
      </w:r>
    </w:p>
    <w:p>
      <w:pPr>
        <w:pStyle w:val="TOC1"/>
      </w:pPr>
      <w:r>
        <w:t>1. Overview: Concept and Purpose</w:t>
      </w:r>
      <w:r>
        <w:tab/>
      </w:r>
      <w:r>
        <w:t>1</w:t>
      </w:r>
    </w:p>
    <w:p>
      <w:pPr>
        <w:pStyle w:val="TOC2"/>
      </w:pPr>
      <w:r>
        <w:t>1.1 The Fine-Fuel Problem</w:t>
      </w:r>
      <w:r>
        <w:tab/>
      </w:r>
      <w:r>
        <w:t>1</w:t>
      </w:r>
    </w:p>
    <w:p>
      <w:pPr>
        <w:pStyle w:val="TOC2"/>
      </w:pPr>
      <w:r>
        <w:t>1.2 The Concept: Laser-Induced In-Situ Carbonization</w:t>
      </w:r>
      <w:r>
        <w:tab/>
      </w:r>
      <w:r>
        <w:t>1</w:t>
      </w:r>
    </w:p>
    <w:p>
      <w:pPr>
        <w:pStyle w:val="TOC2"/>
      </w:pPr>
      <w:r>
        <w:t>1.3 Why a Ground Robot at ATV Scale</w:t>
      </w:r>
      <w:r>
        <w:tab/>
      </w:r>
      <w:r>
        <w:t>1</w:t>
      </w:r>
    </w:p>
    <w:p>
      <w:pPr>
        <w:pStyle w:val="TOC2"/>
      </w:pPr>
      <w:r>
        <w:t>1.4 Mission Profile and Treatment Doctrine</w:t>
      </w:r>
      <w:r>
        <w:tab/>
      </w:r>
      <w:r>
        <w:t>1</w:t>
      </w:r>
    </w:p>
    <w:p>
      <w:pPr>
        <w:pStyle w:val="TOC2"/>
      </w:pPr>
      <w:r>
        <w:t>1.5 Evidence Base and Design Foundations</w:t>
      </w:r>
      <w:r>
        <w:tab/>
      </w:r>
      <w:r>
        <w:t>1</w:t>
      </w:r>
    </w:p>
    <w:p>
      <w:pPr>
        <w:pStyle w:val="TOC1"/>
      </w:pPr>
      <w:r>
        <w:t>2. System Architecture</w:t>
      </w:r>
      <w:r>
        <w:tab/>
      </w:r>
      <w:r>
        <w:t>1</w:t>
      </w:r>
    </w:p>
    <w:p>
      <w:pPr>
        <w:pStyle w:val="TOC2"/>
      </w:pPr>
      <w:r>
        <w:t>2.1 Two-Element Layout and Mass Budget</w:t>
      </w:r>
      <w:r>
        <w:tab/>
      </w:r>
      <w:r>
        <w:t>1</w:t>
      </w:r>
    </w:p>
    <w:p>
      <w:pPr>
        <w:pStyle w:val="TOC2"/>
      </w:pPr>
      <w:r>
        <w:t>2.2 Subsystem Map</w:t>
      </w:r>
      <w:r>
        <w:tab/>
      </w:r>
      <w:r>
        <w:t>1</w:t>
      </w:r>
    </w:p>
    <w:p>
      <w:pPr>
        <w:pStyle w:val="TOC2"/>
      </w:pPr>
      <w:r>
        <w:t>2.3 Power and Energy Budget</w:t>
      </w:r>
      <w:r>
        <w:tab/>
      </w:r>
      <w:r>
        <w:t>1</w:t>
      </w:r>
    </w:p>
    <w:p>
      <w:pPr>
        <w:pStyle w:val="TOC2"/>
      </w:pPr>
      <w:r>
        <w:t>2.4 Treatment Throughput Model</w:t>
      </w:r>
      <w:r>
        <w:tab/>
      </w:r>
      <w:r>
        <w:t>1</w:t>
      </w:r>
    </w:p>
    <w:p>
      <w:pPr>
        <w:pStyle w:val="TOC1"/>
      </w:pPr>
      <w:r>
        <w:t>3. Mobility Platform</w:t>
      </w:r>
      <w:r>
        <w:tab/>
      </w:r>
      <w:r>
        <w:t>1</w:t>
      </w:r>
    </w:p>
    <w:p>
      <w:pPr>
        <w:pStyle w:val="TOC1"/>
      </w:pPr>
      <w:r>
        <w:t>4. Laser Carbonization Array</w:t>
      </w:r>
      <w:r>
        <w:tab/>
      </w:r>
      <w:r>
        <w:t>1</w:t>
      </w:r>
    </w:p>
    <w:p>
      <w:pPr>
        <w:pStyle w:val="TOC2"/>
      </w:pPr>
      <w:r>
        <w:t>4.1 Laser Sources</w:t>
      </w:r>
      <w:r>
        <w:tab/>
      </w:r>
      <w:r>
        <w:t>1</w:t>
      </w:r>
    </w:p>
    <w:p>
      <w:pPr>
        <w:pStyle w:val="TOC2"/>
      </w:pPr>
      <w:r>
        <w:t>4.2 Beam Delivery and Top-Hat Shaping</w:t>
      </w:r>
      <w:r>
        <w:tab/>
      </w:r>
      <w:r>
        <w:t>1</w:t>
      </w:r>
    </w:p>
    <w:p>
      <w:pPr>
        <w:pStyle w:val="TOC2"/>
      </w:pPr>
      <w:r>
        <w:t>4.3 Treatment Rack and Height Actuation</w:t>
      </w:r>
      <w:r>
        <w:tab/>
      </w:r>
      <w:r>
        <w:t>1</w:t>
      </w:r>
    </w:p>
    <w:p>
      <w:pPr>
        <w:pStyle w:val="TOC2"/>
      </w:pPr>
      <w:r>
        <w:t>4.4 Thermal Management: Phase-Change Thermal Battery</w:t>
      </w:r>
      <w:r>
        <w:tab/>
      </w:r>
      <w:r>
        <w:t>1</w:t>
      </w:r>
    </w:p>
    <w:p>
      <w:pPr>
        <w:pStyle w:val="TOC2"/>
      </w:pPr>
      <w:r>
        <w:t>4.5 Smoke Management: Air Knife</w:t>
      </w:r>
      <w:r>
        <w:tab/>
      </w:r>
      <w:r>
        <w:t>1</w:t>
      </w:r>
    </w:p>
    <w:p>
      <w:pPr>
        <w:pStyle w:val="TOC1"/>
      </w:pPr>
      <w:r>
        <w:t>5. RF Pre-Drying Module</w:t>
      </w:r>
      <w:r>
        <w:tab/>
      </w:r>
      <w:r>
        <w:t>1</w:t>
      </w:r>
    </w:p>
    <w:p>
      <w:pPr>
        <w:pStyle w:val="TOC1"/>
      </w:pPr>
      <w:r>
        <w:t>6. Sensing and Perception</w:t>
      </w:r>
      <w:r>
        <w:tab/>
      </w:r>
      <w:r>
        <w:t>1</w:t>
      </w:r>
    </w:p>
    <w:p>
      <w:pPr>
        <w:pStyle w:val="TOC2"/>
      </w:pPr>
      <w:r>
        <w:t>6.1 Thermal Imaging, Front and Rear</w:t>
      </w:r>
      <w:r>
        <w:tab/>
      </w:r>
      <w:r>
        <w:t>1</w:t>
      </w:r>
    </w:p>
    <w:p>
      <w:pPr>
        <w:pStyle w:val="TOC2"/>
      </w:pPr>
      <w:r>
        <w:t>6.2 Optical Emission Spectroscopy</w:t>
      </w:r>
      <w:r>
        <w:tab/>
      </w:r>
      <w:r>
        <w:t>1</w:t>
      </w:r>
    </w:p>
    <w:p>
      <w:pPr>
        <w:pStyle w:val="TOC2"/>
      </w:pPr>
      <w:r>
        <w:t>6.3 Flame Detection</w:t>
      </w:r>
      <w:r>
        <w:tab/>
      </w:r>
      <w:r>
        <w:t>1</w:t>
      </w:r>
    </w:p>
    <w:p>
      <w:pPr>
        <w:pStyle w:val="TOC2"/>
      </w:pPr>
      <w:r>
        <w:t>6.4 Terrain and Fuel Mapping</w:t>
      </w:r>
      <w:r>
        <w:tab/>
      </w:r>
      <w:r>
        <w:t>1</w:t>
      </w:r>
    </w:p>
    <w:p>
      <w:pPr>
        <w:pStyle w:val="TOC2"/>
      </w:pPr>
      <w:r>
        <w:t>6.5 Positioning and Navigation</w:t>
      </w:r>
      <w:r>
        <w:tab/>
      </w:r>
      <w:r>
        <w:t>1</w:t>
      </w:r>
    </w:p>
    <w:p>
      <w:pPr>
        <w:pStyle w:val="TOC2"/>
      </w:pPr>
      <w:r>
        <w:t>6.6 Fuel Moisture and Weather</w:t>
      </w:r>
      <w:r>
        <w:tab/>
      </w:r>
      <w:r>
        <w:t>1</w:t>
      </w:r>
    </w:p>
    <w:p>
      <w:pPr>
        <w:pStyle w:val="TOC1"/>
      </w:pPr>
      <w:r>
        <w:t>7. Compute and Control Electronics</w:t>
      </w:r>
      <w:r>
        <w:tab/>
      </w:r>
      <w:r>
        <w:t>1</w:t>
      </w:r>
    </w:p>
    <w:p>
      <w:pPr>
        <w:pStyle w:val="TOC1"/>
      </w:pPr>
      <w:r>
        <w:t>8. Power System</w:t>
      </w:r>
      <w:r>
        <w:tab/>
      </w:r>
      <w:r>
        <w:t>1</w:t>
      </w:r>
    </w:p>
    <w:p>
      <w:pPr>
        <w:pStyle w:val="TOC1"/>
      </w:pPr>
      <w:r>
        <w:t>9. Stabilization Spray System</w:t>
      </w:r>
      <w:r>
        <w:tab/>
      </w:r>
      <w:r>
        <w:t>1</w:t>
      </w:r>
    </w:p>
    <w:p>
      <w:pPr>
        <w:pStyle w:val="TOC1"/>
      </w:pPr>
      <w:r>
        <w:t>10. Communications and Ground Control</w:t>
      </w:r>
      <w:r>
        <w:tab/>
      </w:r>
      <w:r>
        <w:t>1</w:t>
      </w:r>
    </w:p>
    <w:p>
      <w:pPr>
        <w:pStyle w:val="TOC1"/>
      </w:pPr>
      <w:r>
        <w:t>11. Safety Architecture and Interlocks</w:t>
      </w:r>
      <w:r>
        <w:tab/>
      </w:r>
      <w:r>
        <w:t>1</w:t>
      </w:r>
    </w:p>
    <w:p>
      <w:pPr>
        <w:pStyle w:val="TOC1"/>
      </w:pPr>
      <w:r>
        <w:t>12. Control Software and Treatment Logic</w:t>
      </w:r>
      <w:r>
        <w:tab/>
      </w:r>
      <w:r>
        <w:t>1</w:t>
      </w:r>
    </w:p>
    <w:p>
      <w:pPr>
        <w:pStyle w:val="TOC2"/>
      </w:pPr>
      <w:r>
        <w:t>12.1 Closed-Loop Carbonization Control</w:t>
      </w:r>
      <w:r>
        <w:tab/>
      </w:r>
      <w:r>
        <w:t>1</w:t>
      </w:r>
    </w:p>
    <w:p>
      <w:pPr>
        <w:pStyle w:val="TOC2"/>
      </w:pPr>
      <w:r>
        <w:t>12.2 Layer 1: Dead-Reckoning Fallback</w:t>
      </w:r>
      <w:r>
        <w:tab/>
      </w:r>
      <w:r>
        <w:t>1</w:t>
      </w:r>
    </w:p>
    <w:p>
      <w:pPr>
        <w:pStyle w:val="TOC2"/>
      </w:pPr>
      <w:r>
        <w:t>12.3 Layer 2: Post-Treatment Cooling Verification</w:t>
      </w:r>
      <w:r>
        <w:tab/>
      </w:r>
      <w:r>
        <w:t>1</w:t>
      </w:r>
    </w:p>
    <w:p>
      <w:pPr>
        <w:pStyle w:val="TOC2"/>
      </w:pPr>
      <w:r>
        <w:t>12.4 Layer 3: Staggered-Belt Redundancy</w:t>
      </w:r>
      <w:r>
        <w:tab/>
      </w:r>
      <w:r>
        <w:t>1</w:t>
      </w:r>
    </w:p>
    <w:p>
      <w:pPr>
        <w:pStyle w:val="TOC2"/>
      </w:pPr>
      <w:r>
        <w:t>12.5 Eco-Strip Route Optimization</w:t>
      </w:r>
      <w:r>
        <w:tab/>
      </w:r>
      <w:r>
        <w:t>1</w:t>
      </w:r>
    </w:p>
    <w:p>
      <w:pPr>
        <w:pStyle w:val="TOC1"/>
      </w:pPr>
      <w:r>
        <w:t>13. Consolidated Bill of Materials</w:t>
      </w:r>
      <w:r>
        <w:tab/>
      </w:r>
      <w:r>
        <w:t>1</w:t>
      </w:r>
    </w:p>
    <w:p>
      <w:pPr>
        <w:pStyle w:val="TOC1"/>
      </w:pPr>
      <w:r>
        <w:t>14. Cost Summary and Procurement Plan</w:t>
      </w:r>
      <w:r>
        <w:tab/>
      </w:r>
      <w:r>
        <w:t>1</w:t>
      </w:r>
    </w:p>
    <w:p>
      <w:pPr>
        <w:pStyle w:val="TOC1"/>
      </w:pPr>
      <w:r>
        <w:t>15. Assembly and Integration Plan</w:t>
      </w:r>
      <w:r>
        <w:tab/>
      </w:r>
      <w:r>
        <w:t>1</w:t>
      </w:r>
    </w:p>
    <w:p>
      <w:pPr>
        <w:pStyle w:val="TOC1"/>
      </w:pPr>
      <w:r>
        <w:t>16. Regulatory and Compliance Framework</w:t>
      </w:r>
      <w:r>
        <w:tab/>
      </w:r>
      <w:r>
        <w:t>1</w:t>
      </w:r>
    </w:p>
    <w:p>
      <w:pPr>
        <w:pStyle w:val="TOC1"/>
      </w:pPr>
      <w:r>
        <w:t>17. Test and Validation Plan</w:t>
      </w:r>
      <w:r>
        <w:tab/>
      </w:r>
      <w:r>
        <w:t>1</w:t>
      </w:r>
    </w:p>
    <w:p>
      <w:pPr>
        <w:pStyle w:val="TOC1"/>
      </w:pPr>
      <w:r>
        <w:t>18. Operational Economics</w:t>
      </w:r>
      <w:r>
        <w:tab/>
      </w:r>
      <w:r>
        <w:t>1</w:t>
      </w:r>
    </w:p>
    <w:p>
      <w:pPr>
        <w:pStyle w:val="TOC1"/>
      </w:pPr>
      <w:r>
        <w:t>19. Risks and Mitigations</w:t>
      </w:r>
      <w:r>
        <w:tab/>
      </w:r>
      <w:r>
        <w:t>1</w:t>
      </w:r>
    </w:p>
    <w:p>
      <w:pPr>
        <w:pStyle w:val="TOC1"/>
      </w:pPr>
      <w:r>
        <w:t>Appendix A: Currency, Pricing, and Sourcing Notes</w:t>
      </w:r>
      <w:r>
        <w:tab/>
      </w:r>
      <w:r>
        <w:t>1</w:t>
      </w:r>
    </w:p>
    <w:p>
      <w:pPr>
        <w:pStyle w:val="TOC1"/>
      </w:pPr>
      <w:r>
        <w:t>Appendix B: Document Conformance Statement</w:t>
      </w:r>
      <w:r>
        <w:tab/>
      </w:r>
      <w:r>
        <w:t>1</w:t>
      </w:r>
    </w:p>
    <w:p>
      <w:r>
        <w:fldChar w:fldCharType="end"/>
      </w:r>
    </w:p>
    <w:p>
      <w:pPr>
        <w:pStyle w:val="Heading1"/>
      </w:pPr>
      <w:r>
        <w:t xml:space="preserve">1. Overview: Concept and Purpose</w:t>
      </w:r>
    </w:p>
    <w:p>
      <w:pPr>
        <w:pStyle w:val="Heading2"/>
      </w:pPr>
      <w:r>
        <w:t xml:space="preserve">1.1 The Fine-Fuel Problem</w:t>
      </w:r>
    </w:p>
    <w:p>
      <w:r>
        <w:t xml:space="preserve">Wildfires spread through continuous fine fuels: grasses, conifer needles, twigs, and low brush. These fuels ignite quickly, carry flame through the understory, and ladder fire into the canopy. Canada’s 2023 season burned roughly 18.5 million hectares, the worst season on record, and most of that destruction moved through exactly this fine-fuel layer. Fuel treatment interrupts continuity, and the economics favour prevention: USDA analysis places the return at about 3.75 dollars of avoided wildfire damage for every dollar spent on fuel treatments.</w:t>
      </w:r>
    </w:p>
    <w:p>
      <w:r>
        <w:t xml:space="preserve">Two dominant treatment methods bracket the problem. Prescribed fire costs little per hectare but carries escape risk near homes, transmission corridors, and infrastructure. Mechanical thinning avoids open flame but demands cutting, hauling, and disposal logistics that push costs to 1,000 to 3,000 dollars per hectare. A wide gap sits between these options: a treatment with the safety profile of mechanical work, without its logistics burden, and without fire, smoke, water, or chemicals.</w:t>
      </w:r>
    </w:p>
    <w:p>
      <w:pPr>
        <w:pStyle w:val="Heading2"/>
      </w:pPr>
      <w:r>
        <w:t xml:space="preserve">1.2 The Concept: Laser-Induced In-Situ Carbonization</w:t>
      </w:r>
    </w:p>
    <w:p>
      <w:r>
        <w:t xml:space="preserve">Contra Favillas treats the fuel rather than the fire. The robot sweeps ground vegetation with a controlled laser beam and pyrolyzes the surface layer into high-temperature biochar in place. This chemical transformation, not removal, neutralizes the fuel. Raw biomass shows peak heat release rates of 200 to 600 kW/m²; biochar produced from the same biomass shows 20 to 35 kW/m², a reduction of roughly 90 percent. High-temperature biochar, produced above 600 °C, retains almost no volatile matter, resists ignition at heat fluxes of 50 kW/m², and forms a char layer that physically limits oxygen penetration and external heat flux.</w:t>
      </w:r>
    </w:p>
    <w:p>
      <w:r>
        <w:t xml:space="preserve">The treated biomass stays in the soil as stable carbon. Published soil studies show that biochar of this kind raises arbuscular mycorrhizal fungi colonization, increases soil enzymatic activity, improves nutrient uptake, and helps water retention. The process consumes no water, releases no retardant chemicals, produces no smoke column, and generates no hauling logistics. The mission is upstream prevention: re-engineer the fuel landscape so that megafires never achieve their current spread and intensity.</w:t>
      </w:r>
    </w:p>
    <w:p>
      <w:pPr>
        <w:pStyle w:val="Heading2"/>
      </w:pPr>
      <w:r>
        <w:t xml:space="preserve">1.3 Why a Ground Robot at ATV Scale</w:t>
      </w:r>
    </w:p>
    <w:p>
      <w:r>
        <w:t xml:space="preserve">The physics settles the platform question. Treatment demands kilowatts of optical power delivered for hours. A multirotor large enough to lift an 8 kW laser array, its thermal management, its power supply, and its sensor suite lands in the 250 to 350 kg all-up class, and momentum theory places the hover power of such an aircraft in the 40 to 70 kW range before the laser fires once. Published multirotor power models measure 39 to 59 W per kilogram of payload for small delivery drones, and heavy-lift practice budgets on the order of 200 W per pound of aircraft mass. Propulsion alone consumes the entire energy supply and leaves nothing for treatment.</w:t>
      </w:r>
    </w:p>
    <w:p>
      <w:r>
        <w:t xml:space="preserve">A ground rover inverts the equation. Wheels carry mass at near-zero marginal energy, so the full generator output feeds the laser array. The ATV footprint, roughly 1.5 × 1.4 m in the 4-wheeler class, delivers a stable, low-vibration platform that holds an optical standoff of 10 to 80 cm above the fuel bed, carries 272 kg of treatment payload, and tows a power tender with the generator and battery bank. A ground robot also sidesteps the advanced-operations airspace regime that a 300 kg aircraft attracts under Transport Canada RPAS rules, and it keeps a Class 4 laser beam path close to the ground, fully enclosed, and aimed downward at all times.</w:t>
      </w:r>
    </w:p>
    <w:p>
      <w:pPr>
        <w:pStyle w:val="Heading2"/>
      </w:pPr>
      <w:r>
        <w:t xml:space="preserve">1.4 Mission Profile and Treatment Doctrine</w:t>
      </w:r>
    </w:p>
    <w:p>
      <w:pPr>
        <w:numPr>
          <w:ilvl w:val="0"/>
          <w:numId w:val="1"/>
        </w:numPr>
        <w:spacing w:after="80"/>
      </w:pPr>
      <w:r>
        <w:rPr>
          <w:b/>
        </w:rPr>
        <w:t xml:space="preserve">Seasonal window: </w:t>
      </w:r>
      <w:r>
        <w:t xml:space="preserve">pre-season deployment, four to eight weeks before peak fire danger, along wildland-urban interface perimeters, infrastructure corridors, road edges, and defensible-space buffers.</w:t>
      </w:r>
    </w:p>
    <w:p>
      <w:pPr>
        <w:numPr>
          <w:ilvl w:val="0"/>
          <w:numId w:val="1"/>
        </w:numPr>
        <w:spacing w:after="80"/>
      </w:pPr>
      <w:r>
        <w:rPr>
          <w:b/>
        </w:rPr>
        <w:t xml:space="preserve">Treatment geometry: </w:t>
      </w:r>
      <w:r>
        <w:t xml:space="preserve">three staggered 0.5 m carbonized belts at 1.5 m pitch (0.5 m belt, 1.0 m untreated gap), laid in a single pass by the four treatment heads. The dashed, gapped pattern preserves ecological connectivity and tolerates single-segment failures.</w:t>
      </w:r>
    </w:p>
    <w:p>
      <w:pPr>
        <w:numPr>
          <w:ilvl w:val="0"/>
          <w:numId w:val="1"/>
        </w:numPr>
        <w:spacing w:after="80"/>
      </w:pPr>
      <w:r>
        <w:rPr>
          <w:b/>
        </w:rPr>
        <w:t xml:space="preserve">Advance rate: </w:t>
      </w:r>
      <w:r>
        <w:t xml:space="preserve">dwell-limited crawl of 0.05 to 0.10 km/h during treatment; transit at up to 18 km/h between sites.</w:t>
      </w:r>
    </w:p>
    <w:p>
      <w:pPr>
        <w:numPr>
          <w:ilvl w:val="0"/>
          <w:numId w:val="1"/>
        </w:numPr>
        <w:spacing w:after="80"/>
      </w:pPr>
      <w:r>
        <w:rPr>
          <w:b/>
        </w:rPr>
        <w:t xml:space="preserve">Daily output: </w:t>
      </w:r>
      <w:r>
        <w:t xml:space="preserve">0.14 to 0.28 km of triple-belt line per unit per 8-hour day, depending on fuel dose (Section 2.4). A fleet of four to six units treats a 10 km community perimeter in two to four weeks.</w:t>
      </w:r>
    </w:p>
    <w:p>
      <w:pPr>
        <w:numPr>
          <w:ilvl w:val="0"/>
          <w:numId w:val="1"/>
        </w:numPr>
        <w:spacing w:after="80"/>
      </w:pPr>
      <w:r>
        <w:rPr>
          <w:b/>
        </w:rPr>
        <w:t xml:space="preserve">Adaptive redeployment: </w:t>
      </w:r>
      <w:r>
        <w:t xml:space="preserve">during elevated fire risk, units move to new choke points that fire-risk models identify, and treat fresh belts ahead of the season’s worst windows.</w:t>
      </w:r>
    </w:p>
    <w:p>
      <w:pPr>
        <w:pStyle w:val="Heading2"/>
      </w:pPr>
      <w:r>
        <w:t xml:space="preserve">1.5 Evidence Base and Design Foundations</w:t>
      </w:r>
    </w:p>
    <w:p>
      <w:r>
        <w:t xml:space="preserve">Every core mechanism in this specification traces to published research or proven industrial practice:</w:t>
      </w:r>
    </w:p>
    <w:p>
      <w:pPr>
        <w:numPr>
          <w:ilvl w:val="0"/>
          <w:numId w:val="1"/>
        </w:numPr>
        <w:spacing w:after="80"/>
      </w:pPr>
      <w:r>
        <w:t xml:space="preserve">Biochar chemistry: biomass peak heat release rates of 200 to 600 kW/m² fall to 20 to 35 kW/m² after conversion to biochar (ACS Omega, 2025). High-temperature biochar above 600 °C holds very low volatile content and resists ignition at 50 kW/m² heat flux.</w:t>
      </w:r>
    </w:p>
    <w:p>
      <w:pPr>
        <w:numPr>
          <w:ilvl w:val="0"/>
          <w:numId w:val="1"/>
        </w:numPr>
        <w:spacing w:after="80"/>
      </w:pPr>
      <w:r>
        <w:t xml:space="preserve">Forestry laser precedent: the USDA Forest Service developed and tested a kilowatt-class CO2 laser ignition device for controlled burning and selected undergrowth removal at 50 to 1,500 m standoff (Waterworth, PSW-GTR-101, 1987), including a truck-mounted version.</w:t>
      </w:r>
    </w:p>
    <w:p>
      <w:pPr>
        <w:numPr>
          <w:ilvl w:val="0"/>
          <w:numId w:val="1"/>
        </w:numPr>
        <w:spacing w:after="80"/>
      </w:pPr>
      <w:r>
        <w:t xml:space="preserve">Laser firebreak concept: Moustafa (Journal of Emergency Management, 2020) proposed laser devices that carbonize a narrow zone ahead of crawling wildfires to stop propagation.</w:t>
      </w:r>
    </w:p>
    <w:p>
      <w:pPr>
        <w:numPr>
          <w:ilvl w:val="0"/>
          <w:numId w:val="1"/>
        </w:numPr>
        <w:spacing w:after="80"/>
      </w:pPr>
      <w:r>
        <w:t xml:space="preserve">Industrial spectral process control: optical emission spectroscopy provides millisecond-scale reaction monitoring in plasma processing and additive manufacturing (US Patent 5,347,460; Avantes application practice). Section 12 adapts this control loop to pyrolysis chemistry.</w:t>
      </w:r>
    </w:p>
    <w:p>
      <w:pPr>
        <w:numPr>
          <w:ilvl w:val="0"/>
          <w:numId w:val="1"/>
        </w:numPr>
        <w:spacing w:after="80"/>
      </w:pPr>
      <w:r>
        <w:t xml:space="preserve">Dust and self-heating mitigation: atomized water misting at 10 to 50 µm droplets is proven at industrial scale for biomass dust suppression (US Patents 9,878,276 and 9,101,868), and mineral coatings stabilize fresh char against pulverization and self-ignition (US Patent 4,828,576).</w:t>
      </w:r>
    </w:p>
    <w:p>
      <w:pPr>
        <w:numPr>
          <w:ilvl w:val="0"/>
          <w:numId w:val="1"/>
        </w:numPr>
        <w:spacing w:after="80"/>
      </w:pPr>
      <w:r>
        <w:t xml:space="preserve">Fuel mapping: airborne and terrestrial LiDAR quantifies the first two metres of forest understory, the layer that drives fire behaviour (University of Nevada GEARS Lab practice).</w:t>
      </w:r>
    </w:p>
    <w:p>
      <w:pPr>
        <w:pStyle w:val="Heading1"/>
      </w:pPr>
      <w:r>
        <w:t xml:space="preserve">2. System Architecture</w:t>
      </w:r>
    </w:p>
    <w:p>
      <w:pPr>
        <w:pStyle w:val="Heading2"/>
      </w:pPr>
      <w:r>
        <w:t xml:space="preserve">2.1 Two-Element Layout and Mass Budget</w:t>
      </w:r>
    </w:p>
    <w:p>
      <w:r>
        <w:t xml:space="preserve">Contra Favillas Mk I operates as two connected elements. Element A, the treatment vehicle, is a Clearpath Warthog amphibious UGV carrying the laser rack, RF pre-dryer, full sensing suite, compute core, spray system, and air knife. Element B, the power tender, is a 1.4 × 1.2 m off-road trailer carrying the 20 kW diesel generator, a 30.7 kWh LiFePO4 buffer bank, a 40 L diesel day tank, and a 150 L water bladder for spray refill. A 15 m umbilical links the two elements and carries 240 VAC at 60 A, a 48 VDC auxiliary line, a hardwired interlock loop, and Ethernet.</w:t>
      </w:r>
    </w:p>
    <w:p>
      <w:r>
        <w:t xml:space="preserve">This split solves a real constraint: a 20 kW generator weighs about 460 kg, which exceeds the Warthog’s 272 kg payload on its own. The towed tender keeps the treatment vehicle inside its rated payload and ground-pressure envelope while putting the heavy, hot, and refuellable machinery on a simple, serviceable trailer. Towing validation forms part of Phase 1 field testing; a tracked tender variant serves as the fallback for steep or soft ground.</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5200"/>
        <w:gridCol w:w="2200"/>
        <w:gridCol w:w="2240"/>
      </w:tblGrid>
      <w:tr>
        <w:trPr>
          <w:tblHeader/>
        </w:trPr>
        <w:tc>
          <w:tcPr>
            <w:tcW w:w="5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Element A payload item</w:t>
            </w:r>
          </w:p>
        </w:tc>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Mass (kg)</w:t>
            </w:r>
          </w:p>
        </w:tc>
        <w:tc>
          <w:tcPr>
            <w:tcW w:w="22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Notes</w:t>
            </w:r>
          </w:p>
        </w:tc>
      </w:tr>
      <w:tr>
        <w:tc>
          <w:tcPr>
            <w:tcW w:w="5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 laser sources with cooling plates</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72</w:t>
            </w:r>
          </w:p>
        </w:tc>
        <w:tc>
          <w:tcPr>
            <w:tcW w:w="2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 × 18 kg, single-module fiber units</w:t>
            </w:r>
          </w:p>
        </w:tc>
      </w:tr>
      <w:tr>
        <w:tc>
          <w:tcPr>
            <w:tcW w:w="5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Treatment rack, actuators, optics</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38</w:t>
            </w:r>
          </w:p>
        </w:tc>
        <w:tc>
          <w:tcPr>
            <w:tcW w:w="2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80/20 frame, 4 linear actuators</w:t>
            </w:r>
          </w:p>
        </w:tc>
      </w:tr>
      <w:tr>
        <w:tc>
          <w:tcPr>
            <w:tcW w:w="5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PCM thermal battery panels</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60</w:t>
            </w:r>
          </w:p>
        </w:tc>
        <w:tc>
          <w:tcPr>
            <w:tcW w:w="2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Transient heat absorption, Section 4.4</w:t>
            </w:r>
          </w:p>
        </w:tc>
      </w:tr>
      <w:tr>
        <w:tc>
          <w:tcPr>
            <w:tcW w:w="5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Sensing suite</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w:t>
            </w:r>
          </w:p>
        </w:tc>
        <w:tc>
          <w:tcPr>
            <w:tcW w:w="2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 thermal cameras, OES, LiDAR, flame detector</w:t>
            </w:r>
          </w:p>
        </w:tc>
      </w:tr>
      <w:tr>
        <w:tc>
          <w:tcPr>
            <w:tcW w:w="5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Compute and control electronics</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w:t>
            </w:r>
          </w:p>
        </w:tc>
        <w:tc>
          <w:tcPr>
            <w:tcW w:w="2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Jetson, Beckhoff, enclosures</w:t>
            </w:r>
          </w:p>
        </w:tc>
      </w:tr>
      <w:tr>
        <w:tc>
          <w:tcPr>
            <w:tcW w:w="5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Spray system with 40 L fluid</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47</w:t>
            </w:r>
          </w:p>
        </w:tc>
        <w:tc>
          <w:tcPr>
            <w:tcW w:w="2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Tank, pump, boom, full fluid load</w:t>
            </w:r>
          </w:p>
        </w:tc>
      </w:tr>
      <w:tr>
        <w:tc>
          <w:tcPr>
            <w:tcW w:w="5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Air knife and 24 V compressor</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14</w:t>
            </w:r>
          </w:p>
        </w:tc>
        <w:tc>
          <w:tcPr>
            <w:tcW w:w="2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Smoke management, Section 4.5</w:t>
            </w:r>
          </w:p>
        </w:tc>
      </w:tr>
      <w:tr>
        <w:tc>
          <w:tcPr>
            <w:tcW w:w="5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Cabling, shielding, misc.</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w:t>
            </w:r>
          </w:p>
        </w:tc>
        <w:tc>
          <w:tcPr>
            <w:tcW w:w="2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Umbilical termination, brackets</w:t>
            </w:r>
          </w:p>
        </w:tc>
      </w:tr>
      <w:tr>
        <w:tc>
          <w:tcPr>
            <w:tcW w:w="5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Total payload</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264</w:t>
            </w:r>
          </w:p>
        </w:tc>
        <w:tc>
          <w:tcPr>
            <w:tcW w:w="2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vs. 272 kg rated payload: 3% margin</w:t>
            </w:r>
          </w:p>
        </w:tc>
      </w:tr>
    </w:tbl>
    <w:p>
      <w:pPr>
        <w:pStyle w:val="Caption"/>
      </w:pPr>
      <w:r>
        <w:t xml:space="preserve">Table 1: Element A payload allocation against the Warthog payload rating.</w:t>
      </w:r>
    </w:p>
    <w:p>
      <w:pPr>
        <w:pStyle w:val="Heading2"/>
      </w:pPr>
      <w:r>
        <w:t xml:space="preserve">2.2 Subsystem Map</w:t>
      </w:r>
    </w:p>
    <w:p>
      <w:r>
        <w:t xml:space="preserve">Figure 1 shows the signal and power flow between subsystems. The control core commands the laser array, RF pre-dryer, and spray system from fused sensor feedback, while the hardwired interlock chain (Section 11) sits outside software and acts in milliseconds.</w:t>
      </w:r>
    </w:p>
    <w:p>
      <w:pPr>
        <w:keepNext/>
        <w:spacing w:before="200" w:after="60"/>
        <w:jc w:val="center"/>
      </w:pPr>
      <w:r>
        <w:drawing>
          <wp:inline distT="0" distB="0" distL="0" distR="0">
            <wp:extent cx="5400000" cy="3069628"/>
            <wp:effectExtent l="0" t="0" r="0" b="0"/>
            <wp:docPr id="100" name="Architecture"/>
            <wp:cNvGraphicFramePr>
              <a:graphicFrameLocks noChangeAspect="1"/>
            </wp:cNvGraphicFramePr>
            <a:graphic>
              <a:graphicData uri="http://schemas.openxmlformats.org/drawingml/2006/picture">
                <pic:pic>
                  <pic:nvPicPr>
                    <pic:cNvPr id="0" name="Architecture.png"/>
                    <pic:cNvPicPr/>
                  </pic:nvPicPr>
                  <pic:blipFill>
                    <a:blip r:embed="R7c290a08df20483d"/>
                    <a:stretch>
                      <a:fillRect/>
                    </a:stretch>
                  </pic:blipFill>
                  <pic:spPr>
                    <a:xfrm>
                      <a:off x="0" y="0"/>
                      <a:ext cx="5400000" cy="3069628"/>
                    </a:xfrm>
                    <a:prstGeom prst="rect"/>
                  </pic:spPr>
                </pic:pic>
              </a:graphicData>
            </a:graphic>
          </wp:inline>
        </w:drawing>
      </w:r>
    </w:p>
    <w:p>
      <w:pPr>
        <w:pStyle w:val="Caption"/>
      </w:pPr>
      <w:r>
        <w:t xml:space="preserve">Figure 1: Subsystem signal and power flow for Contra Favillas Mk I.</w:t>
      </w:r>
    </w:p>
    <w:p>
      <w:pPr>
        <w:pStyle w:val="Heading2"/>
      </w:pPr>
      <w:r>
        <w:t xml:space="preserve">2.3 Power and Energy Budget</w:t>
      </w:r>
    </w:p>
    <w:p>
      <w:r>
        <w:t xml:space="preserve">The laser array draws the largest share by design: wheels leave nearly the entire energy supply for treatment. The generator runs inside its 70 to 85 percent efficient load band during active treatment, and the 30.7 kWh battery bank buffers transients, absorbs regeneration from the drive motors, and supports a 1.9-hour silent battery-only treatment mode near structures or livestock.</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600"/>
        <w:gridCol w:w="1800"/>
        <w:gridCol w:w="3240"/>
      </w:tblGrid>
      <w:tr>
        <w:trPr>
          <w:tblHeader/>
        </w:trPr>
        <w:tc>
          <w:tcPr>
            <w:tcW w:w="46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Load during active treatment</w:t>
            </w:r>
          </w:p>
        </w:tc>
        <w:tc>
          <w:tcPr>
            <w:tcW w:w="1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Avg. draw</w:t>
            </w:r>
          </w:p>
        </w:tc>
        <w:tc>
          <w:tcPr>
            <w:tcW w:w="32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Basis</w:t>
            </w:r>
          </w:p>
        </w:tc>
      </w:tr>
      <w:tr>
        <w:tc>
          <w:tcPr>
            <w:tcW w:w="4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array (8 kW optical peak, 45% duty)</w:t>
            </w:r>
          </w:p>
        </w:tc>
        <w:tc>
          <w:tcPr>
            <w:tcW w:w="1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12.0 kW</w:t>
            </w:r>
          </w:p>
        </w:tc>
        <w:tc>
          <w:tcPr>
            <w:tcW w:w="3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3.6 kW avg. optical at 30% wall-plug efficiency</w:t>
            </w:r>
          </w:p>
        </w:tc>
      </w:tr>
      <w:tr>
        <w:tc>
          <w:tcPr>
            <w:tcW w:w="4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RF pre-dryer (1.6 kW output, 60% duty)</w:t>
            </w:r>
          </w:p>
        </w:tc>
        <w:tc>
          <w:tcPr>
            <w:tcW w:w="1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1.6 kW</w:t>
            </w:r>
          </w:p>
        </w:tc>
        <w:tc>
          <w:tcPr>
            <w:tcW w:w="3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2.7 kW input at 60% GaN efficiency</w:t>
            </w:r>
          </w:p>
        </w:tc>
      </w:tr>
      <w:tr>
        <w:tc>
          <w:tcPr>
            <w:tcW w:w="4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Mobility at treatment crawl</w:t>
            </w:r>
          </w:p>
        </w:tc>
        <w:tc>
          <w:tcPr>
            <w:tcW w:w="1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1.3 kW</w:t>
            </w:r>
          </w:p>
        </w:tc>
        <w:tc>
          <w:tcPr>
            <w:tcW w:w="3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Rough-ground draw at 0.05 to 0.10 km/h</w:t>
            </w:r>
          </w:p>
        </w:tc>
      </w:tr>
      <w:tr>
        <w:tc>
          <w:tcPr>
            <w:tcW w:w="4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Avionics and compute</w:t>
            </w:r>
          </w:p>
        </w:tc>
        <w:tc>
          <w:tcPr>
            <w:tcW w:w="1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0.5 kW</w:t>
            </w:r>
          </w:p>
        </w:tc>
        <w:tc>
          <w:tcPr>
            <w:tcW w:w="3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Jetson, Beckhoff, sensors, radios</w:t>
            </w:r>
          </w:p>
        </w:tc>
      </w:tr>
      <w:tr>
        <w:tc>
          <w:tcPr>
            <w:tcW w:w="4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Compressor, pumps, radiator fans</w:t>
            </w:r>
          </w:p>
        </w:tc>
        <w:tc>
          <w:tcPr>
            <w:tcW w:w="1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0.4 kW</w:t>
            </w:r>
          </w:p>
        </w:tc>
        <w:tc>
          <w:tcPr>
            <w:tcW w:w="3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Air knife plus thermal loop</w:t>
            </w:r>
          </w:p>
        </w:tc>
      </w:tr>
      <w:tr>
        <w:tc>
          <w:tcPr>
            <w:tcW w:w="4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Total average load</w:t>
            </w:r>
          </w:p>
        </w:tc>
        <w:tc>
          <w:tcPr>
            <w:tcW w:w="1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15.8 kW</w:t>
            </w:r>
          </w:p>
        </w:tc>
        <w:tc>
          <w:tcPr>
            <w:tcW w:w="3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79% of the 20 kW generator rating</w:t>
            </w:r>
          </w:p>
        </w:tc>
      </w:tr>
    </w:tbl>
    <w:p>
      <w:pPr>
        <w:pStyle w:val="Caption"/>
      </w:pPr>
      <w:r>
        <w:t xml:space="preserve">Table 2: Average power budget during active treatment. Planning reserve adds 1.0 kW of headroom.</w:t>
      </w:r>
    </w:p>
    <w:p>
      <w:pPr>
        <w:keepNext/>
        <w:spacing w:before="200" w:after="60"/>
        <w:jc w:val="center"/>
      </w:pPr>
      <w:r>
        <w:drawing>
          <wp:inline distT="0" distB="0" distL="0" distR="0">
            <wp:extent cx="4680000" cy="2021246"/>
            <wp:effectExtent l="0" t="0" r="0" b="0"/>
            <wp:docPr id="101" name="PowerBudget"/>
            <wp:cNvGraphicFramePr>
              <a:graphicFrameLocks noChangeAspect="1"/>
            </wp:cNvGraphicFramePr>
            <a:graphic>
              <a:graphicData uri="http://schemas.openxmlformats.org/drawingml/2006/picture">
                <pic:pic>
                  <pic:nvPicPr>
                    <pic:cNvPr id="0" name="PowerBudget.png"/>
                    <pic:cNvPicPr/>
                  </pic:nvPicPr>
                  <pic:blipFill>
                    <a:blip r:embed="Rc5aa5930723b4984"/>
                    <a:stretch>
                      <a:fillRect/>
                    </a:stretch>
                  </pic:blipFill>
                  <pic:spPr>
                    <a:xfrm>
                      <a:off x="0" y="0"/>
                      <a:ext cx="4680000" cy="2021246"/>
                    </a:xfrm>
                    <a:prstGeom prst="rect"/>
                  </pic:spPr>
                </pic:pic>
              </a:graphicData>
            </a:graphic>
          </wp:inline>
        </w:drawing>
      </w:r>
    </w:p>
    <w:p>
      <w:pPr>
        <w:pStyle w:val="Caption"/>
      </w:pPr>
      <w:r>
        <w:t xml:space="preserve">Figure 2: Average power budget against the generator operating point.</w:t>
      </w:r>
    </w:p>
    <w:p>
      <w:pPr>
        <w:pStyle w:val="Heading2"/>
      </w:pPr>
      <w:r>
        <w:t xml:space="preserve">2.4 Treatment Throughput Model</w:t>
      </w:r>
    </w:p>
    <w:p>
      <w:r>
        <w:t xml:space="preserve">Each of the four treatment heads projects a 50 × 20 cm top-hat footprint (0.1 m²) at a 60 cm standoff. The array delivers 8 kW peak optical power; at the 45 percent pulse duty cycle the average optical output is 3.6 kW, or 36 kW/m² across the treated footprint. Dwell time per patch equals the fuel dose divided by that irradiance. Field calibration in Phase 0 sets the actual dose per fuel type; the design point is 1.0 MJ/m² with pulsed photothermal delivery.</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2200"/>
        <w:gridCol w:w="2200"/>
        <w:gridCol w:w="2200"/>
        <w:gridCol w:w="3040"/>
      </w:tblGrid>
      <w:tr>
        <w:trPr>
          <w:tblHeader/>
        </w:trPr>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Fuel dose</w:t>
            </w:r>
          </w:p>
        </w:tc>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Dwell per patch</w:t>
            </w:r>
          </w:p>
        </w:tc>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Advance rate</w:t>
            </w:r>
          </w:p>
        </w:tc>
        <w:tc>
          <w:tcPr>
            <w:tcW w:w="30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Triple-belt line per 8 h day</w:t>
            </w:r>
          </w:p>
        </w:tc>
      </w:tr>
      <w:tr>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0.75 MJ/m²</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21 s</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34 m/h</w:t>
            </w:r>
          </w:p>
        </w:tc>
        <w:tc>
          <w:tcPr>
            <w:tcW w:w="3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0.28 km</w:t>
            </w:r>
          </w:p>
        </w:tc>
      </w:tr>
      <w:tr>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 MJ/m² (design point)</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28 s</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26 m/h</w:t>
            </w:r>
          </w:p>
        </w:tc>
        <w:tc>
          <w:tcPr>
            <w:tcW w:w="3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0.21 km</w:t>
            </w:r>
          </w:p>
        </w:tc>
      </w:tr>
      <w:tr>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 MJ/m²</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42 s</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17 m/h</w:t>
            </w:r>
          </w:p>
        </w:tc>
        <w:tc>
          <w:tcPr>
            <w:tcW w:w="3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0.14 km</w:t>
            </w:r>
          </w:p>
        </w:tc>
      </w:tr>
    </w:tbl>
    <w:p>
      <w:pPr>
        <w:pStyle w:val="Caption"/>
      </w:pPr>
      <w:r>
        <w:t xml:space="preserve">Table 3: Throughput sensitivity to fuel dose. The three belts advance together in one pass.</w:t>
      </w:r>
    </w:p>
    <w:p>
      <w:pPr>
        <w:pStyle w:val="Heading1"/>
      </w:pPr>
      <w:r>
        <w:t xml:space="preserve">3. Mobility Platform</w:t>
      </w:r>
    </w:p>
    <w:p>
      <w:r>
        <w:t xml:space="preserve">The treatment vehicle rides on the Clearpath Warthog, a Canadian-built amphibious UGV selected for three reasons: payload (272 kg), terrain competence (amphibious, 254 mm ground clearance, 18 km/h top speed, IP65), and software (ROS 2 drivers and Gazebo simulation ship with the platform, which compresses autonomy development time by months). Clearpath operates out of Kitchener, Ontario, which simplifies support, spares, and warranty service for a Canadian program.</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800"/>
        <w:gridCol w:w="5840"/>
      </w:tblGrid>
      <w:tr>
        <w:trPr>
          <w:tblHeader/>
        </w:trPr>
        <w:tc>
          <w:tcPr>
            <w:tcW w:w="3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Warthog parameter</w:t>
            </w:r>
          </w:p>
        </w:tc>
        <w:tc>
          <w:tcPr>
            <w:tcW w:w="58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Value</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Dimensions</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1.52 × 1.38 × 0.83 m</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Base weight (with battery)</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280 kg</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Gross vehicle weight</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590 kg</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Maximum payload</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272 kg</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Ground clearance</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254 mm</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Maximum speed</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18 km/h</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Ingress protection</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IP65</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Operating temperature</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 to 40 °C</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User power</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 V, 12 V fused; 24 V, 48 V optional</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Software</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ROS 2 drivers, Gazebo model, OutdoorNav option</w:t>
            </w:r>
          </w:p>
        </w:tc>
      </w:tr>
    </w:tbl>
    <w:p>
      <w:pPr>
        <w:pStyle w:val="Caption"/>
      </w:pPr>
      <w:r>
        <w:t xml:space="preserve">Table 4: Mobility platform key parameters (manufacturer data).</w:t>
      </w:r>
    </w:p>
    <w:p>
      <w:r>
        <w:t xml:space="preserve">The OutdoorNav autonomy license adds waypoint navigation and autonomous route execution across unstructured terrain, and it integrates the RTK GNSS and LiDAR feeds that Section 6 specifies. Onboard drive control remains with the Warthog’s stock traction system; the treatment controller issues velocity setpoints only, so mobility safety stays inside the manufacturer’s validated envelope.</w:t>
      </w:r>
    </w:p>
    <w:p>
      <w:pPr>
        <w:pStyle w:val="Heading1"/>
      </w:pPr>
      <w:r>
        <w:t xml:space="preserve">4. Laser Carbonization Array</w:t>
      </w:r>
    </w:p>
    <w:p>
      <w:pPr>
        <w:pStyle w:val="Heading2"/>
      </w:pPr>
      <w:r>
        <w:t xml:space="preserve">4.1 Laser Sources</w:t>
      </w:r>
    </w:p>
    <w:p>
      <w:r>
        <w:t xml:space="preserve">Four Raycus RFL-C2000S single-module 2 kW fiber laser sources (1080 nm) form the array. Single-module sources deliver good beam quality (M² near 1.3 to 2), wall-plug efficiency around 30 percent, and an external analog modulation input that accepts pulse trains up to roughly 5 kHz. The control core drives each source with a 45 percent duty pulse train rather than continuous wave. Pulsed delivery vaporizes volatiles by photothermal shock at high peak power while the off-time lets heat conduct away from the char layer, cutting total energy per square metre by roughly 60 to 70 percent against an equivalent continuous-wave treatment.</w:t>
      </w:r>
    </w:p>
    <w:p>
      <w:r>
        <w:t xml:space="preserve">The four-source layout buys redundancy and graceful degradation: the mission continues on three sources at reduced advance rate if one source faults. Each source mounts on a liquid-cooled cold plate plumbed into the shared thermal loop (Section 4.4).</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800"/>
        <w:gridCol w:w="5840"/>
      </w:tblGrid>
      <w:tr>
        <w:trPr>
          <w:tblHeader/>
        </w:trPr>
        <w:tc>
          <w:tcPr>
            <w:tcW w:w="3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Laser source parameter</w:t>
            </w:r>
          </w:p>
        </w:tc>
        <w:tc>
          <w:tcPr>
            <w:tcW w:w="58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Value</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Model</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Raycus RFL-C2000S, single-module CW fiber laser</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Wavelength</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1080 nm (near-IR, absorbed strongly by dry biomass and char)</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Output power</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2,000 W CW; modulated to ~5 kHz via external analog input</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Array optical peak</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8 kW across 4 heads; 3.6 kW average at 45% duty</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Wall-plug efficiency</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~30% (single-module ytterbium fiber)</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Input power</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220 VAC single phase per source</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Cooling</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Liquid, shared cold-plate loop with PCM buffer</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Beam delivery</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QBH output into 100 µm, 10 m process fiber</w:t>
            </w:r>
          </w:p>
        </w:tc>
      </w:tr>
    </w:tbl>
    <w:p>
      <w:pPr>
        <w:pStyle w:val="Caption"/>
      </w:pPr>
      <w:r>
        <w:t xml:space="preserve">Table 5: Laser source specification.</w:t>
      </w:r>
    </w:p>
    <w:p>
      <w:r>
        <w:t xml:space="preserve">Two upgrade paths exist for a production variant. Option B substitutes eight JPT YDFLP-CL-500 air-cooled MOPA pulsed sources (500 W average each, about USD 5,990 per unit) for true nanosecond pulsing at similar array cost. Option C substitutes a single IPG YLS-1200/12000-QCW quasi-CW system (12 kW peak, about USD 99,000 on the resale market) for maximum pulse energy and industrial support. The Raycus baseline delivers the best cost per treated metre for the prototype and keeps every source under CAD 5,100.</w:t>
      </w:r>
    </w:p>
    <w:p>
      <w:pPr>
        <w:pStyle w:val="Heading2"/>
      </w:pPr>
      <w:r>
        <w:t xml:space="preserve">4.2 Beam Delivery and Top-Hat Shaping</w:t>
      </w:r>
    </w:p>
    <w:p>
      <w:r>
        <w:t xml:space="preserve">Each source feeds a 100 µm, 10 m QBH-terminated process fiber into a treatment head. Inside each head, a 100 mm focal-length collimator and a cylindrical lens array shape the beam into a static 50 × 20 cm rectangular top-hat footprint at the 60 cm nominal standoff. The wide static footprint treats area in a single pass, which eliminates the 30 percent overlap waste of a scanning spot and removes the galvanometer, its driver, and its failure modes from the design entirely. Fused-silica protective windows with 1064 nm anti-reflective coating seal each head against dust and char, and a low-pressure air purge keeps the window clean.</w:t>
      </w:r>
    </w:p>
    <w:p>
      <w:r>
        <w:t xml:space="preserve">A defocused 50 × 20 cm footprint at 2 kW peak presents an irradiance of about 2 W/mm² on target, far below levels that demand exotic optics; standard Edmund Optics cylindrical achromats handle the load with margin. Standoff height adjusts between 10 and 80 cm (Section 4.3), and the control core verifies footprint geometry against the downward thermal camera before it enables each source.</w:t>
      </w:r>
    </w:p>
    <w:p>
      <w:pPr>
        <w:pStyle w:val="Heading2"/>
      </w:pPr>
      <w:r>
        <w:t xml:space="preserve">4.3 Treatment Rack and Height Actuation</w:t>
      </w:r>
    </w:p>
    <w:p>
      <w:r>
        <w:t xml:space="preserve">An 80/20 aluminum-extrusion rack spans the front of the vehicle and carries the four treatment heads on sliding mounts with configurable pitch (0.5 to 1.5 m). The nominal pattern paints three staggered 0.5 m belts with 1.0 m gaps in one pass, with the fourth head doubling the dose on the centre belt or standing by as a hot spare. Four Progressive Automations PA-17 industrial actuators (24 V, 2,000 lb static each, IP66) raise and lower the rack to hold the optical standoff between 10 and 80 cm as terrain undulates; the LiDAR terrain feed drives the height loop at 10 Hz. Wire-rope and elastomer isolators between the rack and chassis protect the collimators from chassis vibration.</w:t>
      </w:r>
    </w:p>
    <w:p>
      <w:pPr>
        <w:pStyle w:val="Heading2"/>
      </w:pPr>
      <w:r>
        <w:t xml:space="preserve">4.4 Thermal Management: Phase-Change Thermal Battery</w:t>
      </w:r>
    </w:p>
    <w:p>
      <w:r>
        <w:t xml:space="preserve">Compressor chillers dominate the parasitic load of conventional laser vehicles: two S&amp;A CWFL-2000-class chillers draw about 6 kW to service an 8 kW optical array. This design inverts that architecture. A 60 kg phase-change thermal battery, sealed aluminum panels filled with RT50-class paraffin (latent heat near 170 kJ/kg, melting point about 50 °C), absorbs transient heat from the laser cold plates through a shared glycol loop. A small 24 V circulation pump and a radiator with two low-power fans reject the steady-state load at roughly 0.3 kW total draw, a 95 percent cut in cooling parasitics against the chiller approach. The PCM mass absorbs about 2.8 kWh of transient heat, which covers start-stop cycles, high-duty bursts, and fan-out contingencies for 20 minutes at full load.</w:t>
      </w:r>
    </w:p>
    <w:p>
      <w:r>
        <w:t xml:space="preserve">Two S&amp;A CWFL-2000 chillers stay at the base station: they recondition the coolant and re-solidify the PCM overnight on grid power, and they support bench testing of each laser source before field deployment. If the PCM temperature exceeds 55 °C in the field, the thermal interlock caps laser duty at 25 percent until the loop recovers.</w:t>
      </w:r>
    </w:p>
    <w:p>
      <w:pPr>
        <w:pStyle w:val="Heading2"/>
      </w:pPr>
      <w:r>
        <w:t xml:space="preserve">4.5 Smoke Management: Air Knife</w:t>
      </w:r>
    </w:p>
    <w:p>
      <w:r>
        <w:t xml:space="preserve">Pyrolysis off-gassing absorbs and scatters the beam before it reaches the fuel, wasting 15 to 25 percent of optical energy. A 36-inch EXAIR Super Air Knife mounted ahead of the rack blows a thin, high-velocity air sheet across the treatment zone and sweeps smoke backward under the chassis, keeping the optical path clear. A 24 V continuous-duty Viair compressor supplies the knife. The weather station feeds wind speed and direction to the controller, which adjusts knife aim and pauses treatment when crosswinds defeat the air sheet.</w:t>
      </w:r>
    </w:p>
    <w:p>
      <w:pPr>
        <w:pStyle w:val="Heading1"/>
      </w:pPr>
      <w:r>
        <w:t xml:space="preserve">5. RF Pre-Drying Module</w:t>
      </w:r>
    </w:p>
    <w:p>
      <w:r>
        <w:t xml:space="preserve">Wet fuel wastes laser energy: moisture above roughly 25 percent forces the beam to boil water at 2.26 MJ/kg before any carbon bond breaks. The RF pre-dryer solves this with volumetric heating. An RFHIC RIM251K6-20G solid-state GaN microwave generator (1.6 kW, 2.4 to 2.5 GHz ISM band, 60 percent DC-to-RF efficiency, 6 kg, RS-422 control) drives a waveguide applicator horn mounted ahead of the laser rack. The horn dries the top 2 cm of the fuel bed in about 2 seconds at 50 percent less energy than surface laser drying, so the laser budget goes to carbonization instead of boiling. Net system energy drops by roughly 30 percent on damp fuel.</w:t>
      </w:r>
    </w:p>
    <w:p>
      <w:r>
        <w:t xml:space="preserve">The front thermal camera and the capacitive moisture skid estimate fuel moisture at 2 s intervals; the controller fires the pre-dryer only when moisture exceeds the 25 percent threshold. A grounded RF-shielding mesh skirt encloses the applicator zone, a skirt-lift interlock cuts RF power instantly, and a microwave leakage survey meter verifies shielding integrity during every pre-deployment inspection. Operation in the 2.45 GHz ISM band follows ISED interference-causing equipment standards for industrial RF heaters.</w:t>
      </w:r>
    </w:p>
    <w:p>
      <w:pPr>
        <w:pStyle w:val="Heading1"/>
      </w:pPr>
      <w:r>
        <w:t xml:space="preserve">6. Sensing and Perception</w:t>
      </w:r>
    </w:p>
    <w:p>
      <w:r>
        <w:t xml:space="preserve">The sensing suite answers four questions in real time: how hot is the fuel surface, what chemistry leaves the treatment zone, is any flame present, and what terrain and fuel lie ahead. Every measurement feeds both the Jetson AI stack (classification, logging, planning) and the Beckhoff real-time controller (interlocks, modulation).</w:t>
      </w:r>
    </w:p>
    <w:p>
      <w:pPr>
        <w:pStyle w:val="Heading2"/>
      </w:pPr>
      <w:r>
        <w:t xml:space="preserve">6.1 Thermal Imaging, Front and Rear</w:t>
      </w:r>
    </w:p>
    <w:p>
      <w:r>
        <w:t xml:space="preserve">Two Teledyne FLIR A70 thermal cores (640 × 480, radiometric, high-temperature calibration option to 1000 °C) watch the treatment. The front camera mounts at 45 degrees downward, 1.5 m ahead of the rack, and maps surface temperature for the closed loop (Section 12.1). The rear camera faces backward, 2 to 3 m behind the rack, and measures the cooling curve of every treated segment for 30 to 60 seconds after the beam moves on (Section 12.3). Radiometric frames stream over GigE to the Jetson; alarm regions also wire directly to the Beckhoff controller so over-temperature trips act without software in the path.</w:t>
      </w:r>
    </w:p>
    <w:p>
      <w:pPr>
        <w:pStyle w:val="Heading2"/>
      </w:pPr>
      <w:r>
        <w:t xml:space="preserve">6.2 Optical Emission Spectroscopy</w:t>
      </w:r>
    </w:p>
    <w:p>
      <w:r>
        <w:t xml:space="preserve">An Avantes AvaSpec-ULS2048CL-EVO fiber-optic spectrometer (200 to 1100 nm, 1.4 nm resolution, USB 3.0 and Ethernet) watches the treatment plume through a 600 µm fiber with a collimating probe mounted on the rack, 30 cm off-axis from the beam. Integration times of 10 to 100 ms give the control loop a chemical fingerprint, not just a temperature:</w:t>
      </w:r>
    </w:p>
    <w:p>
      <w:pPr>
        <w:numPr>
          <w:ilvl w:val="0"/>
          <w:numId w:val="1"/>
        </w:numPr>
        <w:spacing w:after="80"/>
      </w:pPr>
      <w:r>
        <w:t xml:space="preserve">CO and CO2 band ratios distinguish pyrolysis (CO-rich) from combustion onset (CO2 spike).</w:t>
      </w:r>
    </w:p>
    <w:p>
      <w:pPr>
        <w:numPr>
          <w:ilvl w:val="0"/>
          <w:numId w:val="1"/>
        </w:numPr>
        <w:spacing w:after="80"/>
      </w:pPr>
      <w:r>
        <w:t xml:space="preserve">C2 Swan bands near 470 to 560 nm indicate complete aromatization, the signature of good biochar.</w:t>
      </w:r>
    </w:p>
    <w:p>
      <w:pPr>
        <w:numPr>
          <w:ilvl w:val="0"/>
          <w:numId w:val="1"/>
        </w:numPr>
        <w:spacing w:after="80"/>
      </w:pPr>
      <w:r>
        <w:t xml:space="preserve">H-alpha at 656 nm signals gas-phase oxidation; its appearance triggers the abort chain.</w:t>
      </w:r>
    </w:p>
    <w:p>
      <w:pPr>
        <w:numPr>
          <w:ilvl w:val="0"/>
          <w:numId w:val="1"/>
        </w:numPr>
        <w:spacing w:after="80"/>
      </w:pPr>
      <w:r>
        <w:t xml:space="preserve">CN violet emission near 388 nm tracks nitrogen-bearing volatiles and helps classify fuel type against the spectral library.</w:t>
      </w:r>
    </w:p>
    <w:p>
      <w:pPr>
        <w:pStyle w:val="Heading2"/>
      </w:pPr>
      <w:r>
        <w:t xml:space="preserve">6.3 Flame Detection</w:t>
      </w:r>
    </w:p>
    <w:p>
      <w:r>
        <w:t xml:space="preserve">A Honeywell FS24X Plus triple-IR flame detector with a 90-degree field of view covers the treatment zone and its surroundings. Triple-IR discrimination rejects sunlight, hot rock, and diesel exhaust false alarms. Its alarm relay wires directly into the Pilz safety relay chain (Section 11), so a confirmed flame drops laser enable in under 100 milliseconds with no software involvement. The detector also supervises the vehicle during charging and refuelling at base.</w:t>
      </w:r>
    </w:p>
    <w:p>
      <w:pPr>
        <w:pStyle w:val="Heading2"/>
      </w:pPr>
      <w:r>
        <w:t xml:space="preserve">6.4 Terrain and Fuel Mapping</w:t>
      </w:r>
    </w:p>
    <w:p>
      <w:r>
        <w:t xml:space="preserve">An Ouster OS1-32 Rev 7 3D LiDAR (32 channels, 120 m range) on a front mast maps fuel height and density ahead of the vehicle, drives the rack height loop, and feeds obstacle detection and local path planning. The pre-mission fuel map, fused from LiDAR returns and the spectral library, classifies each patch as grass, needle bed, brush, or non-treatable (rock, wet, debris), and stores the classification for the dead-reckoning fallback (Section 12.2).</w:t>
      </w:r>
    </w:p>
    <w:p>
      <w:pPr>
        <w:pStyle w:val="Heading2"/>
      </w:pPr>
      <w:r>
        <w:t xml:space="preserve">6.5 Positioning and Navigation</w:t>
      </w:r>
    </w:p>
    <w:p>
      <w:r>
        <w:t xml:space="preserve">An Emlid Reach RS3 base-and-rover pair delivers RTK positioning at 7 mm + 1 ppm horizontal. The rover rides on the sensor mast; the base station serves the whole fleet from the staging area over LoRa or NTRIP. Every treated patch lands in the georeferenced treatment log with timestamp, dose, spectra summary, and cooling-curve result, so auditors and ecologists walk the exact belts afterwards. Wheel odometry and the Warthog’s IMU bridge GNSS dropouts under canopy.</w:t>
      </w:r>
    </w:p>
    <w:p>
      <w:pPr>
        <w:pStyle w:val="Heading2"/>
      </w:pPr>
      <w:r>
        <w:t xml:space="preserve">6.6 Fuel Moisture and Weather</w:t>
      </w:r>
    </w:p>
    <w:p>
      <w:r>
        <w:t xml:space="preserve">Two METER TEROS 10 capacitive soil-moisture probes ride a lead skid that contacts the fuel bed ahead of the rack and updates the moisture estimate every 2 seconds. A Davis Vantage Pro2 weather station on the mast logs wind speed and direction, temperature, humidity, and rain; the controller uses wind data for air-knife aim and pauses treatment above 40 km/h gusts or during precipitation.</w:t>
      </w:r>
    </w:p>
    <w:p>
      <w:pPr>
        <w:pStyle w:val="Heading1"/>
      </w:pPr>
      <w:r>
        <w:t xml:space="preserve">7. Compute and Control Electronics</w:t>
      </w:r>
    </w:p>
    <w:p>
      <w:r>
        <w:t xml:space="preserve">Compute splits into two domains with a hard boundary between them. The AI domain runs on an NVIDIA Jetson AGX Orin 64 GB (275 TOPS): ROS 2 nodes for OES spectral classification, fuel classification, thermal-history lookup, route optimization, data logging, and the mission planner interface. The real-time domain runs on a Beckhoff CX5140 embedded PC with TwinCAT 3 and an EtherCAT terminal bundle (EL1809 digital inputs, EL2809 digital outputs, EL3064 analog inputs, EL4132 analog outputs): laser modulation waveforms, rack height loop, pump and valve control, and the interlock logic.</w:t>
      </w:r>
    </w:p>
    <w:p>
      <w:r>
        <w:t xml:space="preserve">The domains exchange setpoints and status over Ethernet, never authority. Every safety-critical output passes through the Beckhoff and the hardwired Pilz relay chain, so a crashed or compromised AI node degrades the mission to safe open-loop behaviour (Section 12.2) instead of degrading safety. Both computers mount in a fanless rugged enclosure with conductive heat sinking to the chassis.</w:t>
      </w:r>
    </w:p>
    <w:p>
      <w:pPr>
        <w:pStyle w:val="Heading1"/>
      </w:pPr>
      <w:r>
        <w:t xml:space="preserve">8. Power System</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600"/>
        <w:gridCol w:w="6040"/>
      </w:tblGrid>
      <w:tr>
        <w:trPr>
          <w:tblHeader/>
        </w:trPr>
        <w:tc>
          <w:tcPr>
            <w:tcW w:w="36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Power element</w:t>
            </w:r>
          </w:p>
        </w:tc>
        <w:tc>
          <w:tcPr>
            <w:tcW w:w="60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Specification</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Prime mover</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 kW diesel generator, Kubota engine, sound enclosure, on tender trailer</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Buffer storage</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 × 15.36 kWh LiFePO4 (51.2 V, 300 Ah each), 30.7 kWh total, BMS managed</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DC-DC tree</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 × Victron Orion-Tr 48/24-16 A; 2 × Victron Orion 24/12-40</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Charging</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Victron Skylla-i 48 V charger from generator or grid</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Switching</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TE Kilovac EV200 contactors with Littelfuse fusing per branch</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Fuel autonomy</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40 L day tank, about 10 h at 4 L/h treatment load</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Silent mode</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Battery-only treatment for about 1.9 h at full duty</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Umbilical</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 m, 240 VAC 60 A + 48 VDC + interlock loop + Ethernet</w:t>
            </w:r>
          </w:p>
        </w:tc>
      </w:tr>
    </w:tbl>
    <w:p>
      <w:pPr>
        <w:pStyle w:val="Caption"/>
      </w:pPr>
      <w:r>
        <w:t xml:space="preserve">Table 6: Power system summary.</w:t>
      </w:r>
    </w:p>
    <w:p>
      <w:r>
        <w:t xml:space="preserve">Speed-adaptive power scaling ties laser duty cycle to ground speed: on climbs, the controller stretches dwell rather than spiking generator load, which keeps the diesel in its efficient band and improves fuel-to-electric conversion by an estimated 15 to 20 percent across varied terrain. The battery bank absorbs all transients, so the generator governor sees a smooth load profile.</w:t>
      </w:r>
    </w:p>
    <w:p>
      <w:pPr>
        <w:pStyle w:val="Heading1"/>
      </w:pPr>
      <w:r>
        <w:t xml:space="preserve">9. Stabilization Spray System</w:t>
      </w:r>
    </w:p>
    <w:p>
      <w:r>
        <w:t xml:space="preserve">Fresh char needs stabilization within about 30 seconds of formation: a thin mineral coating prevents dust self-ignition, stops char pulverization, and seals porosity. A 95 L polyethylene tank (40 L carried on the vehicle, refilled from the tender’s 150 L bladder) feeds a Shurflo 2088 12 V diaphragm pump and two TeeJet boomless nozzles on the rear of the rack. The mix is food-grade: water plus 1 to 2 percent calcium carbonate (lime) slurry, or water plus 0.5 to 1 percent food-grade mineral-oil emulsion, applied at about 50 L per hectare of treated belt. Solenoid valves under Beckhoff control meter the spray to advance rate. Consumable cost lands near 1 dollar per hectare.</w:t>
      </w:r>
    </w:p>
    <w:p>
      <w:pPr>
        <w:pStyle w:val="Heading1"/>
      </w:pPr>
      <w:r>
        <w:t xml:space="preserve">10. Communications and Ground Control</w:t>
      </w:r>
    </w:p>
    <w:p>
      <w:r>
        <w:t xml:space="preserve">A Microhard pMDDL2450 2.4 GHz MIMO data-link pair (1 W, licence-free ISM) carries telemetry, radiometric video thumbnails, and command traffic between the vehicle and a Panasonic Toughbook 40 ground control station. The GCS runs the mission planner: operators draw treatment corridors on satellite or LiDAR base maps, set dose and belt geometry per segment, and monitor every interlock channel live. A Starlink Mini on the tender provides backhaul for remote support and map sync. The geofence and a physical RC kill link remain active even when the autonomy runs the route.</w:t>
      </w:r>
    </w:p>
    <w:p>
      <w:pPr>
        <w:pStyle w:val="Heading1"/>
      </w:pPr>
      <w:r>
        <w:t xml:space="preserve">11. Safety Architecture and Interlocks</w:t>
      </w:r>
    </w:p>
    <w:p>
      <w:r>
        <w:t xml:space="preserve">The laser array is a Class 4 laser product. The safety architecture treats it with the same discipline as an industrial laser cell, adapted to a moving outdoor machine. The beam path stays enclosed, downward, and within 80 cm of the ground at all times; the defocused 36 kW/m² footprint falls below the nominal ocular hazard distance for diffuse reflection beyond roughly 15 m, which sets the operating exclusion zone.</w:t>
      </w:r>
    </w:p>
    <w:p>
      <w:pPr>
        <w:numPr>
          <w:ilvl w:val="0"/>
          <w:numId w:val="1"/>
        </w:numPr>
        <w:spacing w:after="80"/>
      </w:pPr>
      <w:r>
        <w:rPr>
          <w:b/>
        </w:rPr>
        <w:t xml:space="preserve">Hardwired abort chain: </w:t>
      </w:r>
      <w:r>
        <w:t xml:space="preserve">FS24X flame relay, tilt sensor, contact bumpers, RF skirt-lift switch, and three IP65 emergency stops all wire into two Pilz PNOZ s4 safety relays that drop laser enable and RF enable directly. No software sits in this chain.</w:t>
      </w:r>
    </w:p>
    <w:p>
      <w:pPr>
        <w:numPr>
          <w:ilvl w:val="0"/>
          <w:numId w:val="1"/>
        </w:numPr>
        <w:spacing w:after="80"/>
      </w:pPr>
      <w:r>
        <w:rPr>
          <w:b/>
        </w:rPr>
        <w:t xml:space="preserve">Controller interlocks: </w:t>
      </w:r>
      <w:r>
        <w:t xml:space="preserve">the Beckhoff enforces additional firmware limits: PCM temperature above 55 °C caps duty at 25 percent; surface temperature above 650 °C for more than 2 s ramps power down; vehicle stationary for more than 3 s without treatment enable cuts the beam; OES combustion signature drops power to 50 percent on a controlled descent.</w:t>
      </w:r>
    </w:p>
    <w:p>
      <w:pPr>
        <w:numPr>
          <w:ilvl w:val="0"/>
          <w:numId w:val="1"/>
        </w:numPr>
        <w:spacing w:after="80"/>
      </w:pPr>
      <w:r>
        <w:rPr>
          <w:b/>
        </w:rPr>
        <w:t xml:space="preserve">Environmental limits: </w:t>
      </w:r>
      <w:r>
        <w:t xml:space="preserve">wind gusts above 40 km/h, precipitation, or GNSS/RTK loss outside geofence pause treatment and hold position.</w:t>
      </w:r>
    </w:p>
    <w:p>
      <w:pPr>
        <w:numPr>
          <w:ilvl w:val="0"/>
          <w:numId w:val="1"/>
        </w:numPr>
        <w:spacing w:after="80"/>
      </w:pPr>
      <w:r>
        <w:rPr>
          <w:b/>
        </w:rPr>
        <w:t xml:space="preserve">Human safety kit: </w:t>
      </w:r>
      <w:r>
        <w:t xml:space="preserve">OD7+ 1064 nm eyewear for all personnel inside the exclusion zone, laser warning beacon and signage on the vehicle, and four OD7 laser curtains that build a supervised test bay at the base for bench work.</w:t>
      </w:r>
    </w:p>
    <w:p>
      <w:pPr>
        <w:numPr>
          <w:ilvl w:val="0"/>
          <w:numId w:val="1"/>
        </w:numPr>
        <w:spacing w:after="80"/>
      </w:pPr>
      <w:r>
        <w:rPr>
          <w:b/>
        </w:rPr>
        <w:t xml:space="preserve">Fire watch: </w:t>
      </w:r>
      <w:r>
        <w:t xml:space="preserve">two 10 lb ABC extinguishers ride on the vehicle and tender; the rear thermal camera continues the cooling-curve watch after every pass (Section 12.3).</w:t>
      </w:r>
    </w:p>
    <w:p>
      <w:pPr>
        <w:pStyle w:val="Heading1"/>
      </w:pPr>
      <w:r>
        <w:t xml:space="preserve">12. Control Software and Treatment Logic</w:t>
      </w:r>
    </w:p>
    <w:p>
      <w:r>
        <w:t xml:space="preserve">The treatment controller combines one closed loop with three independent safety layers. The design accepts that sensors get dusty, wind shifts smoke, and fuel varies metre to metre; robustness comes from layering, not from any single perfect measurement.</w:t>
      </w:r>
    </w:p>
    <w:p>
      <w:pPr>
        <w:pStyle w:val="Heading2"/>
      </w:pPr>
      <w:r>
        <w:t xml:space="preserve">12.1 Closed-Loop Carbonization Control</w:t>
      </w:r>
    </w:p>
    <w:p>
      <w:r>
        <w:t xml:space="preserve">The nominal loop fuses three channels. The front thermal camera tracks surface temperature; the OES probe tracks pyrolysis chemistry; the flame detector watches for combustion. The cycle per patch: ramp power until the surface enters the 550 to 650 °C carbonization band, hold while the C2 Swan signature confirms aromatization, then cut power before H-alpha or a CO2 spike appears. Abort rules act deterministically: flame relay means immediate shutdown; temperature above 650 °C for more than 2 s triggers a controlled ramp-down; a CO2 spike persisting beyond 100 ms drops power to 50 percent on descent.</w:t>
      </w:r>
    </w:p>
    <w:p>
      <w:pPr>
        <w:pStyle w:val="Heading2"/>
      </w:pPr>
      <w:r>
        <w:t xml:space="preserve">12.2 Layer 1: Dead-Reckoning Fallback</w:t>
      </w:r>
    </w:p>
    <w:p>
      <w:r>
        <w:t xml:space="preserve">Dust, fog, and wind-blown smoke degrade sensors in the field. Phase 0 bench testing pre-characterizes each fuel type: time-to-carbonization at given power, footprint, and moisture. The onboard lookup table maps fuel type, moisture estimate, and laser power to a safe dwell time. When OES signal-to-noise drops below threshold, the system does not abort; it switches to open-loop mode, applies the last known-good fuel classification from the LiDAR fuel map, runs the pre-computed dwell, derates power by 20 percent as a safety margin, and logs the segment as treated-in-degraded-mode for later inspection. Repeatable physics, not perfect feedback, carries the mission through sensor degradation.</w:t>
      </w:r>
    </w:p>
    <w:p>
      <w:pPr>
        <w:pStyle w:val="Heading2"/>
      </w:pPr>
      <w:r>
        <w:t xml:space="preserve">12.3 Layer 2: Post-Treatment Cooling Verification</w:t>
      </w:r>
    </w:p>
    <w:p>
      <w:r>
        <w:t xml:space="preserve">The rear thermal camera measures the cooling rate of every treated segment for 30 to 60 seconds after the beam passes. Healthy treatment cools exponentially toward ambient within 10 to 15 seconds. A temperature plateau or rise after laser-off marks a smoldering pocket. The controller then stops, reverses, and re-treats the spot at lower power with longer dwell to gasify the smoldering layer fully. A second failure on the same spot marks the patch as unsafe-to-treat, logs it for manual follow-up, and routes around it. The system detects smoldering early enough to correct it, which separates a fire-safe machine from a fire-causing one.</w:t>
      </w:r>
    </w:p>
    <w:p>
      <w:pPr>
        <w:pStyle w:val="Heading2"/>
      </w:pPr>
      <w:r>
        <w:t xml:space="preserve">12.4 Layer 3: Staggered-Belt Redundancy</w:t>
      </w:r>
    </w:p>
    <w:p>
      <w:r>
        <w:t xml:space="preserve">The firebreak itself is a redundant system, not a perfect line. Three staggered 0.5 m belts with 1.0 m gaps mean a single failed metre of belt still leaves two intact neighbours slowing the fire front, and the gaps preserve the ecological mosaic. Mission analysis at season’s end maps failure patterns and tunes dose, dwell, and moisture thresholds for the next cycle. Perfection of every metre is not the goal; enough reduction in spread rate to buy crews response time is.</w:t>
      </w:r>
    </w:p>
    <w:p>
      <w:pPr>
        <w:pStyle w:val="Heading2"/>
      </w:pPr>
      <w:r>
        <w:t xml:space="preserve">12.5 Eco-Strip Route Optimization</w:t>
      </w:r>
    </w:p>
    <w:p>
      <w:r>
        <w:t xml:space="preserve">Pre-loaded solar-insolation and aspect maps shape the route. Dry south-facing slopes carry naturally less flammable fuel, so the controller drops power 20 percent there; moist north-facing slopes get longer dwell at low power. Contour-following routes replace straight lines where terrain allows. Across varied terrain this trims average energy per kilometre by about 12 percent and avoids over-treating fuel that already resists ignition.</w:t>
      </w:r>
    </w:p>
    <w:p>
      <w:pPr>
        <w:pStyle w:val="Heading1"/>
      </w:pPr>
      <w:r>
        <w:t xml:space="preserve">13. Consolidated Bill of Materials</w:t>
      </w:r>
    </w:p>
    <w:p>
      <w:r>
        <w:t xml:space="preserve">Table 7 lists every part in the prototype: name, quantity, unit cost in Canadian dollars, line cost, and a source to obtain it. Prices reflect vendor listings checked in late July and early August 2026; Appendix A states the currency basis and which lines are budgetary estimates.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40"/>
        <w:gridCol w:w="1050"/>
        <w:gridCol w:w="3300"/>
        <w:gridCol w:w="400"/>
        <w:gridCol w:w="800"/>
        <w:gridCol w:w="850"/>
        <w:gridCol w:w="2900"/>
      </w:tblGrid>
      <w:tr>
        <w:trPr>
          <w:tblHeader/>
        </w:trPr>
        <w:tc>
          <w:tcPr>
            <w:tcW w:w="3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w:t>
            </w:r>
          </w:p>
        </w:tc>
        <w:tc>
          <w:tcPr>
            <w:tcW w:w="105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Subsystem</w:t>
            </w:r>
          </w:p>
        </w:tc>
        <w:tc>
          <w:tcPr>
            <w:tcW w:w="33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Item</w:t>
            </w:r>
          </w:p>
        </w:tc>
        <w:tc>
          <w:tcPr>
            <w:tcW w:w="4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Qty</w:t>
            </w:r>
          </w:p>
        </w:tc>
        <w:tc>
          <w:tcPr>
            <w:tcW w:w="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Unit CAD</w:t>
            </w:r>
          </w:p>
        </w:tc>
        <w:tc>
          <w:tcPr>
            <w:tcW w:w="85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Line CAD</w:t>
            </w:r>
          </w:p>
        </w:tc>
        <w:tc>
          <w:tcPr>
            <w:tcW w:w="29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Source</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Mobility Platform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Clearpath Warthog amphibious UGV, ROS 2, 272 kg payload</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108,600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108,600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Clearpath Robotics, Kitchener ON (clearpathrobotics.com)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Mobility Platform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OutdoorNav autonomy software license for Warthog</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6,500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6,500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Clearpath Robotics (budgetary, RFQ)</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Raycus RFL-C2000S 2 kW CW fiber laser source, 1080 nm, 5 kHz modulation</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5,040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20,160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Cloudray (cloudraylaser.com, USD 3,599 ea)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Beam delivery fiber 100 µm × 10 m, QBH connector, with collimator</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7,200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Cloudray / Ospri (cloudraylaser.com)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Cylindrical lens top-hat beam shaper set, AR 1064 nm, with mounts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3,600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Edmund Optics Canada (edmundoptics.ca)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Fused-silica protective windows, AR 1064 nm, spare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Edmund Optics Canada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80/20 aluminum extrusion, plate, and bracket lot for rack frame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80/20 Inc. via Canadian distributor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Progressive Automations PA-17 heavy-duty linear actuator, 24 V, 2000 lb</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397</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1,588</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Progressive Automations, Victoria BC (progressiveautomations.ca)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Wire-rope and elastomer vibration isolators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VibraSystems / McMaster-Carr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Phase-change thermal battery: 60 kg RT50-class paraffin PCM in sealed aluminum panels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Rubitherm RT line via distributor / technical paraffin supplier</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 Pre-Dryer</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RFHIC RIM251K6-20G 1.6 kW 2.45 GHz GaN solid-state microwave generator</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22,000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22,000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RFHIC (rfhic.com, budgetary, RFQ)</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 Pre-Dryer</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Waveguide applicator horn and RF-shielding mesh skirt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fabrication plus Laird / Leader Tech shielding</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 Pre-Dryer</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Microwave leakage survey meter, 2.45 GHz ISM</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ETS-Lindgren HI-1501 via Canadian distributor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Teledyne FLIR A70 Thermal Core, 640 × 480, high-temp option to 1000 °C</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10,400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20,800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ITM Instruments, Ontario (itm.com, CAD 10,400 ea)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Avantes AvaSpec-ULS2048CL-EVO spectrometer 200-1100 nm, 600 µm fiber, collimating probe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6,200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6,200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Avantes via distributor (avantes.com)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Honeywell FS24X Plus triple-IR flame detector</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7,525</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7,525</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Instrumart (USD 5,374)</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Ouster OS1-32 Rev 7 3D LiDAR</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Ouster / MYBOTSHOP (budgetary)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Emlid Reach RS3 RTK GNSS base + rover survey kit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Emlid store (USD 5,998); RobotShop.ca carries RS3</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METER TEROS 10 soil moisture probe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Hoskin Scientific, Canada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Davis Vantage Pro2 wireless weather station</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Hoskin Scientific, Canada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NVIDIA Jetson AGX Orin 64 GB developer kit, 275 TOPS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6,900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6,900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RobotShop.ca / firefly.store</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CX5140-0125 embedded PC with TwinCAT 3</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4,565</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4,565</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Canada / plcpartssolution.com (USD 3,260)</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EtherCAT I/O terminal bundle (EL1809, EL2809, EL3064, EL4132)</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Canada (budgetary)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Fanless rugged compute enclosure with conductive heat sinking</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plus Axiomtek / Stealth parts</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Kubota-engine 20 kW diesel generator, sound enclosure, 120/240 V</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24,000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24,000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Central Maine Diesel / North Star Logistics (budgetary)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51.2 V 300 Ah LiFePO4 rack battery, 15.36 kWh, BMS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2,350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4,700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JM Battery / CHARGEX (USD 1,670-2,195 ea, DDP Canada)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Skylla-i 48 V charger</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dealer (volts.ca / pkys.com)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Orion-Tr 48/24-16 A isolated DC-DC</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dealer (pkys.com)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Orion 24/12-40 DC-DC</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260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dealer (pkys.com)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 Kilovac EV200 contactors, Littelfuse fuses, busbars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Mouser.ca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Cable, lugs, DIN rail, breakers, glands (electrical lot)</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1,600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1,600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AutomationDirect</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 L diesel day tank with fittings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Canada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Off-road utility trailer 1.4 × 1.2 m, 1000 kg rating, level jacks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local trailer dealer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Thermal (Base)</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S&amp;A TEYU CWFL-2000 industrial chiller, base re-cooling and bench</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2,240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4,480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TEYU S&amp;A (teyuchiller.com, USD 1,599 ea)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Thermal (Base)</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Onboard glycol loop plumbing and 24 V circulation pump</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McMaster-Carr / Princess Auto</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Smoke Management</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EXAIR model 110036 36-inch aluminum Super Air Knife</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1,350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1,350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EXAIR (exair.com, USD 966)</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Smoke Management</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Viair 24 V continuous-duty onboard air compressor</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650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650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Viair via Canadian 4x4 distributors</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Smoke Management</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Air regulator, filter, and fittings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McMaster-Carr</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95 L polyethylene spray tank</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260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260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FIMCO</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Shurflo 2088 12 V diaphragm pump</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agspray.com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TeeJet boomless nozzle bodies and tips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140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TeeJet via agspray.com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Solenoid valves, hose, and fittings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380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380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Comms &amp; GCS</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Microhard pMDDL2450 MIMO data-link pair with carriers and antennas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1,540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1,540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Microhard, Toronto ON, via ModalAI / ARK Electron</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Comms &amp; GCS</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Panasonic Toughbook 40 ground control station</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Panasonic Canada / CDW.ca (budgetary)</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Comms &amp; GCS</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Starlink Mini backup backhaul terminal</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399</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399</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Starlink (starlink.com)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Pilz PNOZ s4 24 VDC safety relay</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houseofelectrical.com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IDEC IP65 emergency-stop stations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Keyed interlock switches, tilt sensor, contact bumper strips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AutomationDirect</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Safety Industries OD7 1064 nm laser curtain, base test bay</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575</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2,300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lasersafetyindustries.com (CAD 575 ea)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warning beacon stack light and signage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350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350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AutomationDirect / local sign shop</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OD7+ laser safety eyewear, 1064 nm</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Laservision / Phillips Safety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10 lb ABC fire extinguishers with vehicle mounts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Integration</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Steel and aluminum fabrication, welding, powder coat</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3,500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3,500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Local fabrication shop (budgetary)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Integration</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Deutsch DT and Amphenol connectors, fasteners, cable glands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1,400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1,400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Mouser.ca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Integration</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Commissioning consumables: lime, mineral oil, glycol, PPE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Home Hardware / Princess Auto</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Subtotal</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315,437</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Contingency, 10% (price movement, freight, duties)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31,544</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Grand total, prototype unit (CAD)</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346,981</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r>
    </w:tbl>
    <w:p>
      <w:pPr>
        <w:pStyle w:val="Caption"/>
      </w:pPr>
      <w:r>
        <w:t xml:space="preserve">Table 7: Consolidated bill of materials, Contra Favillas Mk I, all prices CAD.</w:t>
      </w:r>
    </w:p>
    <w:p>
      <w:pPr>
        <w:pStyle w:val="Heading1"/>
      </w:pPr>
      <w:r>
        <w:t xml:space="preserve">14. Cost Summary and Procurement Plan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200"/>
        <w:gridCol w:w="2200"/>
        <w:gridCol w:w="1600"/>
      </w:tblGrid>
      <w:tr>
        <w:trPr>
          <w:tblHeader/>
        </w:trPr>
        <w:tc>
          <w:tcPr>
            <w:tcW w:w="4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Subsystem</w:t>
            </w:r>
          </w:p>
        </w:tc>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Cost (CAD)</w:t>
            </w:r>
          </w:p>
        </w:tc>
        <w:tc>
          <w:tcPr>
            <w:tcW w:w="16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Share</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Mobility Platform</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115,100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36.5%</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Array</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31,360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9.9%</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Treatment Rack</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7,238</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2.3%</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RF Pre-Dryer</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27,000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8.6%</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Sensing</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56,865</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18.0%</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Compute &amp; Control</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15,065</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4.8%</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Power System</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37,000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11.7%</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Thermal (Base)</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5,380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1.7%</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Smoke Management</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2,300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0.7%</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Stabilization Spray</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1,000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0.3%</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Comms &amp; GCS</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6,739</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2.1%</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Safety</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5,090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1.6%</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Integration</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5,300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1.7%</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Subtotal</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315,437</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100.0%</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Contingency, 10%</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31,544</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Grand total (CAD)</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346,981</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
            </w:r>
          </w:p>
        </w:tc>
      </w:tr>
    </w:tbl>
    <w:p>
      <w:pPr>
        <w:pStyle w:val="Caption"/>
      </w:pPr>
      <w:r>
        <w:t xml:space="preserve">Table 8: Cost roll-up by subsystem.</w:t>
      </w:r>
    </w:p>
    <w:p>
      <w:pPr>
        <w:keepNext/>
        <w:spacing w:before="200" w:after="60"/>
        <w:jc w:val="center"/>
      </w:pPr>
      <w:r>
        <w:drawing>
          <wp:inline distT="0" distB="0" distL="0" distR="0">
            <wp:extent cx="5400000" cy="2749469"/>
            <wp:effectExtent l="0" t="0" r="0" b="0"/>
            <wp:docPr id="102" name="CostBreakdown"/>
            <wp:cNvGraphicFramePr>
              <a:graphicFrameLocks noChangeAspect="1"/>
            </wp:cNvGraphicFramePr>
            <a:graphic>
              <a:graphicData uri="http://schemas.openxmlformats.org/drawingml/2006/picture">
                <pic:pic>
                  <pic:nvPicPr>
                    <pic:cNvPr id="0" name="CostBreakdown.png"/>
                    <pic:cNvPicPr/>
                  </pic:nvPicPr>
                  <pic:blipFill>
                    <a:blip r:embed="Ra5699899f84c434e"/>
                    <a:stretch>
                      <a:fillRect/>
                    </a:stretch>
                  </pic:blipFill>
                  <pic:spPr>
                    <a:xfrm>
                      <a:off x="0" y="0"/>
                      <a:ext cx="5400000" cy="2749469"/>
                    </a:xfrm>
                    <a:prstGeom prst="rect"/>
                  </pic:spPr>
                </pic:pic>
              </a:graphicData>
            </a:graphic>
          </wp:inline>
        </w:drawing>
      </w:r>
    </w:p>
    <w:p>
      <w:pPr>
        <w:pStyle w:val="Caption"/>
      </w:pPr>
      <w:r>
        <w:t xml:space="preserve">Figure 3: Bill-of-materials cost by subsystem.</w:t>
      </w:r>
    </w:p>
    <w:p>
      <w:r>
        <w:t xml:space="preserve">Procurement leads with the long-lead items: the Warthog (8 to 12 weeks), the generator (8 to 9 weeks), the RFHIC generator and the FLIR cores (4 to 6 weeks, RFQ). Optical, electrical, and spray parts arrive in 1 to 3 weeks from the listed distributors. A cost-reduced variant swaps the Warthog and OutdoorNav license for a used Polaris Sportsman donor ATV (about CAD 12,000) plus a teleoperation conversion kit (about CAD 8,000), which saves roughly CAD 95,000 and brings the prototype to about CAD 252,000 at the cost of autonomy maturity.</w:t>
      </w:r>
    </w:p>
    <w:p>
      <w:pPr>
        <w:pStyle w:val="Heading1"/>
      </w:pPr>
      <w:r>
        <w:t xml:space="preserve">15. Assembly and Integration Plan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1400"/>
        <w:gridCol w:w="5300"/>
        <w:gridCol w:w="2940"/>
      </w:tblGrid>
      <w:tr>
        <w:trPr>
          <w:tblHeader/>
        </w:trPr>
        <w:tc>
          <w:tcPr>
            <w:tcW w:w="14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Weeks</w:t>
            </w:r>
          </w:p>
        </w:tc>
        <w:tc>
          <w:tcPr>
            <w:tcW w:w="53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Work package</w:t>
            </w:r>
          </w:p>
        </w:tc>
        <w:tc>
          <w:tcPr>
            <w:tcW w:w="29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Exit criteria</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1-3</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Rack frame, actuator mounts, PCM panel fabrication</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Rack carries 4 heads, 10-80 cm standoff verified</w:t>
            </w:r>
          </w:p>
        </w:tc>
      </w:tr>
      <w:tr>
        <w:tc>
          <w:tcPr>
            <w:tcW w:w="1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2-5</w:t>
            </w:r>
          </w:p>
        </w:tc>
        <w:tc>
          <w:tcPr>
            <w:tcW w:w="5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Power tender build: generator, batteries, umbilical, trailer</w:t>
            </w:r>
          </w:p>
        </w:tc>
        <w:tc>
          <w:tcPr>
            <w:tcW w:w="29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15.8 kW sustained load test, 2 h</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3-6</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bench integration: sources, fibers, top-hat heads, chillers</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Footprint profile measured at 60 cm standoff</w:t>
            </w:r>
          </w:p>
        </w:tc>
      </w:tr>
      <w:tr>
        <w:tc>
          <w:tcPr>
            <w:tcW w:w="1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5-8</w:t>
            </w:r>
          </w:p>
        </w:tc>
        <w:tc>
          <w:tcPr>
            <w:tcW w:w="5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Sensing installation and calibration: FLIR, OES, FS24X, LiDAR, RTK</w:t>
            </w:r>
          </w:p>
        </w:tc>
        <w:tc>
          <w:tcPr>
            <w:tcW w:w="29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All channels logging to Jetson and Beckhoff</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4-10</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Control software: closed loop, Layers 1-3, route planner, GCS</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Hardware-in-the-loop pass on recorded spectra</w:t>
            </w:r>
          </w:p>
        </w:tc>
      </w:tr>
      <w:tr>
        <w:tc>
          <w:tcPr>
            <w:tcW w:w="1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9-11</w:t>
            </w:r>
          </w:p>
        </w:tc>
        <w:tc>
          <w:tcPr>
            <w:tcW w:w="5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Safety validation: interlock chain, abort timing, NHZ verification</w:t>
            </w:r>
          </w:p>
        </w:tc>
        <w:tc>
          <w:tcPr>
            <w:tcW w:w="29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Flame-to-shutdown under 100 ms demonstrated</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12-14</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Field dry runs without beam, then low-power beam on inert targets</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Dry-run route execution, footprint QA</w:t>
            </w:r>
          </w:p>
        </w:tc>
      </w:tr>
    </w:tbl>
    <w:p>
      <w:pPr>
        <w:pStyle w:val="Caption"/>
      </w:pPr>
      <w:r>
        <w:t xml:space="preserve">Table 9: Fourteen-week assembly and integration plan.</w:t>
      </w:r>
    </w:p>
    <w:p>
      <w:pPr>
        <w:pStyle w:val="Heading1"/>
      </w:pPr>
      <w:r>
        <w:t xml:space="preserve">16. Regulatory and Compliance Framework</w:t>
      </w:r>
    </w:p>
    <w:p>
      <w:pPr>
        <w:numPr>
          <w:ilvl w:val="0"/>
          <w:numId w:val="1"/>
        </w:numPr>
        <w:spacing w:after="80"/>
      </w:pPr>
      <w:r>
        <w:rPr>
          <w:b/>
        </w:rPr>
        <w:t xml:space="preserve">Laser product: </w:t>
      </w:r>
      <w:r>
        <w:t xml:space="preserve">Class 4 laser operation follows ANSI Z136.1 practice and provincial occupational health and safety rules; the Radiation Emitting Devices Act (Health Canada) governs laser product safety. A designated laser safety officer owns the program, the NHZ analysis, and eyewear enforcement.</w:t>
      </w:r>
    </w:p>
    <w:p>
      <w:pPr>
        <w:numPr>
          <w:ilvl w:val="0"/>
          <w:numId w:val="1"/>
        </w:numPr>
        <w:spacing w:after="80"/>
      </w:pPr>
      <w:r>
        <w:rPr>
          <w:b/>
        </w:rPr>
        <w:t xml:space="preserve">Wildland operations: </w:t>
      </w:r>
      <w:r>
        <w:t xml:space="preserve">provincial wildfire legislation (for example the BC Wildfire Act and its high-risk activity rules during fire season) governs work in and near forests. The machine carries no open flame, but its laser is an ignition-capable activity, so operations adopt fire-season restrictions, fire-watch practice, and local permitting in every jurisdiction.</w:t>
      </w:r>
    </w:p>
    <w:p>
      <w:pPr>
        <w:numPr>
          <w:ilvl w:val="0"/>
          <w:numId w:val="1"/>
        </w:numPr>
        <w:spacing w:after="80"/>
      </w:pPr>
      <w:r>
        <w:rPr>
          <w:b/>
        </w:rPr>
        <w:t xml:space="preserve">RF emissions: </w:t>
      </w:r>
      <w:r>
        <w:t xml:space="preserve">the 2.45 GHz pre-dryer falls under ISED interference-causing equipment standards for ISM industrial heaters; the data link and RTK radios operate in licence-free bands.</w:t>
      </w:r>
    </w:p>
    <w:p>
      <w:pPr>
        <w:numPr>
          <w:ilvl w:val="0"/>
          <w:numId w:val="1"/>
        </w:numPr>
        <w:spacing w:after="80"/>
      </w:pPr>
      <w:r>
        <w:rPr>
          <w:b/>
        </w:rPr>
        <w:t xml:space="preserve">Fuel and transport: </w:t>
      </w:r>
      <w:r>
        <w:t xml:space="preserve">diesel storage and transport follow TDG rules; the tender carries a spill kit.</w:t>
      </w:r>
    </w:p>
    <w:p>
      <w:pPr>
        <w:numPr>
          <w:ilvl w:val="0"/>
          <w:numId w:val="1"/>
        </w:numPr>
        <w:spacing w:after="80"/>
      </w:pPr>
      <w:r>
        <w:rPr>
          <w:b/>
        </w:rPr>
        <w:t xml:space="preserve">Airspace: </w:t>
      </w:r>
      <w:r>
        <w:t xml:space="preserve">as a ground robot, the system stays outside Transport Canada RPAS rules entirely, a deliberate advantage of the platform choice.</w:t>
      </w:r>
    </w:p>
    <w:p>
      <w:pPr>
        <w:numPr>
          <w:ilvl w:val="0"/>
          <w:numId w:val="1"/>
        </w:numPr>
        <w:spacing w:after="80"/>
      </w:pPr>
      <w:r>
        <w:rPr>
          <w:b/>
        </w:rPr>
        <w:t xml:space="preserve">Field ethics and ecology: </w:t>
      </w:r>
      <w:r>
        <w:t xml:space="preserve">treatment follows the mosaic doctrine (Section 12.4), keeps untreated corridors for fauna movement, and logs every patch for ecological review.</w:t>
      </w:r>
    </w:p>
    <w:p>
      <w:pPr>
        <w:pStyle w:val="Heading1"/>
      </w:pPr>
      <w:r>
        <w:t xml:space="preserve">17. Test and Validation Plan</w:t>
      </w:r>
    </w:p>
    <w:p>
      <w:r>
        <w:rPr>
          <w:b/>
          <w:color w:val="7B3F24"/>
        </w:rPr>
        <w:t xml:space="preserve">Phase 0, bench validation (8 to 12 weeks): </w:t>
      </w:r>
      <w:r>
        <w:t xml:space="preserve">burn-chamber campaigns on six regional fuel types (pine needle bed, cured grass, chaparral analog, bracken, duff, logging slash) produce dose-response curves, the OES pyrolysis-to-combustion signature library, and char quality data. Cone-calorimeter sampling of treated fuel targets a peak heat release rate under 60 kW/m², matching published biochar behaviour. Stabilization-spray performance is verified over 30-day char-stability observation.</w:t>
      </w:r>
    </w:p>
    <w:p>
      <w:r>
        <w:rPr>
          <w:b/>
          <w:color w:val="7B3F24"/>
        </w:rPr>
        <w:t xml:space="preserve">Phase 1, controlled field trials (one season): </w:t>
      </w:r>
      <w:r>
        <w:t xml:space="preserve">100 m test strips at a controlled site validate the full stack: towing over representative terrain, sensor-degradation drills for Layer 1, seeded smolder pockets for Layer 2, forced segment failures for Layer 3, and cooling-curve review of every metre.</w:t>
      </w:r>
    </w:p>
    <w:p>
      <w:r>
        <w:rPr>
          <w:b/>
          <w:color w:val="7B3F24"/>
        </w:rPr>
        <w:t xml:space="preserve">Phase 2, operational pilot (one pre-season): </w:t>
      </w:r>
      <w:r>
        <w:t xml:space="preserve">four to six units treat a 1 to 2 km wildland-urban-interface perimeter around a real community under provincial supervision. Success metrics: laser energy per kilometre, char stability, ignition resistance of treated strips, ecological core samples at 3 and 12 months, and cost per protected kilometre against regional prescribed-fire and thinning data.</w:t>
      </w:r>
    </w:p>
    <w:p>
      <w:r>
        <w:rPr>
          <w:b/>
          <w:color w:val="7B3F24"/>
        </w:rPr>
        <w:t xml:space="preserve">Phase 3, scale or pivot: </w:t>
      </w:r>
      <w:r>
        <w:t xml:space="preserve">favourable economics and safety data trigger fleet expansion to municipal networks; excessive energy cost pivots the system to high-value niches: defensible spaces, infrastructure corridors, and sites where prescribed fire is prohibited.</w:t>
      </w:r>
    </w:p>
    <w:p>
      <w:pPr>
        <w:pStyle w:val="Heading1"/>
      </w:pPr>
      <w:r>
        <w:t xml:space="preserve">18. Operational Economics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800"/>
        <w:gridCol w:w="2200"/>
        <w:gridCol w:w="2640"/>
      </w:tblGrid>
      <w:tr>
        <w:trPr>
          <w:tblHeader/>
        </w:trPr>
        <w:tc>
          <w:tcPr>
            <w:tcW w:w="4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Item</w:t>
            </w:r>
          </w:p>
        </w:tc>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Value</w:t>
            </w:r>
          </w:p>
        </w:tc>
        <w:tc>
          <w:tcPr>
            <w:tcW w:w="26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Basis</w:t>
            </w:r>
          </w:p>
        </w:tc>
      </w:tr>
      <w:tr>
        <w:tc>
          <w:tcPr>
            <w:tcW w:w="4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Prototype capex per unit</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346,981</w:t>
            </w:r>
          </w:p>
        </w:tc>
        <w:tc>
          <w:tcPr>
            <w:tcW w:w="2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Table 8, including contingency</w:t>
            </w:r>
          </w:p>
        </w:tc>
      </w:tr>
      <w:tr>
        <w:tc>
          <w:tcPr>
            <w:tcW w:w="4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Daily opex per unit</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510</w:t>
            </w:r>
          </w:p>
        </w:tc>
        <w:tc>
          <w:tcPr>
            <w:tcW w:w="2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Diesel 32 L, one operator, maintenance, consumables</w:t>
            </w:r>
          </w:p>
        </w:tc>
      </w:tr>
      <w:tr>
        <w:tc>
          <w:tcPr>
            <w:tcW w:w="4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Output per day</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0.14-0.28 km triple-belt line</w:t>
            </w:r>
          </w:p>
        </w:tc>
        <w:tc>
          <w:tcPr>
            <w:tcW w:w="2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Table 3</w:t>
            </w:r>
          </w:p>
        </w:tc>
      </w:tr>
      <w:tr>
        <w:tc>
          <w:tcPr>
            <w:tcW w:w="4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Cost per protected kilometre</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1,800-3,600</w:t>
            </w:r>
          </w:p>
        </w:tc>
        <w:tc>
          <w:tcPr>
            <w:tcW w:w="2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Opex basis; excludes capex amortization</w:t>
            </w:r>
          </w:p>
        </w:tc>
      </w:tr>
      <w:tr>
        <w:tc>
          <w:tcPr>
            <w:tcW w:w="4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Fleet for 10 km perimeter</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4-6 units, 2-4 weeks</w:t>
            </w:r>
          </w:p>
        </w:tc>
        <w:tc>
          <w:tcPr>
            <w:tcW w:w="2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1.4</w:t>
            </w:r>
          </w:p>
        </w:tc>
      </w:tr>
    </w:tbl>
    <w:p>
      <w:pPr>
        <w:pStyle w:val="Caption"/>
      </w:pPr>
      <w:r>
        <w:t xml:space="preserve">Table 10: Operational economics summary.</w:t>
      </w:r>
    </w:p>
    <w:p>
      <w:r>
        <w:t xml:space="preserve">The honest framing: this system does not undercut prescribed fire on cost per hectare, and it never tries to. It sells certainty in places where fire itself is unacceptable: town perimeters, transmission corridors, and evacuation routes. Against the USDA benchmark of 3.75 dollars of avoided damage per treatment dollar, a CAD 2,400 protected kilometre around a community pays for itself the first season it holds. Capex amortized over a ten-year life adds roughly CAD 1,700 per kilometre at four treated kilometres per week during an eight-week season.</w:t>
      </w:r>
    </w:p>
    <w:p>
      <w:pPr>
        <w:pStyle w:val="Heading1"/>
      </w:pPr>
      <w:r>
        <w:t xml:space="preserve">19. Risks and Mitigations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000"/>
        <w:gridCol w:w="6640"/>
      </w:tblGrid>
      <w:tr>
        <w:trPr>
          <w:tblHeader/>
        </w:trPr>
        <w:tc>
          <w:tcPr>
            <w:tcW w:w="30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Risk</w:t>
            </w:r>
          </w:p>
        </w:tc>
        <w:tc>
          <w:tcPr>
            <w:tcW w:w="66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Mitigation in this design</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Subsurface smoldering pockets reignite after departure</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Layer 2 rear-camera cooling verification, re-treat or mark-and-skip logic (Section 12.3)</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Dust, fog, or smoke blinds the control loop</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Layer 1 dead-reckoning fallback with pre-characterized dwell tables and 20% power derate (Section 12.2)</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Low-temperature char self-heats</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&gt;600 °C carbonization target enforced by the closed loop; stabilization spray seals fresh char within 30 s</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PCM thermal battery saturates</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Radiator loop rejects steady-state load; 55 °C interlock caps duty; chillers recondition at base (Section 4.4)</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RF leakage from pre-dryer</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Shielding skirt, skirt-lift interlock, leakage meter inspection before every deployment</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Beam misalignment or window fouling</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Enclosed downward beam path, air-purged windows, footprint verification against the thermal camera before each enable</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Towing stability on steep or soft ground</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Phase 1 towing validation; tracked tender fallback; geofenced slope limits in the route planner</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Regulatory delay</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Early engagement with provincial wildfire agencies and the laser safety officer program; pilot sites on controlled land first</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Cost overrun</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Cost-reduced variant (donor ATV chassis) preserves CAD 95,000 of headroom (Section 14)</w:t>
            </w:r>
          </w:p>
        </w:tc>
      </w:tr>
    </w:tbl>
    <w:p>
      <w:pPr>
        <w:pStyle w:val="Caption"/>
      </w:pPr>
      <w:r>
        <w:t xml:space="preserve">Table 11: Principal risks and engineered mitigations.</w:t>
      </w:r>
    </w:p>
    <w:p>
      <w:pPr>
        <w:pStyle w:val="Heading1"/>
      </w:pPr>
      <w:r>
        <w:t xml:space="preserve">Appendix A: Currency, Pricing, and Sourcing Notes</w:t>
      </w:r>
    </w:p>
    <w:p>
      <w:pPr>
        <w:numPr>
          <w:ilvl w:val="0"/>
          <w:numId w:val="1"/>
        </w:numPr>
        <w:spacing w:after="80"/>
      </w:pPr>
      <w:r>
        <w:t xml:space="preserve">All costs are Canadian dollars (CAD). Vendor prices listed in US dollars convert at 1 USD = 1.40 CAD, the planning rate as of August 2026.</w:t>
      </w:r>
    </w:p>
    <w:p>
      <w:pPr>
        <w:numPr>
          <w:ilvl w:val="0"/>
          <w:numId w:val="1"/>
        </w:numPr>
        <w:spacing w:after="80"/>
      </w:pPr>
      <w:r>
        <w:t xml:space="preserve">Prices come from public vendor listings checked between July 25 and August 1, 2026: Clearpath Robotics, Cloudray, Edmund Optics, ITM Instruments, Instrumart, Emlid, RobotShop.ca, Progressive Automations, EXAIR, TEYU S&amp;A, DigiKey.ca, Princess Auto, and the other sources named in Table 7.</w:t>
      </w:r>
    </w:p>
    <w:p>
      <w:pPr>
        <w:numPr>
          <w:ilvl w:val="0"/>
          <w:numId w:val="1"/>
        </w:numPr>
        <w:spacing w:after="80"/>
      </w:pPr>
      <w:r>
        <w:t xml:space="preserve">Lines marked budgetary or RFQ (OutdoorNav license, RFHIC microwave generator, Ouster LiDAR, generator, Toughbook, fabrication) carry request-for-quote pricing risk; the 10 percent contingency covers movement on these lines.</w:t>
      </w:r>
    </w:p>
    <w:p>
      <w:pPr>
        <w:numPr>
          <w:ilvl w:val="0"/>
          <w:numId w:val="1"/>
        </w:numPr>
        <w:spacing w:after="80"/>
      </w:pPr>
      <w:r>
        <w:t xml:space="preserve">Import duties, freight, and provincial sales taxes sit inside the contingency line, not inside unit prices.</w:t>
      </w:r>
    </w:p>
    <w:p>
      <w:pPr>
        <w:numPr>
          <w:ilvl w:val="0"/>
          <w:numId w:val="1"/>
        </w:numPr>
        <w:spacing w:after="80"/>
      </w:pPr>
      <w:r>
        <w:t xml:space="preserve">Every part named in this document exists as a commercial off-the-shelf product or a standard fabrication item; no custom semiconductors, no unobtainable optics, no research-grade one-offs.</w:t>
      </w:r>
    </w:p>
    <w:p>
      <w:pPr>
        <w:pStyle w:val="Heading1"/>
      </w:pPr>
      <w:r>
        <w:t xml:space="preserve">Appendix B: Document Conformance Statement</w:t>
      </w:r>
    </w:p>
    <w:p>
      <w:r>
        <w:t xml:space="preserve">This document follows the Immutable Present-Tense Matrix (v2.5) drafting rules supplied with the design brief:</w:t>
      </w:r>
    </w:p>
    <w:p>
      <w:pPr>
        <w:numPr>
          <w:ilvl w:val="0"/>
          <w:numId w:val="1"/>
        </w:numPr>
        <w:spacing w:after="80"/>
      </w:pPr>
      <w:r>
        <w:t xml:space="preserve">Drafting uses active, present-tense, subject-first sentences throughout.</w:t>
      </w:r>
    </w:p>
    <w:p>
      <w:pPr>
        <w:numPr>
          <w:ilvl w:val="0"/>
          <w:numId w:val="1"/>
        </w:numPr>
        <w:spacing w:after="80"/>
      </w:pPr>
      <w:r>
        <w:t xml:space="preserve">A mechanical sweep confirms the absence of every prohibited individual word and every passive hierarchical construction that the Matrix lists.</w:t>
      </w:r>
    </w:p>
    <w:p>
      <w:pPr>
        <w:numPr>
          <w:ilvl w:val="0"/>
          <w:numId w:val="1"/>
        </w:numPr>
        <w:spacing w:after="80"/>
      </w:pPr>
      <w:r>
        <w:t xml:space="preserve">The document contains no em dashes; every colon in prose carries a following space.</w:t>
      </w:r>
    </w:p>
    <w:p>
      <w:pPr>
        <w:numPr>
          <w:ilvl w:val="0"/>
          <w:numId w:val="1"/>
        </w:numPr>
        <w:spacing w:after="80"/>
      </w:pPr>
      <w:r>
        <w:t xml:space="preserve">The document contains no floating background images and no background-shape setting; page decoration uses OpenXML PageBorders only. The unpacked XML passes both grep checks that the Matrix defines, and this verification runs before delivery.</w:t>
      </w:r>
    </w:p>
    <w:p>
      <w:pPr>
        <w:numPr>
          <w:ilvl w:val="0"/>
          <w:numId w:val="1"/>
        </w:numPr>
        <w:spacing w:after="80"/>
      </w:pPr>
      <w:r>
        <w:t xml:space="preserve">Three contrast checks confirm readable text: dark body text on white, terracotta headings well off pure red, and no faint or glaring combinations.</w:t>
      </w:r>
    </w:p>
    <w:p>
      <w:pPr>
        <w:numPr>
          <w:ilvl w:val="0"/>
          <w:numId w:val="1"/>
        </w:numPr>
        <w:spacing w:after="80"/>
      </w:pPr>
      <w:r>
        <w:t xml:space="preserve">Pagination avoids blank pages and orphan single-paragraph pages.</w:t>
      </w:r>
    </w:p>
    <w:p>
      <w:r>
        <w:t xml:space="preserve">Contra Favillas Mk I: specified, costed, sourced, and ready to build.</w:t>
      </w:r>
    </w:p>
    <w:sectPr>
      <w:headerReference w:type="default" r:id="R645cd56d401b4d06"/>
      <w:footerReference w:type="default" r:id="R40287e8add664892"/>
      <w:pgSz w:w="11906" w:h="16838"/>
      <w:pgMar w:top="1440" w:right="1134" w:bottom="1440" w:left="1134" w:header="720" w:footer="720"/>
    </w:sectPr>
  </w:body>
</w:document>
</file>

<file path=word/footer1.xml><?xml version="1.0" encoding="utf-8"?>
<w:ftr xmlns:w="http://schemas.openxmlformats.org/wordprocessingml/2006/main">
  <w:p>
    <w:pPr>
      <w:pBdr>
        <w:top w:val="single" w:color="A85B36" w:sz="6" w:space="2"/>
      </w:pBdr>
      <w:jc w:val="center"/>
    </w:pPr>
    <w:r>
      <w:rPr>
        <w:color w:val="8C7A6B"/>
        <w:sz w:val="16"/>
      </w:rPr>
      <w:t xml:space="preserve">Page </w:t>
    </w:r>
    <w:r>
      <w:rPr>
        <w:color w:val="8C7A6B"/>
        <w:sz w:val="16"/>
      </w:rPr>
      <w:fldChar w:fldCharType="begin"/>
    </w:r>
    <w:r>
      <w:rPr>
        <w:color w:val="8C7A6B"/>
        <w:sz w:val="16"/>
      </w:rPr>
      <w:instrText xml:space="preserve"> PAGE </w:instrText>
    </w:r>
    <w:r>
      <w:rPr>
        <w:color w:val="8C7A6B"/>
        <w:sz w:val="16"/>
      </w:rPr>
      <w:fldChar w:fldCharType="separate"/>
    </w:r>
    <w:r>
      <w:rPr>
        <w:color w:val="8C7A6B"/>
        <w:sz w:val="16"/>
      </w:rPr>
      <w:t>1</w:t>
    </w:r>
    <w:r>
      <w:rPr>
        <w:color w:val="8C7A6B"/>
        <w:sz w:val="16"/>
      </w:rPr>
      <w:fldChar w:fldCharType="end"/>
    </w:r>
    <w:r>
      <w:rPr>
        <w:color w:val="8C7A6B"/>
        <w:sz w:val="16"/>
      </w:rPr>
      <w:t xml:space="preserve"> of </w:t>
    </w:r>
    <w:r>
      <w:rPr>
        <w:color w:val="8C7A6B"/>
        <w:sz w:val="16"/>
      </w:rPr>
      <w:fldChar w:fldCharType="begin"/>
    </w:r>
    <w:r>
      <w:rPr>
        <w:color w:val="8C7A6B"/>
        <w:sz w:val="16"/>
      </w:rPr>
      <w:instrText xml:space="preserve"> NUMPAGES </w:instrText>
    </w:r>
    <w:r>
      <w:rPr>
        <w:color w:val="8C7A6B"/>
        <w:sz w:val="16"/>
      </w:rPr>
      <w:fldChar w:fldCharType="separate"/>
    </w:r>
    <w:r>
      <w:rPr>
        <w:color w:val="8C7A6B"/>
        <w:sz w:val="16"/>
      </w:rPr>
      <w:t>1</w:t>
    </w:r>
    <w:r>
      <w:rPr>
        <w:color w:val="8C7A6B"/>
        <w:sz w:val="16"/>
      </w:rPr>
      <w:fldChar w:fldCharType="end"/>
    </w:r>
  </w:p>
</w:ftr>
</file>

<file path=word/header1.xml><?xml version="1.0" encoding="utf-8"?>
<w:hdr xmlns:w="http://schemas.openxmlformats.org/wordprocessingml/2006/main">
  <w:p>
    <w:pPr>
      <w:pBdr>
        <w:bottom w:val="single" w:color="A85B36" w:sz="6" w:space="2"/>
      </w:pBdr>
      <w:spacing w:after="0"/>
      <w:jc w:val="right"/>
    </w:pPr>
    <w:r>
      <w:rPr>
        <w:smallCaps/>
        <w:color w:val="8C7A6B"/>
        <w:sz w:val="16"/>
      </w:rPr>
      <w:t xml:space="preserve">Contra Favillas | Engineering Specification | Version 1.0</w:t>
    </w:r>
  </w:p>
</w:hdr>
</file>

<file path=word/numbering.xml><?xml version="1.0" encoding="utf-8"?>
<w:numbering xmlns:w="http://schemas.openxmlformats.org/wordprocessingml/2006/main">
  <w:abstractNum w:abstractNumId="1">
    <w:lvl w:ilvl="0">
      <w:numFmt w:val="bullet"/>
      <w:lvlText w:val="•"/>
      <w:lvlJc w:val="left"/>
      <w:pPr>
        <w:ind w:left="460" w:hanging="260"/>
      </w:pPr>
      <w:rPr>
        <w:rFonts w:ascii="Symbol" w:hAnsi="Symbol"/>
      </w:r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before="0" w:after="140" w:line="300" w:lineRule="auto"/>
      <w:jc w:val="left"/>
    </w:pPr>
    <w:rPr>
      <w:rFonts w:ascii="Calibri" w:hAnsi="Calibri" w:eastAsia="Microsoft YaHei"/>
      <w:color w:val="3A2E28"/>
      <w:sz w:val="22"/>
    </w:rPr>
  </w:style>
  <w:style w:type="paragraph" w:styleId="Heading1">
    <w:name w:val="heading 1"/>
    <w:basedOn w:val="Normal"/>
    <w:pPr>
      <w:keepNext/>
      <w:keepLines/>
      <w:spacing w:before="420" w:after="160"/>
      <w:outlineLvl w:val="0"/>
    </w:pPr>
    <w:rPr>
      <w:rFonts w:ascii="Calibri Light" w:hAnsi="Calibri Light" w:eastAsia="Microsoft YaHei"/>
      <w:b/>
      <w:color w:val="7B3F24"/>
      <w:sz w:val="34"/>
    </w:rPr>
  </w:style>
  <w:style w:type="paragraph" w:styleId="Heading2">
    <w:name w:val="heading 2"/>
    <w:basedOn w:val="Normal"/>
    <w:pPr>
      <w:keepNext/>
      <w:keepLines/>
      <w:spacing w:before="300" w:after="120"/>
      <w:outlineLvl w:val="1"/>
    </w:pPr>
    <w:rPr>
      <w:rFonts w:ascii="Calibri" w:hAnsi="Calibri" w:eastAsia="Microsoft YaHei"/>
      <w:b/>
      <w:color w:val="A85B36"/>
      <w:sz w:val="26"/>
    </w:rPr>
  </w:style>
  <w:style w:type="paragraph" w:styleId="Heading3">
    <w:name w:val="heading 3"/>
    <w:basedOn w:val="Normal"/>
    <w:pPr>
      <w:keepNext/>
      <w:keepLines/>
      <w:spacing w:before="220" w:after="100"/>
      <w:outlineLvl w:val="2"/>
    </w:pPr>
    <w:rPr>
      <w:rFonts w:ascii="Calibri" w:hAnsi="Calibri" w:eastAsia="Microsoft YaHei"/>
      <w:b/>
      <w:color w:val="3A2E28"/>
      <w:sz w:val="23"/>
    </w:rPr>
  </w:style>
  <w:style w:type="paragraph" w:styleId="Caption">
    <w:name w:val="caption"/>
    <w:basedOn w:val="Normal"/>
    <w:pPr>
      <w:spacing w:before="40" w:after="180"/>
      <w:jc w:val="center"/>
    </w:pPr>
    <w:rPr>
      <w:rFonts w:ascii="Calibri" w:hAnsi="Calibri" w:eastAsia="Microsoft YaHei"/>
      <w:i/>
      <w:color w:val="8C7A6B"/>
      <w:sz w:val="18"/>
    </w:rPr>
  </w:style>
  <w:style w:type="paragraph" w:styleId="TOC1">
    <w:name w:val="toc 1"/>
    <w:basedOn w:val="Normal"/>
    <w:pPr>
      <w:spacing w:before="60" w:after="20"/>
    </w:pPr>
    <w:rPr>
      <w:b/>
      <w:color w:val="3A2E28"/>
      <w:sz w:val="22"/>
    </w:rPr>
  </w:style>
  <w:style w:type="paragraph" w:styleId="TOC2">
    <w:name w:val="toc 2"/>
    <w:basedOn w:val="Normal"/>
    <w:pPr>
      <w:spacing w:before="0" w:after="20"/>
      <w:ind w:left="360"/>
    </w:pPr>
    <w:rPr>
      <w:color w:val="8C7A6B"/>
      <w:sz w:val="21"/>
    </w:rPr>
  </w:style>
</w:styles>
</file>

<file path=word/_rels/document.xml.rels><?xml version='1.0' encoding='UTF-8'?>
<Relationships xmlns="http://schemas.openxmlformats.org/package/2006/relationships"><Relationship Type="http://schemas.openxmlformats.org/officeDocument/2006/relationships/settings" Target="settings.xml" Id="Rb080f7b2102d45ba" /><Relationship Type="http://schemas.openxmlformats.org/officeDocument/2006/relationships/numbering" Target="numbering.xml" Id="R78dfbe7182da4f00" /><Relationship Type="http://schemas.openxmlformats.org/officeDocument/2006/relationships/styles" Target="styles.xml" Id="R860e61dbee5b4a64" /><Relationship Type="http://schemas.openxmlformats.org/officeDocument/2006/relationships/header" Target="header1.xml" Id="R645cd56d401b4d06" /><Relationship Type="http://schemas.openxmlformats.org/officeDocument/2006/relationships/footer" Target="footer1.xml" Id="R40287e8add664892" /><Relationship Type="http://schemas.openxmlformats.org/officeDocument/2006/relationships/image" Target="media/image.png" Id="R7c290a08df20483d" /><Relationship Type="http://schemas.openxmlformats.org/officeDocument/2006/relationships/image" Target="media/image2.png" Id="Rc5aa5930723b4984" /><Relationship Type="http://schemas.openxmlformats.org/officeDocument/2006/relationships/image" Target="media/image3.png" Id="Ra5699899f84c434e" /></Relationships>
</file>