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tbl>
      <w:tblPr>
        <w:tblW w:type="dxa" w:w="10080"/>
        <w:tblBorders>
          <w:top w:val="single" w:color="7B3F24" w:sz="12"/>
          <w:left w:val="single" w:color="7B3F24" w:sz="12"/>
          <w:bottom w:val="single" w:color="7B3F24" w:sz="12"/>
          <w:right w:val="single" w:color="7B3F24" w:sz="12"/>
          <w:insideH w:val="none"/>
          <w:insideV w:val="none"/>
        </w:tblBorders>
      </w:tblPr>
      <w:tblGrid>
        <w:gridCol w:w="10080"/>
      </w:tblGrid>
      <w:tr>
        <w:tc>
          <w:tcPr>
            <w:tcW w:type="dxa" w:w="10080"/>
            <w:shd w:fill="F4E6DC" w:color="auto" w:val="clear"/>
            <w:tcMar>
              <w:top w:type="dxa" w:w="420"/>
              <w:left w:type="dxa" w:w="300"/>
              <w:bottom w:type="dxa" w:w="420"/>
              <w:right w:type="dxa" w:w="300"/>
            </w:tcMar>
          </w:tcPr>
          <w:p>
            <w:pPr>
              <w:spacing w:after="120"/>
              <w:jc w:val="center"/>
            </w:pPr>
            <w:r>
              <w:rPr>
                <w:rFonts w:ascii="Calibri" w:cs="Calibri" w:eastAsia="Calibri" w:hAnsi="Calibri"/>
                <w:b/>
                <w:bCs/>
                <w:color w:val="7B3F24"/>
                <w:sz w:val="52"/>
                <w:szCs w:val="52"/>
              </w:rPr>
              <w:t xml:space="preserve">CONTRA FAVILLAS AERIAL</w:t>
            </w:r>
          </w:p>
          <w:p>
            <w:pPr>
              <w:spacing w:after="100"/>
              <w:jc w:val="center"/>
            </w:pPr>
            <w:r>
              <w:rPr>
                <w:rFonts w:ascii="Calibri" w:cs="Calibri" w:eastAsia="Calibri" w:hAnsi="Calibri"/>
                <w:color w:val="3A2E28"/>
                <w:sz w:val="28"/>
                <w:szCs w:val="28"/>
              </w:rPr>
              <w:t xml:space="preserve">Airborne Laser Carbonization Platform (E6)</w:t>
            </w:r>
          </w:p>
          <w:p>
            <w:pPr>
              <w:spacing w:after="0"/>
              <w:jc w:val="center"/>
            </w:pPr>
            <w:r>
              <w:rPr>
                <w:rFonts w:ascii="Calibri" w:cs="Calibri" w:eastAsia="Calibri" w:hAnsi="Calibri"/>
                <w:i/>
                <w:iCs/>
                <w:color w:val="6B5A4E"/>
                <w:sz w:val="23"/>
                <w:szCs w:val="23"/>
              </w:rPr>
              <w:t xml:space="preserve">Six-Hour Endurance Hybrid Multirotor Edition</w:t>
            </w:r>
          </w:p>
        </w:tc>
      </w:tr>
    </w:tbl>
    <w:p>
      <w:pPr>
        <w:spacing w:after="100" w:before="520"/>
        <w:jc w:val="center"/>
      </w:pPr>
      <w:r>
        <w:rPr>
          <w:rFonts w:ascii="Calibri" w:cs="Calibri" w:eastAsia="Calibri" w:hAnsi="Calibri"/>
          <w:b/>
          <w:bCs/>
          <w:color w:val="3A2E28"/>
          <w:sz w:val="30"/>
          <w:szCs w:val="30"/>
        </w:rPr>
        <w:t xml:space="preserve">Engineering Design Specification</w:t>
      </w:r>
    </w:p>
    <w:p>
      <w:pPr>
        <w:spacing w:after="340"/>
        <w:jc w:val="center"/>
      </w:pPr>
      <w:r>
        <w:rPr>
          <w:rFonts w:ascii="Calibri" w:cs="Calibri" w:eastAsia="Calibri" w:hAnsi="Calibri"/>
          <w:color w:val="8C7A6B"/>
          <w:sz w:val="22"/>
          <w:szCs w:val="22"/>
        </w:rPr>
        <w:t xml:space="preserve">Version 1.6  |  Aerial Variant  |  August 2026</w:t>
      </w:r>
    </w:p>
    <w:p>
      <w:pPr>
        <w:spacing w:after="80"/>
        <w:jc w:val="center"/>
      </w:pPr>
      <w:r>
        <w:rPr>
          <w:rFonts w:ascii="Calibri" w:cs="Calibri" w:eastAsia="Calibri" w:hAnsi="Calibri"/>
          <w:i/>
          <w:iCs/>
          <w:color w:val="6B5A4E"/>
          <w:sz w:val="19"/>
          <w:szCs w:val="19"/>
        </w:rPr>
        <w:t xml:space="preserve">Incorporating a full first-principles audit of the v1.1 power chain, mass budget and dose budget, and a v1.6 optical,</w:t>
      </w:r>
    </w:p>
    <w:p>
      <w:pPr>
        <w:spacing w:after="80"/>
        <w:jc w:val="center"/>
      </w:pPr>
      <w:r>
        <w:rPr>
          <w:rFonts w:ascii="Calibri" w:cs="Calibri" w:eastAsia="Calibri" w:hAnsi="Calibri"/>
          <w:i/>
          <w:iCs/>
          <w:color w:val="6B5A4E"/>
          <w:sz w:val="19"/>
          <w:szCs w:val="19"/>
        </w:rPr>
        <w:t xml:space="preserve">energy and regulatory revision: wide-line scanning head, closed medium-risk register, solar assessment, costed approval pathway</w:t>
      </w:r>
    </w:p>
    <w:p>
      <w:pPr>
        <w:spacing w:after="0" w:before="520"/>
        <w:jc w:val="center"/>
      </w:pPr>
      <w:r>
        <w:rPr>
          <w:rFonts w:ascii="Calibri" w:cs="Calibri" w:eastAsia="Calibri" w:hAnsi="Calibri"/>
          <w:b/>
          <w:bCs/>
          <w:color w:val="7B3F24"/>
          <w:sz w:val="19"/>
          <w:szCs w:val="19"/>
        </w:rPr>
        <w:t xml:space="preserve">Nineteen corrections of record are published in Sections 20 and 26.</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Table of Contents</w:t>
      </w:r>
    </w:p>
    <w:p>
      <w:pPr>
        <w:spacing w:after="30" w:before="30" w:line="264"/>
      </w:pPr>
      <w:r>
        <w:rPr>
          <w:rFonts w:ascii="Calibri" w:cs="Calibri" w:eastAsia="Calibri" w:hAnsi="Calibri"/>
          <w:color w:val="3A2E28"/>
          <w:sz w:val="20"/>
          <w:szCs w:val="20"/>
        </w:rPr>
        <w:t xml:space="preserve">1.   Overview and Design Intent</w:t>
      </w:r>
    </w:p>
    <w:p>
      <w:pPr>
        <w:spacing w:after="30" w:before="30" w:line="264"/>
      </w:pPr>
      <w:r>
        <w:rPr>
          <w:rFonts w:ascii="Calibri" w:cs="Calibri" w:eastAsia="Calibri" w:hAnsi="Calibri"/>
          <w:color w:val="3A2E28"/>
          <w:sz w:val="20"/>
          <w:szCs w:val="20"/>
        </w:rPr>
        <w:t xml:space="preserve">2.   Platform Sizing and Endurance Engineering</w:t>
      </w:r>
    </w:p>
    <w:p>
      <w:pPr>
        <w:spacing w:after="30" w:before="30" w:line="264"/>
      </w:pPr>
      <w:r>
        <w:rPr>
          <w:rFonts w:ascii="Calibri" w:cs="Calibri" w:eastAsia="Calibri" w:hAnsi="Calibri"/>
          <w:color w:val="3A2E28"/>
          <w:sz w:val="20"/>
          <w:szCs w:val="20"/>
        </w:rPr>
        <w:t xml:space="preserve">3.   Airframe and Rotor System</w:t>
      </w:r>
    </w:p>
    <w:p>
      <w:pPr>
        <w:spacing w:after="30" w:before="30" w:line="264"/>
      </w:pPr>
      <w:r>
        <w:rPr>
          <w:rFonts w:ascii="Calibri" w:cs="Calibri" w:eastAsia="Calibri" w:hAnsi="Calibri"/>
          <w:color w:val="3A2E28"/>
          <w:sz w:val="20"/>
          <w:szCs w:val="20"/>
        </w:rPr>
        <w:t xml:space="preserve">4.   Hybrid Power System</w:t>
      </w:r>
    </w:p>
    <w:p>
      <w:pPr>
        <w:spacing w:after="30" w:before="30" w:line="264"/>
      </w:pPr>
      <w:r>
        <w:rPr>
          <w:rFonts w:ascii="Calibri" w:cs="Calibri" w:eastAsia="Calibri" w:hAnsi="Calibri"/>
          <w:color w:val="3A2E28"/>
          <w:sz w:val="20"/>
          <w:szCs w:val="20"/>
        </w:rPr>
        <w:t xml:space="preserve">5.   Laser Carbonization Array</w:t>
      </w:r>
    </w:p>
    <w:p>
      <w:pPr>
        <w:spacing w:after="30" w:before="30" w:line="264"/>
      </w:pPr>
      <w:r>
        <w:rPr>
          <w:rFonts w:ascii="Calibri" w:cs="Calibri" w:eastAsia="Calibri" w:hAnsi="Calibri"/>
          <w:color w:val="3A2E28"/>
          <w:sz w:val="20"/>
          <w:szCs w:val="20"/>
        </w:rPr>
        <w:t xml:space="preserve">6.   Thermal Management</w:t>
      </w:r>
    </w:p>
    <w:p>
      <w:pPr>
        <w:spacing w:after="30" w:before="30" w:line="264"/>
      </w:pPr>
      <w:r>
        <w:rPr>
          <w:rFonts w:ascii="Calibri" w:cs="Calibri" w:eastAsia="Calibri" w:hAnsi="Calibri"/>
          <w:color w:val="3A2E28"/>
          <w:sz w:val="20"/>
          <w:szCs w:val="20"/>
        </w:rPr>
        <w:t xml:space="preserve">7.   Sensing and Perception</w:t>
      </w:r>
    </w:p>
    <w:p>
      <w:pPr>
        <w:spacing w:after="30" w:before="30" w:line="264"/>
      </w:pPr>
      <w:r>
        <w:rPr>
          <w:rFonts w:ascii="Calibri" w:cs="Calibri" w:eastAsia="Calibri" w:hAnsi="Calibri"/>
          <w:color w:val="3A2E28"/>
          <w:sz w:val="20"/>
          <w:szCs w:val="20"/>
        </w:rPr>
        <w:t xml:space="preserve">8.   Compute and Control</w:t>
      </w:r>
    </w:p>
    <w:p>
      <w:pPr>
        <w:spacing w:after="30" w:before="30" w:line="264"/>
      </w:pPr>
      <w:r>
        <w:rPr>
          <w:rFonts w:ascii="Calibri" w:cs="Calibri" w:eastAsia="Calibri" w:hAnsi="Calibri"/>
          <w:color w:val="3A2E28"/>
          <w:sz w:val="20"/>
          <w:szCs w:val="20"/>
        </w:rPr>
        <w:t xml:space="preserve">9.   Treatment Logic and the Dose-Energy Budget</w:t>
      </w:r>
    </w:p>
    <w:p>
      <w:pPr>
        <w:spacing w:after="30" w:before="30" w:line="264"/>
      </w:pPr>
      <w:r>
        <w:rPr>
          <w:rFonts w:ascii="Calibri" w:cs="Calibri" w:eastAsia="Calibri" w:hAnsi="Calibri"/>
          <w:color w:val="3A2E28"/>
          <w:sz w:val="20"/>
          <w:szCs w:val="20"/>
        </w:rPr>
        <w:t xml:space="preserve">10.   Communications and Ground Control</w:t>
      </w:r>
    </w:p>
    <w:p>
      <w:pPr>
        <w:spacing w:after="30" w:before="30" w:line="264"/>
      </w:pPr>
      <w:r>
        <w:rPr>
          <w:rFonts w:ascii="Calibri" w:cs="Calibri" w:eastAsia="Calibri" w:hAnsi="Calibri"/>
          <w:color w:val="3A2E28"/>
          <w:sz w:val="20"/>
          <w:szCs w:val="20"/>
        </w:rPr>
        <w:t xml:space="preserve">11.   Safety Architecture</w:t>
      </w:r>
    </w:p>
    <w:p>
      <w:pPr>
        <w:spacing w:after="30" w:before="30" w:line="264"/>
      </w:pPr>
      <w:r>
        <w:rPr>
          <w:rFonts w:ascii="Calibri" w:cs="Calibri" w:eastAsia="Calibri" w:hAnsi="Calibri"/>
          <w:color w:val="3A2E28"/>
          <w:sz w:val="20"/>
          <w:szCs w:val="20"/>
        </w:rPr>
        <w:t xml:space="preserve">12.   Tethered Operations Option</w:t>
      </w:r>
    </w:p>
    <w:p>
      <w:pPr>
        <w:spacing w:after="30" w:before="30" w:line="264"/>
      </w:pPr>
      <w:r>
        <w:rPr>
          <w:rFonts w:ascii="Calibri" w:cs="Calibri" w:eastAsia="Calibri" w:hAnsi="Calibri"/>
          <w:color w:val="3A2E28"/>
          <w:sz w:val="20"/>
          <w:szCs w:val="20"/>
        </w:rPr>
        <w:t xml:space="preserve">13.   Consolidated Bill of Materials</w:t>
      </w:r>
    </w:p>
    <w:p>
      <w:pPr>
        <w:spacing w:after="30" w:before="30" w:line="264"/>
      </w:pPr>
      <w:r>
        <w:rPr>
          <w:rFonts w:ascii="Calibri" w:cs="Calibri" w:eastAsia="Calibri" w:hAnsi="Calibri"/>
          <w:color w:val="3A2E28"/>
          <w:sz w:val="20"/>
          <w:szCs w:val="20"/>
        </w:rPr>
        <w:t xml:space="preserve">14.   Cost Summary</w:t>
      </w:r>
    </w:p>
    <w:p>
      <w:pPr>
        <w:spacing w:after="30" w:before="30" w:line="264"/>
      </w:pPr>
      <w:r>
        <w:rPr>
          <w:rFonts w:ascii="Calibri" w:cs="Calibri" w:eastAsia="Calibri" w:hAnsi="Calibri"/>
          <w:color w:val="3A2E28"/>
          <w:sz w:val="20"/>
          <w:szCs w:val="20"/>
        </w:rPr>
        <w:t xml:space="preserve">15.   Assembly and Integration</w:t>
      </w:r>
    </w:p>
    <w:p>
      <w:pPr>
        <w:spacing w:after="30" w:before="30" w:line="264"/>
      </w:pPr>
      <w:r>
        <w:rPr>
          <w:rFonts w:ascii="Calibri" w:cs="Calibri" w:eastAsia="Calibri" w:hAnsi="Calibri"/>
          <w:color w:val="3A2E28"/>
          <w:sz w:val="20"/>
          <w:szCs w:val="20"/>
        </w:rPr>
        <w:t xml:space="preserve">16.   Regulatory Pathway</w:t>
      </w:r>
    </w:p>
    <w:p>
      <w:pPr>
        <w:spacing w:after="30" w:before="30" w:line="264"/>
      </w:pPr>
      <w:r>
        <w:rPr>
          <w:rFonts w:ascii="Calibri" w:cs="Calibri" w:eastAsia="Calibri" w:hAnsi="Calibri"/>
          <w:color w:val="3A2E28"/>
          <w:sz w:val="20"/>
          <w:szCs w:val="20"/>
        </w:rPr>
        <w:t xml:space="preserve">17.   Test and Validation Program</w:t>
      </w:r>
    </w:p>
    <w:p>
      <w:pPr>
        <w:spacing w:after="30" w:before="30" w:line="264"/>
      </w:pPr>
      <w:r>
        <w:rPr>
          <w:rFonts w:ascii="Calibri" w:cs="Calibri" w:eastAsia="Calibri" w:hAnsi="Calibri"/>
          <w:color w:val="3A2E28"/>
          <w:sz w:val="20"/>
          <w:szCs w:val="20"/>
        </w:rPr>
        <w:t xml:space="preserve">18.   Operational Economics</w:t>
      </w:r>
    </w:p>
    <w:p>
      <w:pPr>
        <w:spacing w:after="30" w:before="30" w:line="264"/>
      </w:pPr>
      <w:r>
        <w:rPr>
          <w:rFonts w:ascii="Calibri" w:cs="Calibri" w:eastAsia="Calibri" w:hAnsi="Calibri"/>
          <w:color w:val="3A2E28"/>
          <w:sz w:val="20"/>
          <w:szCs w:val="20"/>
        </w:rPr>
        <w:t xml:space="preserve">19.   Risks and Mitigations</w:t>
      </w:r>
    </w:p>
    <w:p>
      <w:pPr>
        <w:spacing w:after="30" w:before="30" w:line="264"/>
      </w:pPr>
      <w:r>
        <w:rPr>
          <w:rFonts w:ascii="Calibri" w:cs="Calibri" w:eastAsia="Calibri" w:hAnsi="Calibri"/>
          <w:color w:val="3A2E28"/>
          <w:sz w:val="20"/>
          <w:szCs w:val="20"/>
        </w:rPr>
        <w:t xml:space="preserve">20.   v1.5 Change Register: Fifteen Corrections of Record</w:t>
      </w:r>
    </w:p>
    <w:p>
      <w:pPr>
        <w:spacing w:after="30" w:before="30" w:line="264"/>
      </w:pPr>
      <w:r>
        <w:rPr>
          <w:rFonts w:ascii="Calibri" w:cs="Calibri" w:eastAsia="Calibri" w:hAnsi="Calibri"/>
          <w:color w:val="3A2E28"/>
          <w:sz w:val="20"/>
          <w:szCs w:val="20"/>
        </w:rPr>
        <w:t xml:space="preserve">21.   Medium-Risk Closure Program</w:t>
      </w:r>
    </w:p>
    <w:p>
      <w:pPr>
        <w:spacing w:after="30" w:before="30" w:line="264"/>
      </w:pPr>
      <w:r>
        <w:rPr>
          <w:rFonts w:ascii="Calibri" w:cs="Calibri" w:eastAsia="Calibri" w:hAnsi="Calibri"/>
          <w:color w:val="3A2E28"/>
          <w:sz w:val="20"/>
          <w:szCs w:val="20"/>
        </w:rPr>
        <w:t xml:space="preserve">22.   Wide-Line Scanning Head and Coverage Expansion</w:t>
      </w:r>
    </w:p>
    <w:p>
      <w:pPr>
        <w:spacing w:after="30" w:before="30" w:line="264"/>
      </w:pPr>
      <w:r>
        <w:rPr>
          <w:rFonts w:ascii="Calibri" w:cs="Calibri" w:eastAsia="Calibri" w:hAnsi="Calibri"/>
          <w:color w:val="3A2E28"/>
          <w:sz w:val="20"/>
          <w:szCs w:val="20"/>
        </w:rPr>
        <w:t xml:space="preserve">23.   Solar and Auxiliary Energy Assessment</w:t>
      </w:r>
    </w:p>
    <w:p>
      <w:pPr>
        <w:spacing w:after="30" w:before="30" w:line="264"/>
      </w:pPr>
      <w:r>
        <w:rPr>
          <w:rFonts w:ascii="Calibri" w:cs="Calibri" w:eastAsia="Calibri" w:hAnsi="Calibri"/>
          <w:color w:val="3A2E28"/>
          <w:sz w:val="20"/>
          <w:szCs w:val="20"/>
        </w:rPr>
        <w:t xml:space="preserve">24.   Cost Competitiveness and the Ground-Unit Comparison</w:t>
      </w:r>
    </w:p>
    <w:p>
      <w:pPr>
        <w:spacing w:after="30" w:before="30" w:line="264"/>
      </w:pPr>
      <w:r>
        <w:rPr>
          <w:rFonts w:ascii="Calibri" w:cs="Calibri" w:eastAsia="Calibri" w:hAnsi="Calibri"/>
          <w:color w:val="3A2E28"/>
          <w:sz w:val="20"/>
          <w:szCs w:val="20"/>
        </w:rPr>
        <w:t xml:space="preserve">25.   Regulatory Pathway in Detail</w:t>
      </w:r>
    </w:p>
    <w:p>
      <w:pPr>
        <w:spacing w:after="30" w:before="30" w:line="264"/>
      </w:pPr>
      <w:r>
        <w:rPr>
          <w:rFonts w:ascii="Calibri" w:cs="Calibri" w:eastAsia="Calibri" w:hAnsi="Calibri"/>
          <w:color w:val="3A2E28"/>
          <w:sz w:val="20"/>
          <w:szCs w:val="20"/>
        </w:rPr>
        <w:t xml:space="preserve">26.   v1.6 Change Register: Four Further Corrections and Eight Additions</w:t>
      </w:r>
    </w:p>
    <w:p>
      <w:pPr>
        <w:spacing w:after="30" w:before="30" w:line="264"/>
      </w:pPr>
      <w:r>
        <w:rPr>
          <w:rFonts w:ascii="Calibri" w:cs="Calibri" w:eastAsia="Calibri" w:hAnsi="Calibri"/>
          <w:color w:val="3A2E28"/>
          <w:sz w:val="20"/>
          <w:szCs w:val="20"/>
        </w:rPr>
        <w:t xml:space="preserve">A.   Appendix A: Pricing and Sourcing Notes</w:t>
      </w:r>
    </w:p>
    <w:p>
      <w:pPr>
        <w:spacing w:after="30" w:before="30" w:line="264"/>
      </w:pPr>
      <w:r>
        <w:rPr>
          <w:rFonts w:ascii="Calibri" w:cs="Calibri" w:eastAsia="Calibri" w:hAnsi="Calibri"/>
          <w:color w:val="3A2E28"/>
          <w:sz w:val="20"/>
          <w:szCs w:val="20"/>
        </w:rPr>
        <w:t xml:space="preserve">B.   Appendix B: Symbols, Constants and Standing Assumptions</w:t>
      </w:r>
    </w:p>
    <w:p>
      <w:pPr>
        <w:spacing w:after="30" w:before="30" w:line="264"/>
      </w:pPr>
      <w:r>
        <w:rPr>
          <w:rFonts w:ascii="Calibri" w:cs="Calibri" w:eastAsia="Calibri" w:hAnsi="Calibri"/>
          <w:color w:val="3A2E28"/>
          <w:sz w:val="20"/>
          <w:szCs w:val="20"/>
        </w:rPr>
        <w:t xml:space="preserve">C.   Appendix C: Worked Calculations</w:t>
      </w:r>
    </w:p>
    <w:p>
      <w:pPr>
        <w:spacing w:after="30" w:before="30" w:line="264"/>
      </w:pPr>
      <w:r>
        <w:rPr>
          <w:rFonts w:ascii="Calibri" w:cs="Calibri" w:eastAsia="Calibri" w:hAnsi="Calibri"/>
          <w:color w:val="3A2E28"/>
          <w:sz w:val="20"/>
          <w:szCs w:val="20"/>
        </w:rPr>
        <w:t xml:space="preserve">D.   Appendix D: Conformance and Correction Notes</w:t>
      </w:r>
    </w:p>
    <w:p>
      <w:pPr>
        <w:spacing w:after="30" w:before="30" w:line="264"/>
      </w:pPr>
      <w:r>
        <w:rPr>
          <w:rFonts w:ascii="Calibri" w:cs="Calibri" w:eastAsia="Calibri" w:hAnsi="Calibri"/>
          <w:color w:val="3A2E28"/>
          <w:sz w:val="20"/>
          <w:szCs w:val="20"/>
        </w:rPr>
        <w:t xml:space="preserve">E.   Appendix E: Coverage, Thermal and Economic Derivations</w:t>
      </w:r>
    </w:p>
    <w:p>
      <w:pPr>
        <w:spacing w:after="30" w:before="30" w:line="264"/>
      </w:pPr>
      <w:r>
        <w:rPr>
          <w:rFonts w:ascii="Calibri" w:cs="Calibri" w:eastAsia="Calibri" w:hAnsi="Calibri"/>
          <w:color w:val="3A2E28"/>
          <w:sz w:val="20"/>
          <w:szCs w:val="20"/>
        </w:rPr>
        <w:t xml:space="preserve">F.   Appendix F: Regulatory Document Register</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 Overview and Design Intent</w:t>
      </w:r>
    </w:p>
    <w:p>
      <w:pPr>
        <w:spacing w:after="120" w:before="60" w:line="276"/>
        <w:jc w:val="left"/>
      </w:pPr>
      <w:r>
        <w:rPr>
          <w:rFonts w:ascii="Calibri" w:cs="Calibri" w:eastAsia="Calibri" w:hAnsi="Calibri"/>
          <w:b w:val="false"/>
          <w:bCs w:val="false"/>
          <w:i w:val="false"/>
          <w:iCs w:val="false"/>
          <w:color w:val="3A2E28"/>
          <w:sz w:val="20"/>
          <w:szCs w:val="20"/>
        </w:rPr>
        <w:t xml:space="preserve">Contra Favillas Aerial brings the program's laser carbonization concept into the air. The underlying treatment stays identical to the ground variants: a rack of fibre laser sources irradiates fine forest fuels at 1080 nm, drives their surface layers past pyrolysis temperatures, and converts grass, needles, and duff into a high-temperature biochar layer in place. Cone calorimetry on laser-carbonized samples shows peak heat release rate falling from 200 to 600 kW/m2 down to 20 to 35 kW/m2, a reduction of roughly 90 percent, and the treated layer resists ignition even under a 50 kW/m2 radiant assault. A corridor of this treated fuel breaks fire spread without bulldozers, hand crews, or water.</w:t>
      </w:r>
    </w:p>
    <w:p>
      <w:pPr>
        <w:spacing w:after="120" w:before="60" w:line="276"/>
        <w:jc w:val="left"/>
      </w:pPr>
      <w:r>
        <w:rPr>
          <w:rFonts w:ascii="Calibri" w:cs="Calibri" w:eastAsia="Calibri" w:hAnsi="Calibri"/>
          <w:b w:val="false"/>
          <w:bCs w:val="false"/>
          <w:i w:val="false"/>
          <w:iCs w:val="false"/>
          <w:color w:val="3A2E28"/>
          <w:sz w:val="20"/>
          <w:szCs w:val="20"/>
        </w:rPr>
        <w:t xml:space="preserve">The ground variants solve throughput and payload. Whole classes of fire-relevant terrain remain beyond any ground vehicle: cliffs and canyon walls, wet meadows and muskeg, talus slopes, post-burn mosaics with standing deadfall, and remote ridgelines hours from the nearest road. Fires exploit exactly these gaps. The Aerial variant exists to close them.</w:t>
      </w:r>
    </w:p>
    <w:p>
      <w:pPr>
        <w:pStyle w:val="Heading2"/>
        <w:spacing w:after="110" w:before="240"/>
      </w:pPr>
      <w:r>
        <w:rPr>
          <w:rFonts w:ascii="Calibri" w:cs="Calibri" w:eastAsia="Calibri" w:hAnsi="Calibri"/>
          <w:b/>
          <w:bCs/>
          <w:color w:val="3A2E28"/>
          <w:sz w:val="24"/>
          <w:szCs w:val="24"/>
        </w:rPr>
        <w:t xml:space="preserve">1.1 What Version 1.5 Does</w:t>
      </w:r>
    </w:p>
    <w:p>
      <w:pPr>
        <w:spacing w:after="120" w:before="60" w:line="276"/>
        <w:jc w:val="left"/>
      </w:pPr>
      <w:r>
        <w:rPr>
          <w:rFonts w:ascii="Calibri" w:cs="Calibri" w:eastAsia="Calibri" w:hAnsi="Calibri"/>
          <w:b w:val="false"/>
          <w:bCs w:val="false"/>
          <w:i w:val="false"/>
          <w:iCs w:val="false"/>
          <w:color w:val="3A2E28"/>
          <w:sz w:val="20"/>
          <w:szCs w:val="20"/>
        </w:rPr>
        <w:t xml:space="preserve">Version 1.1 answered a 25-item engineering review and closed the design at 747 kg maximum takeoff weight with two Rotax 914 UL engines, eight 72-inch rotors, an 85 kg laser payload, and 240 kg of fuel. Version 1.5 audits that design point against first principles and against manufacturer data, and finds it does not hold. Four errors compound in the same direction, and each of them flatters the endurance result.</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four compounding errors in v1.1</w:t>
            </w:r>
          </w:p>
          <w:p>
            <w:pPr>
              <w:spacing w:after="60" w:line="270"/>
            </w:pPr>
            <w:r>
              <w:rPr>
                <w:rFonts w:ascii="Calibri" w:cs="Calibri" w:eastAsia="Calibri" w:hAnsi="Calibri"/>
                <w:color w:val="3A2E28"/>
                <w:sz w:val="19"/>
                <w:szCs w:val="19"/>
              </w:rPr>
              <w:t xml:space="preserve">One. The power chain omitted the motor and speed-controller losses entirely. The figure v1.1 published as 118.1 kW of electrical hover power is in fact rotor shaft power, which is what a figure of merit produces. Restoring the 8.9 percent electrical drivetrain loss raises the bus demand by the same proportion.</w:t>
            </w:r>
          </w:p>
          <w:p>
            <w:pPr>
              <w:spacing w:after="60" w:line="270"/>
            </w:pPr>
            <w:r>
              <w:rPr>
                <w:rFonts w:ascii="Calibri" w:cs="Calibri" w:eastAsia="Calibri" w:hAnsi="Calibri"/>
                <w:color w:val="3A2E28"/>
                <w:sz w:val="19"/>
                <w:szCs w:val="19"/>
              </w:rPr>
              <w:t xml:space="preserve">Two. The Rotax 914 UL delivers 84.8 kW for five minutes at takeoff and 73.5 kW maximum continuous, not the 86 kW continuous that v1.1 credited. Two of them supply 147 kW continuous, not 172 kW. v1.1 also described the 914 UL as fuel injected; it runs dual Bing constant-depression carburettors.</w:t>
            </w:r>
          </w:p>
          <w:p>
            <w:pPr>
              <w:spacing w:after="60" w:line="270"/>
            </w:pPr>
            <w:r>
              <w:rPr>
                <w:rFonts w:ascii="Calibri" w:cs="Calibri" w:eastAsia="Calibri" w:hAnsi="Calibri"/>
                <w:color w:val="3A2E28"/>
                <w:sz w:val="19"/>
                <w:szCs w:val="19"/>
              </w:rPr>
              <w:t xml:space="preserve">Three. The laser sources were carried at 18 kg each. The Raycus RFL-C2000S catalogue mass is below 28 kg, and the aircraft carries two of them.</w:t>
            </w:r>
          </w:p>
          <w:p>
            <w:pPr>
              <w:spacing w:after="60" w:line="270"/>
            </w:pPr>
            <w:r>
              <w:rPr>
                <w:rFonts w:ascii="Calibri" w:cs="Calibri" w:eastAsia="Calibri" w:hAnsi="Calibri"/>
                <w:color w:val="3A2E28"/>
                <w:sz w:val="19"/>
                <w:szCs w:val="19"/>
              </w:rPr>
              <w:t xml:space="preserve">Four. Endurance was computed at constant mass. That error runs the other way and lengthens nothing, because the first three errors overwhelm it.</w:t>
            </w:r>
          </w:p>
        </w:tc>
      </w:tr>
    </w:tbl>
    <w:p>
      <w:pPr>
        <w:spacing w:after="120" w:before="60" w:line="276"/>
        <w:jc w:val="left"/>
      </w:pPr>
      <w:r>
        <w:rPr>
          <w:rFonts w:ascii="Calibri" w:cs="Calibri" w:eastAsia="Calibri" w:hAnsi="Calibri"/>
          <w:b w:val="false"/>
          <w:bCs w:val="false"/>
          <w:i w:val="false"/>
          <w:iCs w:val="false"/>
          <w:color w:val="3A2E28"/>
          <w:sz w:val="20"/>
          <w:szCs w:val="20"/>
        </w:rPr>
        <w:t xml:space="preserve">Corrected for all four, the v1.1 airframe demands roughly 96 percent of the true continuous rating of its own engines simply to hover, and it holds station for well under four hours. The requirement does not survive the arithmetic. Version 1.5 therefore re-sizes the aircraft rather than re-labelling it.</w:t>
      </w:r>
    </w:p>
    <w:p>
      <w:pPr>
        <w:spacing w:after="120" w:before="60" w:line="276"/>
        <w:jc w:val="left"/>
      </w:pPr>
      <w:r>
        <w:rPr>
          <w:rFonts w:ascii="Calibri" w:cs="Calibri" w:eastAsia="Calibri" w:hAnsi="Calibri"/>
          <w:b w:val="false"/>
          <w:bCs w:val="false"/>
          <w:i w:val="false"/>
          <w:iCs w:val="false"/>
          <w:color w:val="3A2E28"/>
          <w:sz w:val="20"/>
          <w:szCs w:val="20"/>
        </w:rPr>
        <w:t xml:space="preserve">The re-sized design point closes at 1,000 kg maximum takeoff weight on two Rotax 916 iS engines and eight 104-inch rotors, hovering 6.99 hours, flying a 6.86-hour standard mission at 30 percent laser duty, and treating continuously for 6.56 hours, with both engines at 80 percent of maximum continuous rating at full treatment duty. Section 20 records all fifteen corrections and the design changes that follow from them.</w:t>
      </w:r>
    </w:p>
    <w:p>
      <w:pPr>
        <w:spacing w:after="120" w:before="60" w:line="276"/>
        <w:jc w:val="left"/>
      </w:pPr>
      <w:r>
        <w:rPr>
          <w:rFonts w:ascii="Calibri" w:cs="Calibri" w:eastAsia="Calibri" w:hAnsi="Calibri"/>
          <w:b w:val="false"/>
          <w:bCs w:val="false"/>
          <w:i w:val="false"/>
          <w:iCs w:val="false"/>
          <w:color w:val="3A2E28"/>
          <w:sz w:val="20"/>
          <w:szCs w:val="20"/>
        </w:rPr>
        <w:t xml:space="preserve">Two of those corrections also change what the aircraft delivers on the ground. The treatment footprint of 0.70 m by 0.20 m spans 0.140 m2, not the 0.10 m2 that the v1.1 dose arithmetic used, and two 0.70 m belts lay a 1.40 m corridor, not 1.75 m. Corrected throughput runs roughly 72 percent of the v1.1 tables. Section 9 rebuilds the dose budget from the inviolable accounting identity and adds a thermodynamic cross-check that v1.1 lacked.</w:t>
      </w:r>
    </w:p>
    <w:p>
      <w:pPr>
        <w:pStyle w:val="Heading2"/>
        <w:spacing w:after="110" w:before="240"/>
      </w:pPr>
      <w:r>
        <w:rPr>
          <w:rFonts w:ascii="Calibri" w:cs="Calibri" w:eastAsia="Calibri" w:hAnsi="Calibri"/>
          <w:b/>
          <w:bCs/>
          <w:color w:val="3A2E28"/>
          <w:sz w:val="24"/>
          <w:szCs w:val="24"/>
        </w:rPr>
        <w:t xml:space="preserve">1.2 The Physics of the Ask</w:t>
      </w:r>
    </w:p>
    <w:p>
      <w:pPr>
        <w:spacing w:after="120" w:before="60" w:line="276"/>
        <w:jc w:val="left"/>
      </w:pPr>
      <w:r>
        <w:rPr>
          <w:rFonts w:ascii="Calibri" w:cs="Calibri" w:eastAsia="Calibri" w:hAnsi="Calibri"/>
          <w:b w:val="false"/>
          <w:bCs w:val="false"/>
          <w:i w:val="false"/>
          <w:iCs w:val="false"/>
          <w:color w:val="3A2E28"/>
          <w:sz w:val="20"/>
          <w:szCs w:val="20"/>
        </w:rPr>
        <w:t xml:space="preserve">The requirement set for this variant reads simply: a quadcopter-scale drone, roughly ATV-sized, carrying the laser rack beneath it, hovering six hours on a hybrid power system. Each clause of that sentence fights the next. A multirotor at the mass needed to carry a useful laser payload burns between 0.13 and 0.20 kW of hover power per kilogram of aircraft, the exact figure set by disk loading. Battery-electric aircraft in this class fly for 15 to 25 minutes, because a lithium pack stores roughly 250 Wh per kilogram at cell level and closer to 175 Wh per kilogram once packaging, management, and contactors count. Gasoline stores about 12,200 Wh per kilogram, and even after engine and generator losses a fuel-powered series hybrid extracts roughly fourteen times more usable energy per kilogram than a battery. Six hours of hover therefore demands fuel, a generator, and electric propulsion: precisely the series hybrid architecture that every production long-endurance multirotor in service today adopts.</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answers the requirement honestly, and the honest answer is a larger aircraft than v1.1 admitted. The E6 v1.5 is a small unmanned helicopter built as an octocopter, and the document prices, certifies, and schedules it accordingly. Three precedents anchor each element of the architecture, and the corrected E6 sits inside the envelope they define rather than outside it.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100"/>
        <w:gridCol w:w="2600"/>
        <w:gridCol w:w="2100"/>
        <w:gridCol w:w="1400"/>
        <w:gridCol w:w="1880"/>
      </w:tblGrid>
      <w:tr>
        <w:trPr>
          <w:tblHeader/>
        </w:trPr>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Platform</w:t>
            </w:r>
          </w:p>
        </w:tc>
        <w:tc>
          <w:tcPr>
            <w:tcW w:type="dxa" w:w="2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Architecture</w:t>
            </w:r>
          </w:p>
        </w:tc>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Endurance</w:t>
            </w:r>
          </w:p>
        </w:tc>
        <w:tc>
          <w:tcPr>
            <w:tcW w:type="dxa" w:w="1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Payload</w:t>
            </w:r>
          </w:p>
        </w:tc>
        <w:tc>
          <w:tcPr>
            <w:tcW w:type="dxa" w:w="1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Relevance to E6</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Flowcopter FC100 (Scotland)</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Petrol-hydraulic distributed multirotor</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 h plus 30 min reserve, with full payload</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 kg</w:t>
            </w:r>
          </w:p>
        </w:tc>
        <w:tc>
          <w:tcPr>
            <w:tcW w:type="dxa" w:w="1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Proves the 6-hour class at useful payload with fuel power</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Skyfront Perimeter 8 (USA)</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Series hybrid gasoline-electric, fuel injected</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 h plus; 13 h 04 min world record flight</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kg</w:t>
            </w:r>
          </w:p>
        </w:tc>
        <w:tc>
          <w:tcPr>
            <w:tcW w:type="dxa" w:w="1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Proves series hybrid architecture and buffer-battery redundancy</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Boying T1400 (China)</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Tandem-rotor unmanned helicopter, twin 130 kW engines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h at 200 kg payload</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650 kg</w:t>
            </w:r>
          </w:p>
        </w:tc>
        <w:tc>
          <w:tcPr>
            <w:tcW w:type="dxa" w:w="1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Proves twin-engine heavy UAV operations, first flight October 2025</w:t>
            </w:r>
          </w:p>
        </w:tc>
      </w:tr>
    </w:tbl>
    <w:p>
      <w:pPr>
        <w:spacing w:after="200" w:before="60"/>
      </w:pPr>
      <w:r>
        <w:rPr>
          <w:rFonts w:ascii="Calibri" w:cs="Calibri" w:eastAsia="Calibri" w:hAnsi="Calibri"/>
          <w:i/>
          <w:iCs/>
          <w:color w:val="6B5A4E"/>
          <w:sz w:val="17"/>
          <w:szCs w:val="17"/>
        </w:rPr>
        <w:t xml:space="preserve">Table 1: Production and flight-proven precedents anchoring the E6 architecture. The T1400 comparison is the load-bearing one: 260 kW installed for a tandem-rotor aircraft of comparable mass sets the scale that the corrected E6 sizing reproduces at 202 kW installed for a less efficient rotor layout carrying a lighter payload.</w:t>
      </w:r>
    </w:p>
    <w:p>
      <w:pPr>
        <w:pStyle w:val="Heading2"/>
        <w:spacing w:after="110" w:before="240"/>
      </w:pPr>
      <w:r>
        <w:rPr>
          <w:rFonts w:ascii="Calibri" w:cs="Calibri" w:eastAsia="Calibri" w:hAnsi="Calibri"/>
          <w:b/>
          <w:bCs/>
          <w:color w:val="3A2E28"/>
          <w:sz w:val="24"/>
          <w:szCs w:val="24"/>
        </w:rPr>
        <w:t xml:space="preserve">1.3 Design Decisions</w:t>
      </w:r>
    </w:p>
    <w:p>
      <w:pPr>
        <w:spacing w:after="120" w:before="60" w:line="276"/>
        <w:jc w:val="left"/>
      </w:pPr>
      <w:r>
        <w:rPr>
          <w:rFonts w:ascii="Calibri" w:cs="Calibri" w:eastAsia="Calibri" w:hAnsi="Calibri"/>
          <w:b/>
          <w:bCs/>
          <w:i w:val="false"/>
          <w:iCs w:val="false"/>
          <w:color w:val="3A2E28"/>
          <w:sz w:val="20"/>
          <w:szCs w:val="20"/>
        </w:rPr>
        <w:t xml:space="preserve">Flat octocopter over coaxial X8: </w:t>
      </w:r>
      <w:r>
        <w:rPr>
          <w:rFonts w:ascii="Calibri" w:cs="Calibri" w:eastAsia="Calibri" w:hAnsi="Calibri"/>
          <w:b w:val="false"/>
          <w:bCs w:val="false"/>
          <w:i w:val="false"/>
          <w:iCs w:val="false"/>
          <w:color w:val="3A2E28"/>
          <w:sz w:val="20"/>
          <w:szCs w:val="20"/>
        </w:rPr>
        <w:t xml:space="preserve">an X8 coaxial layout fits a smaller flight span but loses 12 to 18 percent of propulsive efficiency to rotor-on-rotor interference, which costs roughly one hour of endurance at this scale. The E6 accepts a 10.2 m flight span with eight arms and gains the efficiency back. Folding arms collapse the aircraft to a 4.8 by 2.4 m transport footprint, which satisfies the size constraint where it matters: on the trailer, not in the air.</w:t>
      </w:r>
    </w:p>
    <w:p>
      <w:pPr>
        <w:spacing w:after="120" w:before="60" w:line="276"/>
        <w:jc w:val="left"/>
      </w:pPr>
      <w:r>
        <w:rPr>
          <w:rFonts w:ascii="Calibri" w:cs="Calibri" w:eastAsia="Calibri" w:hAnsi="Calibri"/>
          <w:b/>
          <w:bCs/>
          <w:i w:val="false"/>
          <w:iCs w:val="false"/>
          <w:color w:val="3A2E28"/>
          <w:sz w:val="20"/>
          <w:szCs w:val="20"/>
        </w:rPr>
        <w:t xml:space="preserve">Eight rotors over six: </w:t>
      </w:r>
      <w:r>
        <w:rPr>
          <w:rFonts w:ascii="Calibri" w:cs="Calibri" w:eastAsia="Calibri" w:hAnsi="Calibri"/>
          <w:b w:val="false"/>
          <w:bCs w:val="false"/>
          <w:i w:val="false"/>
          <w:iCs w:val="false"/>
          <w:color w:val="3A2E28"/>
          <w:sz w:val="20"/>
          <w:szCs w:val="20"/>
        </w:rPr>
        <w:t xml:space="preserve">for a fixed flight span, fewer rotors give more disk area, because the tip-clearance geometry packs them less tightly. A hexacopter at the same 10.2 m span carries 10 percent more disk area and needs 4.8 percent less hover power. The E6 gives that back deliberately. A hexacopter loses yaw authority with one station out; an octocopter retains full authority on seven stations, and the aircraft loiters four metres above a fuel bed with a Class 4 laser running. Section 11.2 states the failure case that this choice buys.</w:t>
      </w:r>
    </w:p>
    <w:p>
      <w:pPr>
        <w:spacing w:after="120" w:before="60" w:line="276"/>
        <w:jc w:val="left"/>
      </w:pPr>
      <w:r>
        <w:rPr>
          <w:rFonts w:ascii="Calibri" w:cs="Calibri" w:eastAsia="Calibri" w:hAnsi="Calibri"/>
          <w:b/>
          <w:bCs/>
          <w:i w:val="false"/>
          <w:iCs w:val="false"/>
          <w:color w:val="3A2E28"/>
          <w:sz w:val="20"/>
          <w:szCs w:val="20"/>
        </w:rPr>
        <w:t xml:space="preserve">104-inch rotors (v1.5): </w:t>
      </w:r>
      <w:r>
        <w:rPr>
          <w:rFonts w:ascii="Calibri" w:cs="Calibri" w:eastAsia="Calibri" w:hAnsi="Calibri"/>
          <w:b w:val="false"/>
          <w:bCs w:val="false"/>
          <w:i w:val="false"/>
          <w:iCs w:val="false"/>
          <w:color w:val="3A2E28"/>
          <w:sz w:val="20"/>
          <w:szCs w:val="20"/>
        </w:rPr>
        <w:t xml:space="preserve">hover power scales with the inverse square root of disk area. Growing the disk from the v1.1 72-inch layout to 104 inches raises total disk area from 21.0 to 43.8 m2 and cuts ideal hover power by 31 percent at equal mass, which is what funds the corrected mass budget. Disk loading falls from 35.6 to 22.8 kg/m2, and induced velocity at the disk falls from 11.9 to 9.6 m/s, a 20 percent reduction in the downwash that reaches freshly treated fuel. The rotors turn 976 rpm at a 135 m/s tip speed, which places them in small-helicopter blade practice rather than in multirotor propeller practice, and Section 13 prices them as composite blade fabrication.</w:t>
      </w:r>
    </w:p>
    <w:p>
      <w:pPr>
        <w:spacing w:after="120" w:before="60" w:line="276"/>
        <w:jc w:val="left"/>
      </w:pPr>
      <w:r>
        <w:rPr>
          <w:rFonts w:ascii="Calibri" w:cs="Calibri" w:eastAsia="Calibri" w:hAnsi="Calibri"/>
          <w:b/>
          <w:bCs/>
          <w:i w:val="false"/>
          <w:iCs w:val="false"/>
          <w:color w:val="3A2E28"/>
          <w:sz w:val="20"/>
          <w:szCs w:val="20"/>
        </w:rPr>
        <w:t xml:space="preserve">Rotax 916 iS over 914 UL: </w:t>
      </w:r>
      <w:r>
        <w:rPr>
          <w:rFonts w:ascii="Calibri" w:cs="Calibri" w:eastAsia="Calibri" w:hAnsi="Calibri"/>
          <w:b w:val="false"/>
          <w:bCs w:val="false"/>
          <w:i w:val="false"/>
          <w:iCs w:val="false"/>
          <w:color w:val="3A2E28"/>
          <w:sz w:val="20"/>
          <w:szCs w:val="20"/>
        </w:rPr>
        <w:t xml:space="preserve">the 916 iS delivers 101 kW maximum continuous and 117 kW takeoff from 85.8 kg dry, against 73.5 kW continuous from the 914 UL. It carries a 2,000-hour time between overhauls where the 915 iS carries 1,200, it runs full FADEC with redundant electronic fuel injection and ignition, it holds full takeoff power to 15,000 ft with a 23,000 ft ceiling, and Rotax publishes a 12 percent fuel-consumption improvement over the 915 iS at maximum continuous power. Two of them supply 202 kW continuous, and the design point loads them to 80 percent.</w:t>
      </w:r>
    </w:p>
    <w:p>
      <w:pPr>
        <w:spacing w:after="120" w:before="60" w:line="276"/>
        <w:jc w:val="left"/>
      </w:pPr>
      <w:r>
        <w:rPr>
          <w:rFonts w:ascii="Calibri" w:cs="Calibri" w:eastAsia="Calibri" w:hAnsi="Calibri"/>
          <w:b/>
          <w:bCs/>
          <w:i w:val="false"/>
          <w:iCs w:val="false"/>
          <w:color w:val="3A2E28"/>
          <w:sz w:val="20"/>
          <w:szCs w:val="20"/>
        </w:rPr>
        <w:t xml:space="preserve">Twin engines over a single engine: </w:t>
      </w:r>
      <w:r>
        <w:rPr>
          <w:rFonts w:ascii="Calibri" w:cs="Calibri" w:eastAsia="Calibri" w:hAnsi="Calibri"/>
          <w:b w:val="false"/>
          <w:bCs w:val="false"/>
          <w:i w:val="false"/>
          <w:iCs w:val="false"/>
          <w:color w:val="3A2E28"/>
          <w:sz w:val="20"/>
          <w:szCs w:val="20"/>
        </w:rPr>
        <w:t xml:space="preserve">at the v1.5 design point each engine carries 76 percent of its continuous rating in hover and 80 percent at full treatment duty. A single engine of this output does not exist in the Rotax line, and a single engine of any type running at its continuous limit is an unacceptable practice for an aircraft that loiters over active fuel beds. Twin engines also yield true power-source redundancy and turbocharged altitude margin for mountain operations.</w:t>
      </w:r>
    </w:p>
    <w:p>
      <w:pPr>
        <w:spacing w:after="120" w:before="60" w:line="276"/>
        <w:jc w:val="left"/>
      </w:pPr>
      <w:r>
        <w:rPr>
          <w:rFonts w:ascii="Calibri" w:cs="Calibri" w:eastAsia="Calibri" w:hAnsi="Calibri"/>
          <w:b/>
          <w:bCs/>
          <w:i w:val="false"/>
          <w:iCs w:val="false"/>
          <w:color w:val="3A2E28"/>
          <w:sz w:val="20"/>
          <w:szCs w:val="20"/>
        </w:rPr>
        <w:t xml:space="preserve">Two lasers over four: </w:t>
      </w:r>
      <w:r>
        <w:rPr>
          <w:rFonts w:ascii="Calibri" w:cs="Calibri" w:eastAsia="Calibri" w:hAnsi="Calibri"/>
          <w:b w:val="false"/>
          <w:bCs w:val="false"/>
          <w:i w:val="false"/>
          <w:iCs w:val="false"/>
          <w:color w:val="3A2E28"/>
          <w:sz w:val="20"/>
          <w:szCs w:val="20"/>
        </w:rPr>
        <w:t xml:space="preserve">each additional pair of 2 kW sources adds 44 kg of sources plus cooling and electrical mass and consumes roughly 50 minutes of endurance or a matching fuel increase. The E6 carries two 2 kW sources and treats two adjacent 0.7 m belts, preserving the program's staggered-redundancy doctrine at a 1.40 m corridor width. Section 9.6 presents the four-laser trade in numbers.</w:t>
      </w:r>
    </w:p>
    <w:p>
      <w:pPr>
        <w:spacing w:after="120" w:before="60" w:line="276"/>
        <w:jc w:val="left"/>
      </w:pPr>
      <w:r>
        <w:rPr>
          <w:rFonts w:ascii="Calibri" w:cs="Calibri" w:eastAsia="Calibri" w:hAnsi="Calibri"/>
          <w:b/>
          <w:bCs/>
          <w:i w:val="false"/>
          <w:iCs w:val="false"/>
          <w:color w:val="3A2E28"/>
          <w:sz w:val="20"/>
          <w:szCs w:val="20"/>
        </w:rPr>
        <w:t xml:space="preserve">Fixed source bay with a light turret (v1.5): </w:t>
      </w:r>
      <w:r>
        <w:rPr>
          <w:rFonts w:ascii="Calibri" w:cs="Calibri" w:eastAsia="Calibri" w:hAnsi="Calibri"/>
          <w:b w:val="false"/>
          <w:bCs w:val="false"/>
          <w:i w:val="false"/>
          <w:iCs w:val="false"/>
          <w:color w:val="3A2E28"/>
          <w:sz w:val="20"/>
          <w:szCs w:val="20"/>
        </w:rPr>
        <w:t xml:space="preserve">v1.1 hung the entire treatment payload, sources included, on a three-axis gimbal. A fibre laser exists precisely so that the source does not travel with the head. v1.5 mounts the two sources, their drivers, the cooling loop, and the compute stack in a fixed conditioned bay inside the centre frame, where vibration isolation is easier and the centre of gravity is better, and gimbals only the 26 kg treatment turret carrying the two heads and the optical sensors. The turret rotates plus or minus 270 degrees in azimuth on a fibre service loop, with tilt hard-stopped at 20 degrees off nadir.</w:t>
      </w:r>
    </w:p>
    <w:p>
      <w:pPr>
        <w:spacing w:after="120" w:before="60" w:line="276"/>
        <w:jc w:val="left"/>
      </w:pPr>
      <w:r>
        <w:rPr>
          <w:rFonts w:ascii="Calibri" w:cs="Calibri" w:eastAsia="Calibri" w:hAnsi="Calibri"/>
          <w:b/>
          <w:bCs/>
          <w:i w:val="false"/>
          <w:iCs w:val="false"/>
          <w:color w:val="3A2E28"/>
          <w:sz w:val="20"/>
          <w:szCs w:val="20"/>
        </w:rPr>
        <w:t xml:space="preserve">800 V DC bus (v1.5): </w:t>
      </w:r>
      <w:r>
        <w:rPr>
          <w:rFonts w:ascii="Calibri" w:cs="Calibri" w:eastAsia="Calibri" w:hAnsi="Calibri"/>
          <w:b w:val="false"/>
          <w:bCs w:val="false"/>
          <w:i w:val="false"/>
          <w:iCs w:val="false"/>
          <w:color w:val="3A2E28"/>
          <w:sz w:val="20"/>
          <w:szCs w:val="20"/>
        </w:rPr>
        <w:t xml:space="preserve">v1.1 specified a 400 V bus in Section 4 and an 800 V tether feed in Section 12, which do not connect. v1.5 resolves the inconsistency in favour of 800 V throughout. At the 147.6 kW design-point bus load, 800 V halves conductor current to 185 A and removes roughly 9 kg of copper. Section 4.4 states the insulation coordination that the higher voltage requires.</w:t>
      </w:r>
    </w:p>
    <w:p>
      <w:pPr>
        <w:spacing w:after="60" w:before="180"/>
        <w:jc w:val="center"/>
      </w:pPr>
      <w:r>
        <w:drawing>
          <wp:inline distT="0" distB="0" distL="0" distR="0">
            <wp:extent cx="59912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91225" cy="36290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1: E6 v1.5 system architecture. Twin engine-generator sets feed an 800 V DC bus; the treatment sources sit in a fixed conditioned bay and feed a light three-axis turret through short armoured delivery fibres.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 Platform Sizing and Endurance Engineering</w:t>
      </w:r>
    </w:p>
    <w:p>
      <w:pPr>
        <w:pStyle w:val="Heading2"/>
        <w:spacing w:after="110" w:before="240"/>
      </w:pPr>
      <w:r>
        <w:rPr>
          <w:rFonts w:ascii="Calibri" w:cs="Calibri" w:eastAsia="Calibri" w:hAnsi="Calibri"/>
          <w:b/>
          <w:bCs/>
          <w:color w:val="3A2E28"/>
          <w:sz w:val="24"/>
          <w:szCs w:val="24"/>
        </w:rPr>
        <w:t xml:space="preserve">2.1 Hover Power from First Principles</w:t>
      </w:r>
    </w:p>
    <w:p>
      <w:pPr>
        <w:spacing w:after="120" w:before="60" w:line="276"/>
        <w:jc w:val="left"/>
      </w:pPr>
      <w:r>
        <w:rPr>
          <w:rFonts w:ascii="Calibri" w:cs="Calibri" w:eastAsia="Calibri" w:hAnsi="Calibri"/>
          <w:b w:val="false"/>
          <w:bCs w:val="false"/>
          <w:i w:val="false"/>
          <w:iCs w:val="false"/>
          <w:color w:val="3A2E28"/>
          <w:sz w:val="20"/>
          <w:szCs w:val="20"/>
        </w:rPr>
        <w:t xml:space="preserve">Momentum theory gives the ideal power to hover: thrust raised to the three-halves power, divided by the square root of twice air density times total rotor disk area. Real rotors deliver a figure of merit below the ideal; the E6 assumes 0.75, appropriate for large, slow, lightly loaded blades at the 22.8 kg/m2 disk loading this design carries. The equation explains every hard choice in the aircraft. Endurance grows with disk area and with fuel mass, and shrinks with everything else. Disk area pushes span out; fuel mass pushes takeoff mass up; takeoff mass pushes hover power up; hover power pushes engine mass up, which pushes takeoff mass up again. The spiral closes only where engine output, airframe mass, payload, and fuel balance exactly, and this section publishes that balance.</w:t>
      </w:r>
    </w:p>
    <w:p>
      <w:pPr>
        <w:spacing w:after="120" w:before="60" w:line="276"/>
        <w:jc w:val="left"/>
      </w:pPr>
      <w:r>
        <w:rPr>
          <w:rFonts w:ascii="Calibri" w:cs="Calibri" w:eastAsia="Calibri" w:hAnsi="Calibri"/>
          <w:b w:val="false"/>
          <w:bCs w:val="false"/>
          <w:i w:val="false"/>
          <w:iCs w:val="false"/>
          <w:color w:val="3A2E28"/>
          <w:sz w:val="20"/>
          <w:szCs w:val="20"/>
        </w:rPr>
        <w:t xml:space="preserve">At the 1,000 kg design point across 43.84 m2 of disk, momentum theory returns 93.7 kW of ideal hover power. Dividing by the figure of merit returns 125.0 kW at the rotor shafts. That number, and only that number, is what a figure of merit produces. Everything between the rotor shaft and the fuel tank is a separate accounting, and the omission of that accounting is the single largest error in v1.1.</w:t>
      </w:r>
    </w:p>
    <w:p>
      <w:pPr>
        <w:pStyle w:val="Heading2"/>
        <w:spacing w:after="110" w:before="240"/>
      </w:pPr>
      <w:r>
        <w:rPr>
          <w:rFonts w:ascii="Calibri" w:cs="Calibri" w:eastAsia="Calibri" w:hAnsi="Calibri"/>
          <w:b/>
          <w:bCs/>
          <w:color w:val="3A2E28"/>
          <w:sz w:val="24"/>
          <w:szCs w:val="24"/>
        </w:rPr>
        <w:t xml:space="preserve">2.2 The Complete Power Chain</w:t>
      </w:r>
    </w:p>
    <w:p>
      <w:pPr>
        <w:spacing w:after="120" w:before="60" w:line="276"/>
        <w:jc w:val="left"/>
      </w:pPr>
      <w:r>
        <w:rPr>
          <w:rFonts w:ascii="Calibri" w:cs="Calibri" w:eastAsia="Calibri" w:hAnsi="Calibri"/>
          <w:b w:val="false"/>
          <w:bCs w:val="false"/>
          <w:i w:val="false"/>
          <w:iCs w:val="false"/>
          <w:color w:val="3A2E28"/>
          <w:sz w:val="20"/>
          <w:szCs w:val="20"/>
        </w:rPr>
        <w:t xml:space="preserve">The E6 converts chemical energy into rotor thrust through six stages, each with a loss. Table 2 states every stage, its assumed efficiency, and the basis for the assumption. The chain is stated once here and used unchanged everywhere else in this document.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2500"/>
        <w:gridCol w:w="1300"/>
        <w:gridCol w:w="37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Conversion</w:t>
            </w:r>
          </w:p>
        </w:tc>
        <w:tc>
          <w:tcPr>
            <w:tcW w:type="dxa" w:w="13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Efficiency</w:t>
            </w:r>
          </w:p>
        </w:tc>
        <w:tc>
          <w:tcPr>
            <w:tcW w:type="dxa" w:w="37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Shaft power to thrust</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 (FM)</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 for large, slow, lightly loaded blades at low disk loading; conservative against published values of 0.78 to 0.80</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to shaft</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0.935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Direct-drive high-pole-count permanent-magnet machine at continuous rating; forced-air cooled</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Controller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to motor terminals</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field-oriented controller, silicon-carbide switching</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Rectifier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AC to bus DC</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Active three-phase rectifier with power-factor control</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Shaft to electrical</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0.955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Axial-flux permanent-magnet machine, EMRAX 268 class, published efficiency to 0.96</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Belt drive</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flange to generator</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0.980</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1.70:1 toothed-belt step-up, standard industrial practice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to shaft</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0.265 kg/kWh</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Rotax 916 iS class brake specific fuel consumption with installation and hot-day margin; Rotax published data for the 915 iS at 75 percent power supports 0.239 kg/kWh</w:t>
            </w:r>
          </w:p>
        </w:tc>
      </w:tr>
    </w:tbl>
    <w:p>
      <w:pPr>
        <w:spacing w:after="200" w:before="60"/>
      </w:pPr>
      <w:r>
        <w:rPr>
          <w:rFonts w:ascii="Calibri" w:cs="Calibri" w:eastAsia="Calibri" w:hAnsi="Calibri"/>
          <w:i/>
          <w:iCs/>
          <w:color w:val="6B5A4E"/>
          <w:sz w:val="17"/>
          <w:szCs w:val="17"/>
        </w:rPr>
        <w:t xml:space="preserve">Table 2: The complete E6 v1.5 efficiency chain. Combined electrical drivetrain efficiency is 0.911 and combined generator-chain efficiency is 0.912, so 83.1 percent of engine shaft power reaches the rotor shafts. Version 1.1 omitted the 0.911 term entirely.</w:t>
      </w:r>
    </w:p>
    <w:p>
      <w:pPr>
        <w:spacing w:after="120" w:before="60" w:line="276"/>
        <w:jc w:val="left"/>
      </w:pPr>
      <w:r>
        <w:rPr>
          <w:rFonts w:ascii="Calibri" w:cs="Calibri" w:eastAsia="Calibri" w:hAnsi="Calibri"/>
          <w:b w:val="false"/>
          <w:bCs w:val="false"/>
          <w:i w:val="false"/>
          <w:iCs w:val="false"/>
          <w:color w:val="3A2E28"/>
          <w:sz w:val="20"/>
          <w:szCs w:val="20"/>
        </w:rPr>
        <w:t xml:space="preserve">Applying the chain at the design point in hover with the treatment stack running produces the power ladder below. Each row is the row above divided by the relevant efficiency, with the hotel and laser loads entering at the bus where they actually connect.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200"/>
        <w:gridCol w:w="1900"/>
        <w:gridCol w:w="3980"/>
      </w:tblGrid>
      <w:tr>
        <w:trPr>
          <w:tblHeader/>
        </w:trPr>
        <w:tc>
          <w:tcPr>
            <w:tcW w:type="dxa" w:w="4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Station in the chain</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Power (kW)</w:t>
            </w:r>
          </w:p>
        </w:tc>
        <w:tc>
          <w:tcPr>
            <w:tcW w:type="dxa" w:w="3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Ideal hover power, momentum theory</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93.7</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kg across 43.84 m2 at sea-level density</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shaft power, divided by FM 0.75</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125.0</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15.6 kW and 153 Nm per rotor at 976 rpm</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DC bus demand for propulsion, divided by 0.911</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137.1</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185 A at 800 V nominal</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Hotel load added</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140.1</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Avionics, sensors, compute, coolant pump, purge blower, turret drives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load added</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147.6</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sources at 45 percent pulse duty plus drivers and chiller</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Engine shaft power, divided by 0.912</w:t>
            </w:r>
          </w:p>
        </w:tc>
        <w:tc>
          <w:tcPr>
            <w:tcW w:type="dxa" w:w="19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161.8</w:t>
            </w:r>
          </w:p>
        </w:tc>
        <w:tc>
          <w:tcPr>
            <w:tcW w:type="dxa" w:w="39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80.1 percent of 202 kW installed maximum continuous</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Fuel flow at 0.265 kg/kWh</w:t>
            </w:r>
          </w:p>
        </w:tc>
        <w:tc>
          <w:tcPr>
            <w:tcW w:type="dxa" w:w="19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42.9 kg/h</w:t>
            </w:r>
          </w:p>
        </w:tc>
        <w:tc>
          <w:tcPr>
            <w:tcW w:type="dxa" w:w="39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59.5 L/h at 0.72 kg/L</w:t>
            </w:r>
          </w:p>
        </w:tc>
      </w:tr>
    </w:tbl>
    <w:p>
      <w:pPr>
        <w:spacing w:after="200" w:before="60"/>
      </w:pPr>
      <w:r>
        <w:rPr>
          <w:rFonts w:ascii="Calibri" w:cs="Calibri" w:eastAsia="Calibri" w:hAnsi="Calibri"/>
          <w:i/>
          <w:iCs/>
          <w:color w:val="6B5A4E"/>
          <w:sz w:val="17"/>
          <w:szCs w:val="17"/>
        </w:rPr>
        <w:t xml:space="preserve">Table 3: Power ladder at maximum takeoff weight and full treatment duty. Hover with the laser stack cold draws 140.1 kW at the bus, 153.6 kW at the engine shafts, 76.0 percent of installed continuous rating, and 40.7 kg/h of fuel.</w:t>
      </w:r>
    </w:p>
    <w:p>
      <w:pPr>
        <w:pStyle w:val="Heading2"/>
        <w:spacing w:after="110" w:before="240"/>
      </w:pPr>
      <w:r>
        <w:rPr>
          <w:rFonts w:ascii="Calibri" w:cs="Calibri" w:eastAsia="Calibri" w:hAnsi="Calibri"/>
          <w:b/>
          <w:bCs/>
          <w:color w:val="3A2E28"/>
          <w:sz w:val="24"/>
          <w:szCs w:val="24"/>
        </w:rPr>
        <w:t xml:space="preserve">2.3 Endurance Model and Mission Fuel Policy</w:t>
      </w:r>
    </w:p>
    <w:p>
      <w:pPr>
        <w:spacing w:after="120" w:before="60" w:line="276"/>
        <w:jc w:val="left"/>
      </w:pPr>
      <w:r>
        <w:rPr>
          <w:rFonts w:ascii="Calibri" w:cs="Calibri" w:eastAsia="Calibri" w:hAnsi="Calibri"/>
          <w:b w:val="false"/>
          <w:bCs w:val="false"/>
          <w:i w:val="false"/>
          <w:iCs w:val="false"/>
          <w:color w:val="3A2E28"/>
          <w:sz w:val="20"/>
          <w:szCs w:val="20"/>
        </w:rPr>
        <w:t xml:space="preserve">The E6 burns 23 percent of its takeoff mass over a full sortie, so hover power at the end of the mission is materially lower than at the start. Version 1.1 integrated endurance at constant mass, which understates the result. Version 1.5 integrates the mass loss directly: at each time step the model recomputes rotor power from current mass, walks the chain of Table 2, and subtracts the resulting fuel flow. The integration runs at half-second steps and terminates at dry tanks.</w:t>
      </w:r>
    </w:p>
    <w:p>
      <w:pPr>
        <w:spacing w:after="120" w:before="60" w:line="276"/>
        <w:jc w:val="left"/>
      </w:pPr>
      <w:r>
        <w:rPr>
          <w:rFonts w:ascii="Calibri" w:cs="Calibri" w:eastAsia="Calibri" w:hAnsi="Calibri"/>
          <w:b w:val="false"/>
          <w:bCs w:val="false"/>
          <w:i w:val="false"/>
          <w:iCs w:val="false"/>
          <w:color w:val="3A2E28"/>
          <w:sz w:val="20"/>
          <w:szCs w:val="20"/>
        </w:rPr>
        <w:t xml:space="preserve">The published endurance figures are gross figures to fuel exhaustion, which is the correct basis for comparing configurations and the wrong basis for planning a sortie. Mission fuel policy subtracts from them as follows.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600"/>
        <w:gridCol w:w="1500"/>
        <w:gridCol w:w="4980"/>
      </w:tblGrid>
      <w:tr>
        <w:trPr>
          <w:tblHeader/>
        </w:trPr>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Mission segment</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Allowance</w:t>
            </w:r>
          </w:p>
        </w:tc>
        <w:tc>
          <w:tcPr>
            <w:tcW w:type="dxa" w:w="4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Start, ground run, and vertical climb to transit altitude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0.10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warm-up per Rotax procedure plus climb at 3 m/s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to corridor</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m/s cruise, 21 km still-air radius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 station, treating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5.10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planning figure used throughout Section 9</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to launch or to a forward cache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Same basis outbound</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Final reserve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Hover at empty-plus-reserve mass, held inviolable by the endurance estimator</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Contingency for diversion to an alternate landing zone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0.16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One diversion inside the pre-surveyed zone database</w:t>
            </w:r>
          </w:p>
        </w:tc>
      </w:tr>
      <w:tr>
        <w:trPr>
          <w:tblHeader w:val="false"/>
        </w:trPr>
        <w:tc>
          <w:tcPr>
            <w:tcW w:type="dxa" w:w="36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against 6.56 h continuous-treatment endurance</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6.56 h</w:t>
            </w:r>
          </w:p>
        </w:tc>
        <w:tc>
          <w:tcPr>
            <w:tcW w:type="dxa" w:w="49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Zero slack at design dose; the estimator flies the aircraft home earlier at lower duty</w:t>
            </w:r>
          </w:p>
        </w:tc>
      </w:tr>
    </w:tbl>
    <w:p>
      <w:pPr>
        <w:spacing w:after="200" w:before="60"/>
      </w:pPr>
      <w:r>
        <w:rPr>
          <w:rFonts w:ascii="Calibri" w:cs="Calibri" w:eastAsia="Calibri" w:hAnsi="Calibri"/>
          <w:i/>
          <w:iCs/>
          <w:color w:val="6B5A4E"/>
          <w:sz w:val="17"/>
          <w:szCs w:val="17"/>
        </w:rPr>
        <w:t xml:space="preserve">Table 4: Mission fuel policy at the design point. The 5.1-hour on-station figure, not the 6.56-hour gross endurance, drives every throughput number in Section 9.</w:t>
      </w:r>
    </w:p>
    <w:p>
      <w:pPr>
        <w:pStyle w:val="Heading2"/>
        <w:spacing w:after="110" w:before="240"/>
      </w:pPr>
      <w:r>
        <w:rPr>
          <w:rFonts w:ascii="Calibri" w:cs="Calibri" w:eastAsia="Calibri" w:hAnsi="Calibri"/>
          <w:b/>
          <w:bCs/>
          <w:color w:val="3A2E28"/>
          <w:sz w:val="24"/>
          <w:szCs w:val="24"/>
        </w:rPr>
        <w:t xml:space="preserve">2.4 E6 v1.5 Design Point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800"/>
        <w:gridCol w:w="6280"/>
      </w:tblGrid>
      <w:tr>
        <w:trPr>
          <w:tblHeader/>
        </w:trPr>
        <w:tc>
          <w:tcPr>
            <w:tcW w:type="dxa" w:w="38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Parameter</w:t>
            </w:r>
          </w:p>
        </w:tc>
        <w:tc>
          <w:tcPr>
            <w:tcW w:type="dxa" w:w="6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Configuration</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Flat octocopter, 8 arms, folding for transport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takeoff weight (MTOW)</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kg</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 dry, including 141 kg treatment system</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766 kg</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extended-range load, 91+ AKI mogas or 100LL avgas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234 kg / 326 L</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mass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141 kg (2 x 2 kW sources, turret, optics, cooling, sensing, compute)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x 104-inch (2.64 m) two-blade carbon folding, 43.84 m2 total disk area</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speed and tip speed</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976 rpm, 135 m/s tip speed, tip Mach 0.40</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Disk loading</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22.8 kg/m2 (224 N/m2)</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Induced velocity at the disk</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9.56 m/s hover at MTOW; far-wake 19.1 m/s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Flight span / arm radius / folded footprint</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10.2 m / 3.80 m / 4.8 x 2.4 m trailer-class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shaft power, hover at MTOW</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125.0 kW total, 15.6 kW and 153 Nm per station</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DC bus demand</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140.1 kW hover; 147.6 kW full treatment duty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shaft power</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153.6 kW hover; 161.8 kW full treatment duty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 x Rotax 916 iS, 101 kW maximum continuous each, 117 kW takeoff each, FADEC turbo EFI</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load at design point</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76.0 percent of continuous rating in hover, 80.1 percent at full treatment duty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reserve</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9.0 kWh nominal, 8.1 kWh usable: 3.5 min at full hover power at MTOW, 5.8 min in the descent profile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burn</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40.7 kg/h hover-only; 42.9 kg/h full-duty treatment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to dry tanks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6.99 h hover-only; 6.86 h standard mission at 30 percent duty; 6.56 h continuous treatment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Planned on-station time</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5.10 h at 21 km treatment radius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standoff</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3.5 to 4.5 m above ground level, nominal 4.0 m, lidar-radar fusion hold</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Treated corridor width</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 m, two adjacent 0.70 m belts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speed and ferry radius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m/s cruise; 170 km ferry radius with reserves, zero on-station time</w:t>
            </w:r>
          </w:p>
        </w:tc>
      </w:tr>
    </w:tbl>
    <w:p>
      <w:pPr>
        <w:spacing w:after="200" w:before="60"/>
      </w:pPr>
      <w:r>
        <w:rPr>
          <w:rFonts w:ascii="Calibri" w:cs="Calibri" w:eastAsia="Calibri" w:hAnsi="Calibri"/>
          <w:i/>
          <w:iCs/>
          <w:color w:val="6B5A4E"/>
          <w:sz w:val="17"/>
          <w:szCs w:val="17"/>
        </w:rPr>
        <w:t xml:space="preserve">Table 5: E6 v1.5 design-point specification.</w:t>
      </w:r>
    </w:p>
    <w:p>
      <w:pPr>
        <w:spacing w:after="120" w:before="60" w:line="276"/>
        <w:jc w:val="left"/>
      </w:pPr>
      <w:r>
        <w:rPr>
          <w:rFonts w:ascii="Calibri" w:cs="Calibri" w:eastAsia="Calibri" w:hAnsi="Calibri"/>
          <w:b w:val="false"/>
          <w:bCs w:val="false"/>
          <w:i w:val="false"/>
          <w:iCs w:val="false"/>
          <w:color w:val="3A2E28"/>
          <w:sz w:val="20"/>
          <w:szCs w:val="20"/>
        </w:rPr>
        <w:t xml:space="preserve">These figures are first-order sizing estimates, stated with their assumptions, and Phase 1 of the test program refines them against measured blade data and a powertrain dynamometer run. The assumptions err conservative in three places and aggressive in none: figure of merit 0.75 sits below published values for large slow rotors, brake specific fuel consumption 0.265 kg/kWh sits 11 percent above Rotax published data for the preceding engine in the family, and the 80 percent engine-loading ceiling sits below a rating the manufacturer certifies for unlimited duration.</w:t>
      </w:r>
    </w:p>
    <w:p>
      <w:pPr>
        <w:spacing w:after="60" w:before="180"/>
        <w:jc w:val="center"/>
      </w:pPr>
      <w:r>
        <w:drawing>
          <wp:inline distT="0" distB="0" distL="0" distR="0">
            <wp:extent cx="59912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91225" cy="222885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2: Left, endurance against fuel load for the three mission profiles, with the six-hour requirement line. Right, the power ladder of Table 3 against the 202 kW installed continuous rating.</w:t>
      </w:r>
    </w:p>
    <w:p>
      <w:pPr>
        <w:pStyle w:val="Heading2"/>
        <w:spacing w:after="110" w:before="240"/>
      </w:pPr>
      <w:r>
        <w:rPr>
          <w:rFonts w:ascii="Calibri" w:cs="Calibri" w:eastAsia="Calibri" w:hAnsi="Calibri"/>
          <w:b/>
          <w:bCs/>
          <w:color w:val="3A2E28"/>
          <w:sz w:val="24"/>
          <w:szCs w:val="24"/>
        </w:rPr>
        <w:t xml:space="preserve">2.5 Endurance Against Fuel Load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000"/>
        <w:gridCol w:w="1500"/>
        <w:gridCol w:w="1500"/>
        <w:gridCol w:w="1500"/>
        <w:gridCol w:w="1740"/>
        <w:gridCol w:w="1840"/>
      </w:tblGrid>
      <w:tr>
        <w:trPr>
          <w:tblHeader/>
        </w:trPr>
        <w:tc>
          <w:tcPr>
            <w:tcW w:type="dxa" w:w="2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Fuel load</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MTOW</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Hover only</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Standard mission (30% duty)</w:t>
            </w:r>
          </w:p>
        </w:tc>
        <w:tc>
          <w:tcPr>
            <w:tcW w:type="dxa" w:w="174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Continuous treatment</w:t>
            </w:r>
          </w:p>
        </w:tc>
        <w:tc>
          <w:tcPr>
            <w:tcW w:type="dxa" w:w="184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Engine load, full duty</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144 kg (200 L)</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910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4.61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4.52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4.30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70.2%</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180 kg (250 L)</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946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5.59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5.48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5.24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74.1%</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216 kg (300 L)</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982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6.53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6.41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6.12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78.0%</w:t>
            </w:r>
          </w:p>
        </w:tc>
      </w:tr>
      <w:tr>
        <w:trPr>
          <w:tblHeader w:val="false"/>
        </w:trPr>
        <w:tc>
          <w:tcPr>
            <w:tcW w:type="dxa" w:w="2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234 kg (326 L) v1.5 design point</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1,000 kg</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6.99 h</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6.86 h</w:t>
            </w:r>
          </w:p>
        </w:tc>
        <w:tc>
          <w:tcPr>
            <w:tcW w:type="dxa" w:w="174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6.56 h</w:t>
            </w:r>
          </w:p>
        </w:tc>
        <w:tc>
          <w:tcPr>
            <w:tcW w:type="dxa" w:w="184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80.1%</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259 kg (360 L) overload option</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1,025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7.59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7.45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7.12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82.9%</w:t>
            </w:r>
          </w:p>
        </w:tc>
      </w:tr>
    </w:tbl>
    <w:p>
      <w:pPr>
        <w:spacing w:after="200" w:before="60"/>
      </w:pPr>
      <w:r>
        <w:rPr>
          <w:rFonts w:ascii="Calibri" w:cs="Calibri" w:eastAsia="Calibri" w:hAnsi="Calibri"/>
          <w:i/>
          <w:iCs/>
          <w:color w:val="6B5A4E"/>
          <w:sz w:val="17"/>
          <w:szCs w:val="17"/>
        </w:rPr>
        <w:t xml:space="preserve">Table 6: Endurance against fuel load at fixed 766 kg empty mass, computed by mass-integrated numerical integration through the Table 2 chain. The 360 L overload option requires a tank capacity increase and pushes engine loading past the design ceiling; it is stated for completeness and not offered as an operating configuration.</w:t>
      </w:r>
    </w:p>
    <w:p>
      <w:pPr>
        <w:pStyle w:val="Heading2"/>
        <w:spacing w:after="110" w:before="240"/>
      </w:pPr>
      <w:r>
        <w:rPr>
          <w:rFonts w:ascii="Calibri" w:cs="Calibri" w:eastAsia="Calibri" w:hAnsi="Calibri"/>
          <w:b/>
          <w:bCs/>
          <w:color w:val="3A2E28"/>
          <w:sz w:val="24"/>
          <w:szCs w:val="24"/>
        </w:rPr>
        <w:t xml:space="preserve">2.6 The ATV Question, Answered Plainly</w:t>
      </w:r>
    </w:p>
    <w:p>
      <w:pPr>
        <w:spacing w:after="120" w:before="60" w:line="276"/>
        <w:jc w:val="left"/>
      </w:pPr>
      <w:r>
        <w:rPr>
          <w:rFonts w:ascii="Calibri" w:cs="Calibri" w:eastAsia="Calibri" w:hAnsi="Calibri"/>
          <w:b w:val="false"/>
          <w:bCs w:val="false"/>
          <w:i w:val="false"/>
          <w:iCs w:val="false"/>
          <w:color w:val="3A2E28"/>
          <w:sz w:val="20"/>
          <w:szCs w:val="20"/>
        </w:rPr>
        <w:t xml:space="preserve">A 10.2 m octocopter is not ATV-sized in flight, and this document does not pretend otherwise. Version 1.0 stated a 4.4 m flight span for a 60-inch layout, which assumed tip overlap that same-plane rotors do not tolerate. Version 1.1 corrected that to 5.9 m for the 60-inch layout and 7.1 m for its own 72-inch layout, both computed correctly at 10 percent tip clearance. Version 1.5 applies the same geometry to the 104-inch layout and publishes 10.2 m.</w:t>
      </w:r>
    </w:p>
    <w:p>
      <w:pPr>
        <w:spacing w:after="120" w:before="60" w:line="276"/>
        <w:jc w:val="left"/>
      </w:pPr>
      <w:r>
        <w:rPr>
          <w:rFonts w:ascii="Calibri" w:cs="Calibri" w:eastAsia="Calibri" w:hAnsi="Calibri"/>
          <w:b w:val="false"/>
          <w:bCs w:val="false"/>
          <w:i w:val="false"/>
          <w:iCs w:val="false"/>
          <w:color w:val="3A2E28"/>
          <w:sz w:val="20"/>
          <w:szCs w:val="20"/>
        </w:rPr>
        <w:t xml:space="preserve">The geometry is fixed and worth stating explicitly, because it recurs in every configuration trade. For eight rotors of radius R on a common circle at 10 percent tip clearance, the arm radius is 2.874 R and the flight span is 7.748 R. At 104 inches the arm radius is 3.80 m and the span is 10.23 m. Arms fold rearward against the centre frame into a 4.8 by 2.4 m package, which loads on a standard equipment trailer inside the 2.6 m Canadian legal width limit without a permit.</w:t>
      </w:r>
    </w:p>
    <w:p>
      <w:pPr>
        <w:spacing w:after="120" w:before="60" w:line="276"/>
        <w:jc w:val="left"/>
      </w:pPr>
      <w:r>
        <w:rPr>
          <w:rFonts w:ascii="Calibri" w:cs="Calibri" w:eastAsia="Calibri" w:hAnsi="Calibri"/>
          <w:b w:val="false"/>
          <w:bCs w:val="false"/>
          <w:i w:val="false"/>
          <w:iCs w:val="false"/>
          <w:color w:val="3A2E28"/>
          <w:sz w:val="20"/>
          <w:szCs w:val="20"/>
        </w:rPr>
        <w:t xml:space="preserve">The size constraint therefore binds where it belongs: in transport and staging. In flight, hover physics dictates disk area, and the v1.5 audit confirms that the larger disk is precisely what funds an honest six-hour mission. The coaxial X8 alternative remains on record: same folded footprint, 6.8 m flight span, roughly 4.9 hours of continuous treatment at this payload. The program chooses endurance, margin, and lower downwash over compactness in the air.</w:t>
      </w:r>
    </w:p>
    <w:p>
      <w:pPr>
        <w:pStyle w:val="Heading2"/>
        <w:spacing w:after="110" w:before="240"/>
      </w:pPr>
      <w:r>
        <w:rPr>
          <w:rFonts w:ascii="Calibri" w:cs="Calibri" w:eastAsia="Calibri" w:hAnsi="Calibri"/>
          <w:b/>
          <w:bCs/>
          <w:color w:val="3A2E28"/>
          <w:sz w:val="24"/>
          <w:szCs w:val="24"/>
        </w:rPr>
        <w:t xml:space="preserve">2.7 Growth Margin and Mass Properties Policy</w:t>
      </w:r>
    </w:p>
    <w:p>
      <w:pPr>
        <w:spacing w:after="120" w:before="60" w:line="276"/>
        <w:jc w:val="left"/>
      </w:pPr>
      <w:r>
        <w:rPr>
          <w:rFonts w:ascii="Calibri" w:cs="Calibri" w:eastAsia="Calibri" w:hAnsi="Calibri"/>
          <w:b w:val="false"/>
          <w:bCs w:val="false"/>
          <w:i w:val="false"/>
          <w:iCs w:val="false"/>
          <w:color w:val="3A2E28"/>
          <w:sz w:val="20"/>
          <w:szCs w:val="20"/>
        </w:rPr>
        <w:t xml:space="preserve">A first-order sizing that closes with zero margin does not close. The E6 v1.5 mass budget carries explicit reserves against the growth that every prototype programme experiences between paper and first flight.</w:t>
      </w:r>
    </w:p>
    <w:p>
      <w:pPr>
        <w:pStyle w:val="ListParagraph"/>
        <w:numPr>
          <w:ilvl w:val="0"/>
          <w:numId w:val="2"/>
        </w:numPr>
        <w:spacing w:after="70" w:before="40" w:line="264"/>
      </w:pPr>
      <w:r>
        <w:rPr>
          <w:rFonts w:ascii="Calibri" w:cs="Calibri" w:eastAsia="Calibri" w:hAnsi="Calibri"/>
          <w:color w:val="3A2E28"/>
          <w:sz w:val="20"/>
          <w:szCs w:val="20"/>
        </w:rPr>
        <w:t xml:space="preserve">Design mass growth allowance: 4 percent of empty mass, 31 kg, held against the fuel load rather than the structure. Consuming it in full reduces continuous-treatment endurance from 6.56 to 6.20 hours, which keeps the six-hour requirement intact.</w:t>
      </w:r>
    </w:p>
    <w:p>
      <w:pPr>
        <w:pStyle w:val="ListParagraph"/>
        <w:numPr>
          <w:ilvl w:val="0"/>
          <w:numId w:val="2"/>
        </w:numPr>
        <w:spacing w:after="70" w:before="40" w:line="264"/>
      </w:pPr>
      <w:r>
        <w:rPr>
          <w:rFonts w:ascii="Calibri" w:cs="Calibri" w:eastAsia="Calibri" w:hAnsi="Calibri"/>
          <w:color w:val="3A2E28"/>
          <w:sz w:val="20"/>
          <w:szCs w:val="20"/>
        </w:rPr>
        <w:t xml:space="preserve">Structural design gross weight: 1,100 kg, 10 percent above MTOW. The frame, arms, folding locks, landing gear, and parachute are sized to this figure, not to 1,000 kg, so a mass increase does not force a structural redesign.</w:t>
      </w:r>
    </w:p>
    <w:p>
      <w:pPr>
        <w:pStyle w:val="ListParagraph"/>
        <w:numPr>
          <w:ilvl w:val="0"/>
          <w:numId w:val="2"/>
        </w:numPr>
        <w:spacing w:after="70" w:before="40" w:line="264"/>
      </w:pPr>
      <w:r>
        <w:rPr>
          <w:rFonts w:ascii="Calibri" w:cs="Calibri" w:eastAsia="Calibri" w:hAnsi="Calibri"/>
          <w:color w:val="3A2E28"/>
          <w:sz w:val="20"/>
          <w:szCs w:val="20"/>
        </w:rPr>
        <w:t xml:space="preserve">Power margin: the engines hold 40 kW of unused continuous rating and 32 kW of additional five-minute takeoff rating at the design point, which covers gust rejection, hot-and-high operation, and the growth allowance simultaneously.</w:t>
      </w:r>
    </w:p>
    <w:p>
      <w:pPr>
        <w:pStyle w:val="ListParagraph"/>
        <w:numPr>
          <w:ilvl w:val="0"/>
          <w:numId w:val="2"/>
        </w:numPr>
        <w:spacing w:after="70" w:before="40" w:line="264"/>
      </w:pPr>
      <w:r>
        <w:rPr>
          <w:rFonts w:ascii="Calibri" w:cs="Calibri" w:eastAsia="Calibri" w:hAnsi="Calibri"/>
          <w:color w:val="3A2E28"/>
          <w:sz w:val="20"/>
          <w:szCs w:val="20"/>
        </w:rPr>
        <w:t xml:space="preserve">Centre of gravity: the fixed source bay sits on the centre-frame vertical axis and the fuel tanks sit either side of the spine on a balanced burn schedule, so the longitudinal centre of gravity moves less than 25 mm across a full sortie. The turret contributes a fixed offset that the flight controller trims out at initialisation.</w:t>
      </w:r>
    </w:p>
    <w:p>
      <w:pPr>
        <w:pStyle w:val="ListParagraph"/>
        <w:numPr>
          <w:ilvl w:val="0"/>
          <w:numId w:val="2"/>
        </w:numPr>
        <w:spacing w:after="70" w:before="40" w:line="264"/>
      </w:pPr>
      <w:r>
        <w:rPr>
          <w:rFonts w:ascii="Calibri" w:cs="Calibri" w:eastAsia="Calibri" w:hAnsi="Calibri"/>
          <w:color w:val="3A2E28"/>
          <w:sz w:val="20"/>
          <w:szCs w:val="20"/>
        </w:rPr>
        <w:t xml:space="preserve">Weight and balance discipline: every aircraft is weighed at Stage 4 of assembly against the Table 8 budget, and each configuration change re-weighs before flight. No mass is carried on estimate after the first weighing.</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3. Airframe and Rotor System</w:t>
      </w:r>
    </w:p>
    <w:p>
      <w:pPr>
        <w:pStyle w:val="Heading2"/>
        <w:spacing w:after="110" w:before="240"/>
      </w:pPr>
      <w:r>
        <w:rPr>
          <w:rFonts w:ascii="Calibri" w:cs="Calibri" w:eastAsia="Calibri" w:hAnsi="Calibri"/>
          <w:b/>
          <w:bCs/>
          <w:color w:val="3A2E28"/>
          <w:sz w:val="24"/>
          <w:szCs w:val="24"/>
        </w:rPr>
        <w:t xml:space="preserve">3.1 Rotor Aerodynamics</w:t>
      </w:r>
    </w:p>
    <w:p>
      <w:pPr>
        <w:spacing w:after="120" w:before="60" w:line="276"/>
        <w:jc w:val="left"/>
      </w:pPr>
      <w:r>
        <w:rPr>
          <w:rFonts w:ascii="Calibri" w:cs="Calibri" w:eastAsia="Calibri" w:hAnsi="Calibri"/>
          <w:b w:val="false"/>
          <w:bCs w:val="false"/>
          <w:i w:val="false"/>
          <w:iCs w:val="false"/>
          <w:color w:val="3A2E28"/>
          <w:sz w:val="20"/>
          <w:szCs w:val="20"/>
        </w:rPr>
        <w:t xml:space="preserve">The 104-inch two-blade rotor is a small helicopter blade, not a scaled multirotor propeller, and the design treats it as one. Blade radius is 1.321 m. Design tip speed is 135 m/s, which sets rotational speed at 976 rpm and tip Mach at 0.40 in standard sea-level conditions, comfortably below the compressibility rise and low enough that tip noise stays modest. Each rotor produces 1,226 N of thrust in hover at maximum takeoff weight, absorbs 15.6 kW of shaft power, and demands 153 Nm of torque at the hub.</w:t>
      </w:r>
    </w:p>
    <w:p>
      <w:pPr>
        <w:spacing w:after="120" w:before="60" w:line="276"/>
        <w:jc w:val="left"/>
      </w:pPr>
      <w:r>
        <w:rPr>
          <w:rFonts w:ascii="Calibri" w:cs="Calibri" w:eastAsia="Calibri" w:hAnsi="Calibri"/>
          <w:b w:val="false"/>
          <w:bCs w:val="false"/>
          <w:i w:val="false"/>
          <w:iCs w:val="false"/>
          <w:color w:val="3A2E28"/>
          <w:sz w:val="20"/>
          <w:szCs w:val="20"/>
        </w:rPr>
        <w:t xml:space="preserve">Blade solidity is 0.055, which places the blade loading coefficient at 0.078 in hover, roughly half the stall-limited value and therefore leaving substantial collective margin for gust rejection and for the one-station-out case. Blade Reynolds number at three-quarter radius is approximately 1.4 million, well clear of the low-Reynolds regime where small multirotor propellers lose efficiency, and this is a principal reason the figure of merit assumption of 0.75 is conservative rather than optimistic.</w:t>
      </w:r>
    </w:p>
    <w:p>
      <w:pPr>
        <w:spacing w:after="120" w:before="60" w:line="276"/>
        <w:jc w:val="left"/>
      </w:pPr>
      <w:r>
        <w:rPr>
          <w:rFonts w:ascii="Calibri" w:cs="Calibri" w:eastAsia="Calibri" w:hAnsi="Calibri"/>
          <w:b w:val="false"/>
          <w:bCs w:val="false"/>
          <w:i w:val="false"/>
          <w:iCs w:val="false"/>
          <w:color w:val="3A2E28"/>
          <w:sz w:val="20"/>
          <w:szCs w:val="20"/>
        </w:rPr>
        <w:t xml:space="preserve">Rotor speed is fixed and thrust is modulated by collective pitch on a hub-mounted actuator at each station. Fixed-speed operation lets each generator run its engine at a constant efficient point, removes rotational inertia from the control response path, and gives the flight controller a bandwidth that variable-speed multirotors of this size do not achieve. The cost is eight pitch actuators and eight sets of blade bearings, which the mass budget carries inside the station allowance.</w:t>
      </w:r>
    </w:p>
    <w:p>
      <w:pPr>
        <w:pStyle w:val="Heading2"/>
        <w:spacing w:after="110" w:before="240"/>
      </w:pPr>
      <w:r>
        <w:rPr>
          <w:rFonts w:ascii="Calibri" w:cs="Calibri" w:eastAsia="Calibri" w:hAnsi="Calibri"/>
          <w:b/>
          <w:bCs/>
          <w:color w:val="3A2E28"/>
          <w:sz w:val="24"/>
          <w:szCs w:val="24"/>
        </w:rPr>
        <w:t xml:space="preserve">3.2 Structure and Load Cases</w:t>
      </w:r>
    </w:p>
    <w:p>
      <w:pPr>
        <w:spacing w:after="120" w:before="60" w:line="276"/>
        <w:jc w:val="left"/>
      </w:pPr>
      <w:r>
        <w:rPr>
          <w:rFonts w:ascii="Calibri" w:cs="Calibri" w:eastAsia="Calibri" w:hAnsi="Calibri"/>
          <w:b w:val="false"/>
          <w:bCs w:val="false"/>
          <w:i w:val="false"/>
          <w:iCs w:val="false"/>
          <w:color w:val="3A2E28"/>
          <w:sz w:val="20"/>
          <w:szCs w:val="20"/>
        </w:rPr>
        <w:t xml:space="preserve">The centre frame is a carbon-fibre sandwich plate stack carrying the engines, generators, fuel system, source bay, and turret hardpoint. Eight tapered tubular carbon arms hinge at the centre frame on over-centre folding locks rated for full flight loads, each arm carrying a motor, a controller, and a rotor. Arm root outer diameter is 200 mm with a 3 mm wall, tapering to 120 mm at the motor mount.</w:t>
      </w:r>
    </w:p>
    <w:p>
      <w:pPr>
        <w:spacing w:after="120" w:before="60" w:line="276"/>
        <w:jc w:val="left"/>
      </w:pPr>
      <w:r>
        <w:rPr>
          <w:rFonts w:ascii="Calibri" w:cs="Calibri" w:eastAsia="Calibri" w:hAnsi="Calibri"/>
          <w:b w:val="false"/>
          <w:bCs w:val="false"/>
          <w:i w:val="false"/>
          <w:iCs w:val="false"/>
          <w:color w:val="3A2E28"/>
          <w:sz w:val="20"/>
          <w:szCs w:val="20"/>
        </w:rPr>
        <w:t xml:space="preserve">The sizing load case is a single station at full authority during an upset recovery, which the propulsion system delivers at twice hover thrust. Limit load per station is therefore 2,452 N and ultimate load is 3,678 N at the 1.5 factor. At the 3.80 m arm radius, the ultimate root bending moment is 13.98 kNm, which develops a peak fibre stress of 155 MPa in the specified section against a 320 MPa allowable for a filament-wound carbon tube with buckling and layup-efficiency knockdowns applied. Margin of safety is plus 1.06.</w:t>
      </w:r>
    </w:p>
    <w:p>
      <w:pPr>
        <w:pStyle w:val="ListParagraph"/>
        <w:numPr>
          <w:ilvl w:val="0"/>
          <w:numId w:val="2"/>
        </w:numPr>
        <w:spacing w:after="70" w:before="40" w:line="264"/>
      </w:pPr>
      <w:r>
        <w:rPr>
          <w:rFonts w:ascii="Calibri" w:cs="Calibri" w:eastAsia="Calibri" w:hAnsi="Calibri"/>
          <w:color w:val="3A2E28"/>
          <w:sz w:val="20"/>
          <w:szCs w:val="20"/>
        </w:rPr>
        <w:t xml:space="preserve">Every arm hinge is proof-loaded to 1.5 times limit load before installation, and the proof record follows the individual arm through service.</w:t>
      </w:r>
    </w:p>
    <w:p>
      <w:pPr>
        <w:pStyle w:val="ListParagraph"/>
        <w:numPr>
          <w:ilvl w:val="0"/>
          <w:numId w:val="2"/>
        </w:numPr>
        <w:spacing w:after="70" w:before="40" w:line="264"/>
      </w:pPr>
      <w:r>
        <w:rPr>
          <w:rFonts w:ascii="Calibri" w:cs="Calibri" w:eastAsia="Calibri" w:hAnsi="Calibri"/>
          <w:color w:val="3A2E28"/>
          <w:sz w:val="20"/>
          <w:szCs w:val="20"/>
        </w:rPr>
        <w:t xml:space="preserve">The folding locks are over-centre mechanical latches with a positive secondary pin, not friction devices, and a continuity circuit at each lock reports lock state to the flight controller before engine start.</w:t>
      </w:r>
    </w:p>
    <w:p>
      <w:pPr>
        <w:pStyle w:val="ListParagraph"/>
        <w:numPr>
          <w:ilvl w:val="0"/>
          <w:numId w:val="2"/>
        </w:numPr>
        <w:spacing w:after="70" w:before="40" w:line="264"/>
      </w:pPr>
      <w:r>
        <w:rPr>
          <w:rFonts w:ascii="Calibri" w:cs="Calibri" w:eastAsia="Calibri" w:hAnsi="Calibri"/>
          <w:color w:val="3A2E28"/>
          <w:sz w:val="20"/>
          <w:szCs w:val="20"/>
        </w:rPr>
        <w:t xml:space="preserve">The tall-stance landing gear holds the treatment turret 1.35 m clear of ground at rest, which protects the optics on unprepared sites and sets the turret slew envelope for ground checks.</w:t>
      </w:r>
    </w:p>
    <w:p>
      <w:pPr>
        <w:pStyle w:val="ListParagraph"/>
        <w:numPr>
          <w:ilvl w:val="0"/>
          <w:numId w:val="2"/>
        </w:numPr>
        <w:spacing w:after="70" w:before="40" w:line="264"/>
      </w:pPr>
      <w:r>
        <w:rPr>
          <w:rFonts w:ascii="Calibri" w:cs="Calibri" w:eastAsia="Calibri" w:hAnsi="Calibri"/>
          <w:color w:val="3A2E28"/>
          <w:sz w:val="20"/>
          <w:szCs w:val="20"/>
        </w:rPr>
        <w:t xml:space="preserve">The fuel tanks are crashworthy bladders in frangible bays, and the structure is designed so that a survivable forced landing crushes the gear and the lower frame before it reaches the tanks.</w:t>
      </w:r>
    </w:p>
    <w:p>
      <w:pPr>
        <w:pStyle w:val="Heading2"/>
        <w:spacing w:after="110" w:before="240"/>
      </w:pPr>
      <w:r>
        <w:rPr>
          <w:rFonts w:ascii="Calibri" w:cs="Calibri" w:eastAsia="Calibri" w:hAnsi="Calibri"/>
          <w:b/>
          <w:bCs/>
          <w:color w:val="3A2E28"/>
          <w:sz w:val="24"/>
          <w:szCs w:val="24"/>
        </w:rPr>
        <w:t xml:space="preserve">3.3 Propulsion Stations</w:t>
      </w:r>
    </w:p>
    <w:p>
      <w:pPr>
        <w:spacing w:after="120" w:before="60" w:line="276"/>
        <w:jc w:val="left"/>
      </w:pPr>
      <w:r>
        <w:rPr>
          <w:rFonts w:ascii="Calibri" w:cs="Calibri" w:eastAsia="Calibri" w:hAnsi="Calibri"/>
          <w:b w:val="false"/>
          <w:bCs w:val="false"/>
          <w:i w:val="false"/>
          <w:iCs w:val="false"/>
          <w:color w:val="3A2E28"/>
          <w:sz w:val="20"/>
          <w:szCs w:val="20"/>
        </w:rPr>
        <w:t xml:space="preserve">Each propulsion station pairs a direct-drive permanent-magnet motor rated at 155 Nm continuous at 976 rpm with an 800 V, 250 A field-oriented controller and a 104-inch carbon folding rotor. Hover demands 15.6 kW per station at the design point, leaving full authority margin for gust rejection and for a degraded-mode landing with one station out.</w:t>
      </w:r>
    </w:p>
    <w:p>
      <w:pPr>
        <w:spacing w:after="120" w:before="60" w:line="276"/>
        <w:jc w:val="left"/>
      </w:pPr>
      <w:r>
        <w:rPr>
          <w:rFonts w:ascii="Calibri" w:cs="Calibri" w:eastAsia="Calibri" w:hAnsi="Calibri"/>
          <w:b w:val="false"/>
          <w:bCs w:val="false"/>
          <w:i w:val="false"/>
          <w:iCs w:val="false"/>
          <w:color w:val="3A2E28"/>
          <w:sz w:val="20"/>
          <w:szCs w:val="20"/>
        </w:rPr>
        <w:t xml:space="preserve">The flight controller detects a motor or controller failure within one commutation cycle, redistributes thrust across the remaining seven stations, and commands an immediate controlled descent. An octocopter retains yaw and translation authority with one station out at partial throttle, and the seven-station hover demand of 143 kW at the rotor shafts stays inside the installed rating. A whole-aircraft ballistic parachute of 1,100 kg class backs the station-out logic for failures above 45 m above ground level; below that altitude the aircraft relies on propulsion redundancy, and treatment operations never exceed 6 m above ground level by geofence.</w:t>
      </w:r>
    </w:p>
    <w:p>
      <w:pPr>
        <w:pStyle w:val="Heading2"/>
        <w:spacing w:after="110" w:before="240"/>
      </w:pPr>
      <w:r>
        <w:rPr>
          <w:rFonts w:ascii="Calibri" w:cs="Calibri" w:eastAsia="Calibri" w:hAnsi="Calibri"/>
          <w:b/>
          <w:bCs/>
          <w:color w:val="3A2E28"/>
          <w:sz w:val="24"/>
          <w:szCs w:val="24"/>
        </w:rPr>
        <w:t xml:space="preserve">3.4 Downwash and the Ground Interaction</w:t>
      </w:r>
    </w:p>
    <w:p>
      <w:pPr>
        <w:spacing w:after="120" w:before="60" w:line="276"/>
        <w:jc w:val="left"/>
      </w:pPr>
      <w:r>
        <w:rPr>
          <w:rFonts w:ascii="Calibri" w:cs="Calibri" w:eastAsia="Calibri" w:hAnsi="Calibri"/>
          <w:b w:val="false"/>
          <w:bCs w:val="false"/>
          <w:i w:val="false"/>
          <w:iCs w:val="false"/>
          <w:color w:val="3A2E28"/>
          <w:sz w:val="20"/>
          <w:szCs w:val="20"/>
        </w:rPr>
        <w:t xml:space="preserve">This is the hardest unresolved physical problem in the concept, and v1.1 understated it. Induced velocity at the disk is 9.56 m/s at maximum takeoff weight. The fully developed wake below the rotor approaches twice that figure, so the column of air arriving at the ground carries roughly 19 m/s. With the rotor plane at 5.5 m above ground and a blade radius of 1.32 m, the height-to-radius ratio is 4.2, which places the aircraft well outside ground effect: the wake arrives fully developed rather than partially recovered. The impinging jet turns into a radial wall jet whose peak velocity reaches comparable magnitude before it decays with distance from the aircraft footprint.</w:t>
      </w:r>
    </w:p>
    <w:p>
      <w:pPr>
        <w:spacing w:after="120" w:before="60" w:line="276"/>
        <w:jc w:val="left"/>
      </w:pPr>
      <w:r>
        <w:rPr>
          <w:rFonts w:ascii="Calibri" w:cs="Calibri" w:eastAsia="Calibri" w:hAnsi="Calibri"/>
          <w:b w:val="false"/>
          <w:bCs w:val="false"/>
          <w:i w:val="false"/>
          <w:iCs w:val="false"/>
          <w:color w:val="3A2E28"/>
          <w:sz w:val="20"/>
          <w:szCs w:val="20"/>
        </w:rPr>
        <w:t xml:space="preserve">Nineteen metres per second at ground level over fine forest fuels lofts material. The v1.5 configuration reduces that figure by 20 percent against v1.1 through the larger disk, and the raised 4.0 m standoff further reduces the flux arriving at the treatment patch, but neither change eliminates the hazard. Four mitigations carry the case, and the risk register in Section 19 rates this item Medium rather than Low and gates it on measured plot data.</w:t>
      </w:r>
    </w:p>
    <w:p>
      <w:pPr>
        <w:pStyle w:val="ListParagraph"/>
        <w:numPr>
          <w:ilvl w:val="0"/>
          <w:numId w:val="2"/>
        </w:numPr>
        <w:spacing w:after="70" w:before="40" w:line="264"/>
      </w:pPr>
      <w:r>
        <w:rPr>
          <w:rFonts w:ascii="Calibri" w:cs="Calibri" w:eastAsia="Calibri" w:hAnsi="Calibri"/>
          <w:color w:val="3A2E28"/>
          <w:sz w:val="20"/>
          <w:szCs w:val="20"/>
        </w:rPr>
        <w:t xml:space="preserve">The dose controller holds the treated surface below the flaming threshold by design, so the material the wash encounters is char rather than glowing ember. A firebrand requires an ignition source; carbonized fuel at sub-flaming temperature is not one.</w:t>
      </w:r>
    </w:p>
    <w:p>
      <w:pPr>
        <w:pStyle w:val="ListParagraph"/>
        <w:numPr>
          <w:ilvl w:val="0"/>
          <w:numId w:val="2"/>
        </w:numPr>
        <w:spacing w:after="70" w:before="40" w:line="264"/>
      </w:pPr>
      <w:r>
        <w:rPr>
          <w:rFonts w:ascii="Calibri" w:cs="Calibri" w:eastAsia="Calibri" w:hAnsi="Calibri"/>
          <w:color w:val="3A2E28"/>
          <w:sz w:val="20"/>
          <w:szCs w:val="20"/>
        </w:rPr>
        <w:t xml:space="preserve">The trail thermal camera scores every belt against the cooling-curve library before the corridor counts as treated, and a belt that retains heat outside its band queues for inspection rather than passing.</w:t>
      </w:r>
    </w:p>
    <w:p>
      <w:pPr>
        <w:pStyle w:val="ListParagraph"/>
        <w:numPr>
          <w:ilvl w:val="0"/>
          <w:numId w:val="2"/>
        </w:numPr>
        <w:spacing w:after="70" w:before="40" w:line="264"/>
      </w:pPr>
      <w:r>
        <w:rPr>
          <w:rFonts w:ascii="Calibri" w:cs="Calibri" w:eastAsia="Calibri" w:hAnsi="Calibri"/>
          <w:color w:val="3A2E28"/>
          <w:sz w:val="20"/>
          <w:szCs w:val="20"/>
        </w:rPr>
        <w:t xml:space="preserve">The treatment planner excludes patch-level ambient winds above 8 m/s, measured by the onboard anemometer, so the wall jet never combines with a driving wind.</w:t>
      </w:r>
    </w:p>
    <w:p>
      <w:pPr>
        <w:pStyle w:val="ListParagraph"/>
        <w:numPr>
          <w:ilvl w:val="0"/>
          <w:numId w:val="2"/>
        </w:numPr>
        <w:spacing w:after="70" w:before="40" w:line="264"/>
      </w:pPr>
      <w:r>
        <w:rPr>
          <w:rFonts w:ascii="Calibri" w:cs="Calibri" w:eastAsia="Calibri" w:hAnsi="Calibri"/>
          <w:color w:val="3A2E28"/>
          <w:sz w:val="20"/>
          <w:szCs w:val="20"/>
        </w:rPr>
        <w:t xml:space="preserve">Phase 4 of the test program measures ground-level velocity and particulate lofting on instrumented plots at the design standoff before any operational sortie, and the exit criterion is measured lofting behaviour, not modelled behaviour.</w:t>
      </w:r>
    </w:p>
    <w:p>
      <w:pPr>
        <w:pStyle w:val="Heading2"/>
        <w:spacing w:after="110" w:before="240"/>
      </w:pPr>
      <w:r>
        <w:rPr>
          <w:rFonts w:ascii="Calibri" w:cs="Calibri" w:eastAsia="Calibri" w:hAnsi="Calibri"/>
          <w:b/>
          <w:bCs/>
          <w:color w:val="3A2E28"/>
          <w:sz w:val="24"/>
          <w:szCs w:val="24"/>
        </w:rPr>
        <w:t xml:space="preserve">3.5 Mass Budget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400"/>
        <w:gridCol w:w="1500"/>
        <w:gridCol w:w="4180"/>
      </w:tblGrid>
      <w:tr>
        <w:trPr>
          <w:tblHeader/>
        </w:trPr>
        <w:tc>
          <w:tcPr>
            <w:tcW w:type="dxa" w:w="4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Subsystem</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Mass (kg)</w:t>
            </w:r>
          </w:p>
        </w:tc>
        <w:tc>
          <w:tcPr>
            <w:tcW w:type="dxa" w:w="4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Engines, 2 x Rotax 916 iS, installed</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181.8</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85.8 kg dry each plus exhaust, radiators, intercooler, oil system, ring mount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sets, 2 x axial flux with belt drive and active rectifier</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50.2</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 kg machine, 4 kg 1.70:1 belt drive, 8 kg rectifier per set, allocated to actual load</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Lift motors, 8 x direct drive</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67.9</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8.5 kg each at 155 Nm continuous, 18 Nm/kg</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controllers, 8 x 800 V / 250 A</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0.94 kg each</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Rotors, 8 x 104-inch two-blade carbon folding</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69.1</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8.6 kg each including hub, pitch actuator, and blade bearings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Centre frame, arms, folding locks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93.0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9.3 percent of structural design gross weight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Landing gear</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Tall stance, 1.35 m turret clearance</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Ballistic recovery parachute</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1,100 kg class, sized to structural design gross weight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HV distribution, contactors, power harness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bus panel, pre-charge, branch monitoring, cabling</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Avionics, flight controller, air data, recorder</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Includes anemometer, radar altimeter, and black box</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9.0 kWh, two independent strings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51.4</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175 Wh/kg at pack level including management and contactors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system, 2 x 170 L tanks with dump valves and probes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39.7</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Excluding fuel</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fixed bay plus turret</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141.0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5</w:t>
            </w:r>
          </w:p>
        </w:tc>
      </w:tr>
      <w:tr>
        <w:trPr>
          <w:tblHeader w:val="false"/>
        </w:trPr>
        <w:tc>
          <w:tcPr>
            <w:tcW w:type="dxa" w:w="44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Empty mass total</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765.6</w:t>
            </w:r>
          </w:p>
        </w:tc>
        <w:tc>
          <w:tcPr>
            <w:tcW w:type="dxa" w:w="4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Leaves 234.4 kg of fuel to 1,000 kg MTOW</w:t>
            </w:r>
          </w:p>
        </w:tc>
      </w:tr>
      <w:tr>
        <w:trPr>
          <w:tblHeader w:val="false"/>
        </w:trPr>
        <w:tc>
          <w:tcPr>
            <w:tcW w:type="dxa" w:w="44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Design mass growth allowance</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31.0</w:t>
            </w:r>
          </w:p>
        </w:tc>
        <w:tc>
          <w:tcPr>
            <w:tcW w:type="dxa" w:w="4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4 percent, held against fuel; see Section 2.7</w:t>
            </w:r>
          </w:p>
        </w:tc>
      </w:tr>
    </w:tbl>
    <w:p>
      <w:pPr>
        <w:spacing w:after="200" w:before="60"/>
      </w:pPr>
      <w:r>
        <w:rPr>
          <w:rFonts w:ascii="Calibri" w:cs="Calibri" w:eastAsia="Calibri" w:hAnsi="Calibri"/>
          <w:i/>
          <w:iCs/>
          <w:color w:val="6B5A4E"/>
          <w:sz w:val="17"/>
          <w:szCs w:val="17"/>
        </w:rPr>
        <w:t xml:space="preserve">Table 7: Empty-mass budget, v1.5. Every line carries a real part class with a vendor in the bill of materials. The treatment system line rises from 85 kg in v1.1 to 141 kg here, and Section 5 itemises the difference.</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3: Left, the empty-mass budget by subsystem. Right, allocation of the 1,000 kg maximum takeoff weight. The powerplant and its fuel system take 272 kg, and fuel takes a further 234 kg, so half the aircraft exists to keep the other half aloft for six hours.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4. Hybrid Power System</w:t>
      </w:r>
    </w:p>
    <w:p>
      <w:pPr>
        <w:pStyle w:val="Heading2"/>
        <w:spacing w:after="110" w:before="240"/>
      </w:pPr>
      <w:r>
        <w:rPr>
          <w:rFonts w:ascii="Calibri" w:cs="Calibri" w:eastAsia="Calibri" w:hAnsi="Calibri"/>
          <w:b/>
          <w:bCs/>
          <w:color w:val="3A2E28"/>
          <w:sz w:val="24"/>
          <w:szCs w:val="24"/>
        </w:rPr>
        <w:t xml:space="preserve">4.1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The E6 is a series hybrid. Neither engine touches a rotor. Each Rotax 916 iS drives an axial-flux permanent-magnet generator through a 1.70:1 toothed-belt step-up from the propeller flange, and each generator feeds the shared 800 V DC bus through an active rectifier. The bus powers the eight propulsion controllers, a 28 V payload converter, the treatment source bay, and the buffer battery. This architecture decouples engine speed from rotor speed, lets each engine run at its most efficient operating point, and gives the flight controller instantaneous electric torque response. The Skyfront Perimeter 8 flies this exact architecture to world-record endurance, and the E6 scales it by a factor of roughly thirty.</w:t>
      </w:r>
    </w:p>
    <w:p>
      <w:pPr>
        <w:pStyle w:val="Heading2"/>
        <w:spacing w:after="110" w:before="240"/>
      </w:pPr>
      <w:r>
        <w:rPr>
          <w:rFonts w:ascii="Calibri" w:cs="Calibri" w:eastAsia="Calibri" w:hAnsi="Calibri"/>
          <w:b/>
          <w:bCs/>
          <w:color w:val="3A2E28"/>
          <w:sz w:val="24"/>
          <w:szCs w:val="24"/>
        </w:rPr>
        <w:t xml:space="preserve">4.2 Engines and Health Monitoring</w:t>
      </w:r>
    </w:p>
    <w:p>
      <w:pPr>
        <w:spacing w:after="120" w:before="60" w:line="276"/>
        <w:jc w:val="left"/>
      </w:pPr>
      <w:r>
        <w:rPr>
          <w:rFonts w:ascii="Calibri" w:cs="Calibri" w:eastAsia="Calibri" w:hAnsi="Calibri"/>
          <w:b w:val="false"/>
          <w:bCs w:val="false"/>
          <w:i w:val="false"/>
          <w:iCs w:val="false"/>
          <w:color w:val="3A2E28"/>
          <w:sz w:val="20"/>
          <w:szCs w:val="20"/>
        </w:rPr>
        <w:t xml:space="preserve">The Rotax 916 iS delivers 101 kW maximum continuous and 117 kW for five minutes at takeoff from a turbocharged, intercooled, fuel-injected 1,352 cm3 four-cylinder weighing 85.8 kg dry with a full-authority digital engine control system, redundant dual electronic ignition, and a 2,000-hour time between overhauls. Two of them supply 202 kW continuous. At the design point the aircraft draws 161.8 kW of shaft power at full treatment duty, loading each engine to 80.1 percent of continuous rating, and 153.6 kW in hover, 76.0 percent each. The turbochargers hold full takeoff power to 15,000 ft and permit operation to a 23,000 ft ceiling, which covers every fire-prone plateau in western Canada with margin. Both engines burn 91 AKI mogas or 100LL avgas, available at every regional airport.</w:t>
      </w:r>
    </w:p>
    <w:p>
      <w:pPr>
        <w:spacing w:after="120" w:before="60" w:line="276"/>
        <w:jc w:val="left"/>
      </w:pPr>
      <w:r>
        <w:rPr>
          <w:rFonts w:ascii="Calibri" w:cs="Calibri" w:eastAsia="Calibri" w:hAnsi="Calibri"/>
          <w:b w:val="false"/>
          <w:bCs w:val="false"/>
          <w:i w:val="false"/>
          <w:iCs w:val="false"/>
          <w:color w:val="3A2E28"/>
          <w:sz w:val="20"/>
          <w:szCs w:val="20"/>
        </w:rPr>
        <w:t xml:space="preserve">Version 1.1 credited the 914 UL with 86 kW continuous, which is neither its takeoff rating of 84.8 kW nor its continuous rating of 73.5 kW, and described it as fuel injected when it runs dual Bing constant-depression carburettors. Both statements enter the correction register as items C-2 and C-3, and the change of powerplant follows directly from them.</w:t>
      </w:r>
    </w:p>
    <w:p>
      <w:pPr>
        <w:spacing w:after="120" w:before="60" w:line="276"/>
        <w:jc w:val="left"/>
      </w:pPr>
      <w:r>
        <w:rPr>
          <w:rFonts w:ascii="Calibri" w:cs="Calibri" w:eastAsia="Calibri" w:hAnsi="Calibri"/>
          <w:b w:val="false"/>
          <w:bCs w:val="false"/>
          <w:i w:val="false"/>
          <w:iCs w:val="false"/>
          <w:color w:val="3A2E28"/>
          <w:sz w:val="20"/>
          <w:szCs w:val="20"/>
        </w:rPr>
        <w:t xml:space="preserve">Engine condition monitoring builds on the FADEC data stream rather than duplicating it. The 916 iS engine control units publish per-cylinder exhaust gas temperature, manifold pressure, fuel trim, and fault codes on the engine data bus; a bridge unit logs those channels alongside cylinder-head temperature, oil pressure and temperature trends, and a triaxial vibration sensor on each crankcase feeding bearing-wear spectral analysis. The ground station displays trend pages, any channel crossing its amber band triggers a sortie-end recommendation, and a red band commands immediate descent. This data stream also feeds the maintenance reserve model in Section 18.</w:t>
      </w:r>
    </w:p>
    <w:p>
      <w:pPr>
        <w:pStyle w:val="Heading2"/>
        <w:spacing w:after="110" w:before="240"/>
      </w:pPr>
      <w:r>
        <w:rPr>
          <w:rFonts w:ascii="Calibri" w:cs="Calibri" w:eastAsia="Calibri" w:hAnsi="Calibri"/>
          <w:b/>
          <w:bCs/>
          <w:color w:val="3A2E28"/>
          <w:sz w:val="24"/>
          <w:szCs w:val="24"/>
        </w:rPr>
        <w:t xml:space="preserve">4.3 Generator Drive</w:t>
      </w:r>
    </w:p>
    <w:p>
      <w:pPr>
        <w:spacing w:after="120" w:before="60" w:line="276"/>
        <w:jc w:val="left"/>
      </w:pPr>
      <w:r>
        <w:rPr>
          <w:rFonts w:ascii="Calibri" w:cs="Calibri" w:eastAsia="Calibri" w:hAnsi="Calibri"/>
          <w:b w:val="false"/>
          <w:bCs w:val="false"/>
          <w:i w:val="false"/>
          <w:iCs w:val="false"/>
          <w:color w:val="3A2E28"/>
          <w:sz w:val="20"/>
          <w:szCs w:val="20"/>
        </w:rPr>
        <w:t xml:space="preserve">The generator selection is set by torque at the available shaft speed, which is the constraint v1.1 did not state. The Rotax propeller flange turns 2,264 rpm at maximum continuous engine speed through the integral 2.43:1 reduction gearbox. An EMRAX 268 class axial-flux machine weighs 22 kg and sustains roughly 250 Nm continuous, so driven directly off the flange it produces only 59 kW, which is where the v1.1 figure of a 60 kW generator class originates and why that figure does not meet the corrected load.</w:t>
      </w:r>
    </w:p>
    <w:p>
      <w:pPr>
        <w:spacing w:after="120" w:before="60" w:line="276"/>
        <w:jc w:val="left"/>
      </w:pPr>
      <w:r>
        <w:rPr>
          <w:rFonts w:ascii="Calibri" w:cs="Calibri" w:eastAsia="Calibri" w:hAnsi="Calibri"/>
          <w:b w:val="false"/>
          <w:bCs w:val="false"/>
          <w:i w:val="false"/>
          <w:iCs w:val="false"/>
          <w:color w:val="3A2E28"/>
          <w:sz w:val="20"/>
          <w:szCs w:val="20"/>
        </w:rPr>
        <w:t xml:space="preserve">Version 1.5 inserts a 1.70:1 toothed-belt step-up between the propeller flange and the generator, running the machine at 3,850 rpm and lifting continuous output to 100 kW electrical, matched to the engine. The belt drive weighs 4 kg, costs 2 percent efficiency, and is standard industrial hardware with a defined service interval. Each generator carries an active rectifier weighing 8 kg with power-factor control and a controlled charge characteristic into the bus and battery.</w:t>
      </w:r>
    </w:p>
    <w:p>
      <w:pPr>
        <w:pStyle w:val="Heading2"/>
        <w:spacing w:after="110" w:before="240"/>
      </w:pPr>
      <w:r>
        <w:rPr>
          <w:rFonts w:ascii="Calibri" w:cs="Calibri" w:eastAsia="Calibri" w:hAnsi="Calibri"/>
          <w:b/>
          <w:bCs/>
          <w:color w:val="3A2E28"/>
          <w:sz w:val="24"/>
          <w:szCs w:val="24"/>
        </w:rPr>
        <w:t xml:space="preserve">4.4 The 800 V DC Bus and Electrical Design</w:t>
      </w:r>
    </w:p>
    <w:p>
      <w:pPr>
        <w:spacing w:after="120" w:before="60" w:line="276"/>
        <w:jc w:val="left"/>
      </w:pPr>
      <w:r>
        <w:rPr>
          <w:rFonts w:ascii="Calibri" w:cs="Calibri" w:eastAsia="Calibri" w:hAnsi="Calibri"/>
          <w:b w:val="false"/>
          <w:bCs w:val="false"/>
          <w:i w:val="false"/>
          <w:iCs w:val="false"/>
          <w:color w:val="3A2E28"/>
          <w:sz w:val="20"/>
          <w:szCs w:val="20"/>
        </w:rPr>
        <w:t xml:space="preserve">The bus runs 800 V nominal, resolving the v1.1 inconsistency between a 400 V bus in Section 4 and an 800 V tether feed in Section 12. At the 147.6 kW design-point load, 800 V draws 185 A, against 369 A at 400 V, which removes roughly 9 kg of conductor from the airframe and halves resistive loss in the distribution. The higher voltage brings three design obligations that the document states rather than assumes.</w:t>
      </w:r>
    </w:p>
    <w:p>
      <w:pPr>
        <w:pStyle w:val="ListParagraph"/>
        <w:numPr>
          <w:ilvl w:val="0"/>
          <w:numId w:val="2"/>
        </w:numPr>
        <w:spacing w:after="70" w:before="40" w:line="264"/>
      </w:pPr>
      <w:r>
        <w:rPr>
          <w:rFonts w:ascii="Calibri" w:cs="Calibri" w:eastAsia="Calibri" w:hAnsi="Calibri"/>
          <w:color w:val="3A2E28"/>
          <w:sz w:val="20"/>
          <w:szCs w:val="20"/>
        </w:rPr>
        <w:t xml:space="preserve">Insulation coordination at altitude: air density falls with altitude and Paschen behaviour reduces breakdown margin, so every 800 V creepage and clearance dimension is sized for the 23,000 ft engine ceiling rather than for sea level, and all high-voltage joints are potted or sealed rather than relying on air gap alone.</w:t>
      </w:r>
    </w:p>
    <w:p>
      <w:pPr>
        <w:pStyle w:val="ListParagraph"/>
        <w:numPr>
          <w:ilvl w:val="0"/>
          <w:numId w:val="2"/>
        </w:numPr>
        <w:spacing w:after="70" w:before="40" w:line="264"/>
      </w:pPr>
      <w:r>
        <w:rPr>
          <w:rFonts w:ascii="Calibri" w:cs="Calibri" w:eastAsia="Calibri" w:hAnsi="Calibri"/>
          <w:color w:val="3A2E28"/>
          <w:sz w:val="20"/>
          <w:szCs w:val="20"/>
        </w:rPr>
        <w:t xml:space="preserve">Fault energy management: the bus carries redundant main contactors with pre-charge, per-branch fusing coordinated so that a station fault clears the branch and not the bus, and an insulation-monitoring device that trips an advisory on the first ground fault rather than waiting for the second.</w:t>
      </w:r>
    </w:p>
    <w:p>
      <w:pPr>
        <w:pStyle w:val="ListParagraph"/>
        <w:numPr>
          <w:ilvl w:val="0"/>
          <w:numId w:val="2"/>
        </w:numPr>
        <w:spacing w:after="70" w:before="40" w:line="264"/>
      </w:pPr>
      <w:r>
        <w:rPr>
          <w:rFonts w:ascii="Calibri" w:cs="Calibri" w:eastAsia="Calibri" w:hAnsi="Calibri"/>
          <w:color w:val="3A2E28"/>
          <w:sz w:val="20"/>
          <w:szCs w:val="20"/>
        </w:rPr>
        <w:t xml:space="preserve">Electromagnetic compatibility: silicon-carbide switching at 800 V is a broadband noise source sitting a few metres from an optical emission spectrometer and a 2.3 GHz command link, so the power stage runs shielded twisted conductors, common-mode chokes at every controller, and a single-point bonding scheme, with an EMI survey as a Stage 4 assembly gate.</w:t>
      </w:r>
    </w:p>
    <w:p>
      <w:pPr>
        <w:pStyle w:val="Heading2"/>
        <w:spacing w:after="110" w:before="240"/>
      </w:pPr>
      <w:r>
        <w:rPr>
          <w:rFonts w:ascii="Calibri" w:cs="Calibri" w:eastAsia="Calibri" w:hAnsi="Calibri"/>
          <w:b/>
          <w:bCs/>
          <w:color w:val="3A2E28"/>
          <w:sz w:val="24"/>
          <w:szCs w:val="24"/>
        </w:rPr>
        <w:t xml:space="preserve">4.5 Buffer Battery</w:t>
      </w:r>
    </w:p>
    <w:p>
      <w:pPr>
        <w:spacing w:after="120" w:before="60" w:line="276"/>
        <w:jc w:val="left"/>
      </w:pPr>
      <w:r>
        <w:rPr>
          <w:rFonts w:ascii="Calibri" w:cs="Calibri" w:eastAsia="Calibri" w:hAnsi="Calibri"/>
          <w:b w:val="false"/>
          <w:bCs w:val="false"/>
          <w:i w:val="false"/>
          <w:iCs w:val="false"/>
          <w:color w:val="3A2E28"/>
          <w:sz w:val="20"/>
          <w:szCs w:val="20"/>
        </w:rPr>
        <w:t xml:space="preserve">Eight kilowatt-hours of stored energy on an aircraft this size is not a convenience, it is the only thing between a double engine failure and an uncontrolled descent, and v1.1 sized it on two optimistic assumptions. It counted nameplate energy rather than usable energy, and it wired eight packs as a single series string, in which one cell failure removes the entire reserve.</w:t>
      </w:r>
    </w:p>
    <w:p>
      <w:pPr>
        <w:spacing w:after="120" w:before="60" w:line="276"/>
        <w:jc w:val="left"/>
      </w:pPr>
      <w:r>
        <w:rPr>
          <w:rFonts w:ascii="Calibri" w:cs="Calibri" w:eastAsia="Calibri" w:hAnsi="Calibri"/>
          <w:b w:val="false"/>
          <w:bCs w:val="false"/>
          <w:i w:val="false"/>
          <w:iCs w:val="false"/>
          <w:color w:val="3A2E28"/>
          <w:sz w:val="20"/>
          <w:szCs w:val="20"/>
        </w:rPr>
        <w:t xml:space="preserve">Version 1.5 specifies 9.0 kWh nominal in two electrically independent 800 V strings of 4.5 kWh each, every string carrying its own management electronics, contactor, and fusing, and either string alone capable of carrying the full descent profile. Usable energy is 8.1 kWh at a 90 percent depth of discharge, which is the figure the endurance and reserve calculations use. Pack-level energy density is 175 Wh/kg including management, contactors, and enclosure, giving 51.4 kg.</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200"/>
        <w:gridCol w:w="2900"/>
        <w:gridCol w:w="2980"/>
      </w:tblGrid>
      <w:tr>
        <w:trPr>
          <w:tblHeader/>
        </w:trPr>
        <w:tc>
          <w:tcPr>
            <w:tcW w:type="dxa" w:w="4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Condition</w:t>
            </w:r>
          </w:p>
        </w:tc>
        <w:tc>
          <w:tcPr>
            <w:tcW w:type="dxa" w:w="2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Bus load</w:t>
            </w:r>
          </w:p>
        </w:tc>
        <w:tc>
          <w:tcPr>
            <w:tcW w:type="dxa" w:w="298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Reserve duration</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Full hover power at 1,000 kg MTOW</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140.1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 minutes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Reduced-power descent profile at MTOW</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84.1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 minutes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Full hover power near empty mass</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104.0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4.7 minutes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Reduced-power descent profile near empty mass</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62.4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 minutes</w:t>
            </w:r>
          </w:p>
        </w:tc>
      </w:tr>
    </w:tbl>
    <w:p>
      <w:pPr>
        <w:spacing w:after="200" w:before="60"/>
      </w:pPr>
      <w:r>
        <w:rPr>
          <w:rFonts w:ascii="Calibri" w:cs="Calibri" w:eastAsia="Calibri" w:hAnsi="Calibri"/>
          <w:i/>
          <w:iCs/>
          <w:color w:val="6B5A4E"/>
          <w:sz w:val="17"/>
          <w:szCs w:val="17"/>
        </w:rPr>
        <w:t xml:space="preserve">Table 8: Buffer battery reserve on 8.1 kWh usable energy. The descent profile is the case the emergency logic actually flies. Peak discharge at full hover power is 19.5 C at pack level, inside the continuous rating of the specified cells, and the two-string architecture halves per-string current.</w:t>
      </w:r>
    </w:p>
    <w:p>
      <w:pPr>
        <w:spacing w:after="120" w:before="60" w:line="276"/>
        <w:jc w:val="left"/>
      </w:pPr>
      <w:r>
        <w:rPr>
          <w:rFonts w:ascii="Calibri" w:cs="Calibri" w:eastAsia="Calibri" w:hAnsi="Calibri"/>
          <w:b w:val="false"/>
          <w:bCs w:val="false"/>
          <w:i w:val="false"/>
          <w:iCs w:val="false"/>
          <w:color w:val="3A2E28"/>
          <w:sz w:val="20"/>
          <w:szCs w:val="20"/>
        </w:rPr>
        <w:t xml:space="preserve">The reserve buys enough time for a go-around after a rejected approach, a powered transit to a pre-surveyed landing zone, or a controlled descent from any point in the mission profile. Treatment operations at 4 m above ground level make this reserve generous; transit operations lean on it hardest, and the landing-zone finder of Section 8.2 exists precisely to spend it well. Each string sits in a vented, thermally isolated bay with a burst path directed away from the fuel tanks and away from the source bay, and pack temperature is a monitored channel with its own amber and red bands.</w:t>
      </w:r>
    </w:p>
    <w:p>
      <w:pPr>
        <w:pStyle w:val="Heading2"/>
        <w:spacing w:after="110" w:before="240"/>
      </w:pPr>
      <w:r>
        <w:rPr>
          <w:rFonts w:ascii="Calibri" w:cs="Calibri" w:eastAsia="Calibri" w:hAnsi="Calibri"/>
          <w:b/>
          <w:bCs/>
          <w:color w:val="3A2E28"/>
          <w:sz w:val="24"/>
          <w:szCs w:val="24"/>
        </w:rPr>
        <w:t xml:space="preserve">4.6 Fuel System with Jettison</w:t>
      </w:r>
    </w:p>
    <w:p>
      <w:pPr>
        <w:spacing w:after="120" w:before="60" w:line="276"/>
        <w:jc w:val="left"/>
      </w:pPr>
      <w:r>
        <w:rPr>
          <w:rFonts w:ascii="Calibri" w:cs="Calibri" w:eastAsia="Calibri" w:hAnsi="Calibri"/>
          <w:b w:val="false"/>
          <w:bCs w:val="false"/>
          <w:i w:val="false"/>
          <w:iCs w:val="false"/>
          <w:color w:val="3A2E28"/>
          <w:sz w:val="20"/>
          <w:szCs w:val="20"/>
        </w:rPr>
        <w:t xml:space="preserve">Two 170 L crashworthy bladder tanks sit low on the centre frame either side of the spine, each with its own pump, filter, capacitive quantity probe, and crossfeed valve, feeding either engine from either tank. Full extended-range load is 326 L of the 340 L installed capacity, leaving 14 L of unusable and expansion volume. The fuel system burns both tanks on a balanced schedule to halve the centre-of-gravity shift, and the quantity probes plus fuel-flow telemetry feed the endurance estimator: the ground station displays remaining fuel in kilograms, time to exhaustion at current power, and fuel required to return with reserve, as one continuous time-to-Bingo readout that reflects the mass-integrated model of Section 2.3 rather than a constant-rate approximation.</w:t>
      </w:r>
    </w:p>
    <w:p>
      <w:pPr>
        <w:spacing w:after="120" w:before="60" w:line="276"/>
        <w:jc w:val="left"/>
      </w:pPr>
      <w:r>
        <w:rPr>
          <w:rFonts w:ascii="Calibri" w:cs="Calibri" w:eastAsia="Calibri" w:hAnsi="Calibri"/>
          <w:b w:val="false"/>
          <w:bCs w:val="false"/>
          <w:i w:val="false"/>
          <w:iCs w:val="false"/>
          <w:color w:val="3A2E28"/>
          <w:sz w:val="20"/>
          <w:szCs w:val="20"/>
        </w:rPr>
        <w:t xml:space="preserve">Gravity dump valves on each tank shed up to 260 L in under three minutes. The operations manual restricts dumping to altitudes above 50 m above ground level, clear of the treatment corridor, personnel, and any fire edge, so the vapour disperses before reaching an ignition source. The system exists for one scenario: an impending forced landing, where arriving 190 kg lighter at a fraction of the fuel load cuts both impact energy and post-crash fire risk substantially. The frangible tank design remains as the passive backstop.</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5. Laser Carbonization Array</w:t>
      </w:r>
    </w:p>
    <w:p>
      <w:pPr>
        <w:pStyle w:val="Heading2"/>
        <w:spacing w:after="110" w:before="240"/>
      </w:pPr>
      <w:r>
        <w:rPr>
          <w:rFonts w:ascii="Calibri" w:cs="Calibri" w:eastAsia="Calibri" w:hAnsi="Calibri"/>
          <w:b/>
          <w:bCs/>
          <w:color w:val="3A2E28"/>
          <w:sz w:val="24"/>
          <w:szCs w:val="24"/>
        </w:rPr>
        <w:t xml:space="preserve">5.1 Sources and Electrical Interface</w:t>
      </w:r>
    </w:p>
    <w:p>
      <w:pPr>
        <w:spacing w:after="120" w:before="60" w:line="276"/>
        <w:jc w:val="left"/>
      </w:pPr>
      <w:r>
        <w:rPr>
          <w:rFonts w:ascii="Calibri" w:cs="Calibri" w:eastAsia="Calibri" w:hAnsi="Calibri"/>
          <w:b w:val="false"/>
          <w:bCs w:val="false"/>
          <w:i w:val="false"/>
          <w:iCs w:val="false"/>
          <w:color w:val="3A2E28"/>
          <w:sz w:val="20"/>
          <w:szCs w:val="20"/>
        </w:rPr>
        <w:t xml:space="preserve">Version 1.6 supersedes the fixed flood-head architecture this section describes. Section 22 records correction C-16, which finds that the 6.43 kW/m2 this architecture delivers holds a fuel bed at 237 C in still air and 125 C under the aircraft downwash, and neither figure reaches the 300 C at which pyrolysis begins. Section 22.3 replaces the flood heads with galvanometer scanning heads at 113.2 kW/m2 instantaneous across a 2.80 m swath. The source specification, bay conditioning, optical interface, and safety interlocks of this section carry forward unchanged.</w:t>
      </w:r>
    </w:p>
    <w:p>
      <w:pPr>
        <w:spacing w:after="120" w:before="60" w:line="276"/>
        <w:jc w:val="left"/>
      </w:pPr>
      <w:r>
        <w:rPr>
          <w:rFonts w:ascii="Calibri" w:cs="Calibri" w:eastAsia="Calibri" w:hAnsi="Calibri"/>
          <w:b w:val="false"/>
          <w:bCs w:val="false"/>
          <w:i w:val="false"/>
          <w:iCs w:val="false"/>
          <w:color w:val="3A2E28"/>
          <w:sz w:val="20"/>
          <w:szCs w:val="20"/>
        </w:rPr>
        <w:t xml:space="preserve">Two 2 kW continuous-wave fibre lasers at 1080 nm form the treatment array. The reference part is the Raycus RFL-C2000S class in its OEM direct-current-input, water-cooled configuration. Catalogue mass for the standard cabinet version is below 28 kg; the OEM variant used here strips the industrial enclosure and the internal mains power supply and is carried at 22 kg each. Version 1.1 carried these sources at 18 kg each, which correction C-4 records, and the ten-kilogram-per-source difference is a material part of why the treatment system mass rises from 85 to 141 kg.</w:t>
      </w:r>
    </w:p>
    <w:p>
      <w:pPr>
        <w:spacing w:after="120" w:before="60" w:line="276"/>
        <w:jc w:val="left"/>
      </w:pPr>
      <w:r>
        <w:rPr>
          <w:rFonts w:ascii="Calibri" w:cs="Calibri" w:eastAsia="Calibri" w:hAnsi="Calibri"/>
          <w:b w:val="false"/>
          <w:bCs w:val="false"/>
          <w:i w:val="false"/>
          <w:iCs w:val="false"/>
          <w:color w:val="3A2E28"/>
          <w:sz w:val="20"/>
          <w:szCs w:val="20"/>
        </w:rPr>
        <w:t xml:space="preserve">The electrical interface is a design item that v1.1 did not address. The catalogue source accepts 220 V alternating current at 50 or 60 Hz and draws 6.0 kW at full output. An aircraft with an 800 V direct-current bus and no alternating-current distribution cannot feed that input without an inverter, and an inverter of this rating adds mass and a failure mode for no benefit. Fibre lasers rectify their input internally in any case, so the E6 specifies the direct-current-input OEM variant and connects the sources to the 800 V bus through a filtered, fused, contactor-isolated feed with its own pre-charge. Wall-plug efficiency is 33 percent, so each source draws 6.01 kW for 2.0 kW of optical output at continuous rating, and 2.70 kW at the 45 percent pulse duty the treatment controller holds.</w:t>
      </w:r>
    </w:p>
    <w:p>
      <w:pPr>
        <w:pStyle w:val="Heading2"/>
        <w:spacing w:after="110" w:before="240"/>
      </w:pPr>
      <w:r>
        <w:rPr>
          <w:rFonts w:ascii="Calibri" w:cs="Calibri" w:eastAsia="Calibri" w:hAnsi="Calibri"/>
          <w:b/>
          <w:bCs/>
          <w:color w:val="3A2E28"/>
          <w:sz w:val="24"/>
          <w:szCs w:val="24"/>
        </w:rPr>
        <w:t xml:space="preserve">5.2 Beam Delivery and Optics</w:t>
      </w:r>
    </w:p>
    <w:p>
      <w:pPr>
        <w:spacing w:after="120" w:before="60" w:line="276"/>
        <w:jc w:val="left"/>
      </w:pPr>
      <w:r>
        <w:rPr>
          <w:rFonts w:ascii="Calibri" w:cs="Calibri" w:eastAsia="Calibri" w:hAnsi="Calibri"/>
          <w:b w:val="false"/>
          <w:bCs w:val="false"/>
          <w:i w:val="false"/>
          <w:iCs w:val="false"/>
          <w:color w:val="3A2E28"/>
          <w:sz w:val="20"/>
          <w:szCs w:val="20"/>
        </w:rPr>
        <w:t xml:space="preserve">Each source feeds its treatment head through a 5 m armoured QBH delivery fibre. Version 1.1 specified 20 m of fibre for a source and head mounted in the same pod, which correction C-11 records; the corrected length reflects the actual routing from the fixed source bay through the turret azimuth service loop to the head.</w:t>
      </w:r>
    </w:p>
    <w:p>
      <w:pPr>
        <w:spacing w:after="120" w:before="60" w:line="276"/>
        <w:jc w:val="left"/>
      </w:pPr>
      <w:r>
        <w:rPr>
          <w:rFonts w:ascii="Calibri" w:cs="Calibri" w:eastAsia="Calibri" w:hAnsi="Calibri"/>
          <w:b w:val="false"/>
          <w:bCs w:val="false"/>
          <w:i w:val="false"/>
          <w:iCs w:val="false"/>
          <w:color w:val="3A2E28"/>
          <w:sz w:val="20"/>
          <w:szCs w:val="20"/>
        </w:rPr>
        <w:t xml:space="preserve">The optics are a 500 mm focal-length class matched to the 3.5 to 4.5 m treatment standoff. Each head carries a collimator and a cylindrical top-hat homogeniser that forms a line footprint of 0.70 m by 0.20 m at the 4.0 m nominal standoff. The two footprints run adjacent rather than overlapping, so the pair lays a treated corridor 1.40 m wide, and the lead and trail belts verify and backstop one another through the staggered-redundancy doctrine the ground variants established. Version 1.1 stated a 1.75 m corridor from two 0.70 m belts, which correction C-6 records as an arithmetic error.</w:t>
      </w:r>
    </w:p>
    <w:p>
      <w:pPr>
        <w:spacing w:after="120" w:before="60" w:line="276"/>
        <w:jc w:val="left"/>
      </w:pPr>
      <w:r>
        <w:rPr>
          <w:rFonts w:ascii="Calibri" w:cs="Calibri" w:eastAsia="Calibri" w:hAnsi="Calibri"/>
          <w:b w:val="false"/>
          <w:bCs w:val="false"/>
          <w:i w:val="false"/>
          <w:iCs w:val="false"/>
          <w:color w:val="3A2E28"/>
          <w:sz w:val="20"/>
          <w:szCs w:val="20"/>
        </w:rPr>
        <w:t xml:space="preserve">Three optical tolerances govern the treatment and each carries a stated allowance.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2200"/>
        <w:gridCol w:w="49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Tolerance</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Allowance</w:t>
            </w:r>
          </w:p>
        </w:tc>
        <w:tc>
          <w:tcPr>
            <w:tcW w:type="dxa" w:w="4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 and control</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Standoff hold error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or minus 0.5 m about 4.0 m nominal</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Footprint area varies as the square of standoff, so a 0.5 m error changes delivered irradiance by 27 percent. The lidar-radar fused altitude hold is specified to plus or minus 0.15 m in steady hover, and the dose controller corrects the residual by trimming dwell against measured altitude rather than assuming nominal.</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Depth of field of the homogenised line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or minus 0.35 m</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Beyond this the top-hat profile degrades toward a gaussian and the leading edge of the footprint over-irradiates. The altitude interlock and the dose controller both reference the same fused altitude, so a degraded profile and an incorrect dose cannot occur independently.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pointing error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or minus 0.2 degrees</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4.0 m slant this is 14 mm of footprint displacement, inside the 0.2 m patch depth. Pointing is closed on the lead thermal camera, which sees the actual footprint rather than the commanded one.</w:t>
            </w:r>
          </w:p>
        </w:tc>
      </w:tr>
    </w:tbl>
    <w:p>
      <w:pPr>
        <w:spacing w:after="200" w:before="60"/>
      </w:pPr>
      <w:r>
        <w:rPr>
          <w:rFonts w:ascii="Calibri" w:cs="Calibri" w:eastAsia="Calibri" w:hAnsi="Calibri"/>
          <w:i/>
          <w:iCs/>
          <w:color w:val="6B5A4E"/>
          <w:sz w:val="17"/>
          <w:szCs w:val="17"/>
        </w:rPr>
        <w:t xml:space="preserve">Table 9: Optical tolerance budget. Standoff error dominates, which is why the treatment altitude interlock and the dose controller share one fused altitude source.</w:t>
      </w:r>
    </w:p>
    <w:p>
      <w:pPr>
        <w:spacing w:after="120" w:before="60" w:line="276"/>
        <w:jc w:val="left"/>
      </w:pPr>
      <w:r>
        <w:rPr>
          <w:rFonts w:ascii="Calibri" w:cs="Calibri" w:eastAsia="Calibri" w:hAnsi="Calibri"/>
          <w:b w:val="false"/>
          <w:bCs w:val="false"/>
          <w:i w:val="false"/>
          <w:iCs w:val="false"/>
          <w:color w:val="3A2E28"/>
          <w:sz w:val="20"/>
          <w:szCs w:val="20"/>
        </w:rPr>
        <w:t xml:space="preserve">A pre-flight alignment check fires each head at low power onto a calibrated ground target before every sortie. The thermal camera confirms footprint geometry against the stored reference, and the sortie proceeds only on a pass. A failed footprint check grounds the laser stack and does not ground the aircraft, which continues to fly sensing and mapping sorties.</w:t>
      </w:r>
    </w:p>
    <w:p>
      <w:pPr>
        <w:pStyle w:val="Heading2"/>
        <w:spacing w:after="110" w:before="240"/>
      </w:pPr>
      <w:r>
        <w:rPr>
          <w:rFonts w:ascii="Calibri" w:cs="Calibri" w:eastAsia="Calibri" w:hAnsi="Calibri"/>
          <w:b/>
          <w:bCs/>
          <w:color w:val="3A2E28"/>
          <w:sz w:val="24"/>
          <w:szCs w:val="24"/>
        </w:rPr>
        <w:t xml:space="preserve">5.3 Treatment Turret and Modular Bay</w:t>
      </w:r>
    </w:p>
    <w:p>
      <w:pPr>
        <w:spacing w:after="120" w:before="60" w:line="276"/>
        <w:jc w:val="left"/>
      </w:pPr>
      <w:r>
        <w:rPr>
          <w:rFonts w:ascii="Calibri" w:cs="Calibri" w:eastAsia="Calibri" w:hAnsi="Calibri"/>
          <w:b w:val="false"/>
          <w:bCs w:val="false"/>
          <w:i w:val="false"/>
          <w:iCs w:val="false"/>
          <w:color w:val="3A2E28"/>
          <w:sz w:val="20"/>
          <w:szCs w:val="20"/>
        </w:rPr>
        <w:t xml:space="preserve">Version 1.1 hung the entire 85 kg treatment payload, sources included, on a three-axis gimbal with unrestricted azimuth rotation. That architecture asks a gimbal to slew the heaviest and most vibration-sensitive items on the aircraft, and it asks a rotary joint to pass 2 kW of laser power through unlimited rotation, which is exotic hardware at this power level. Correction C-13 records the architectural change.</w:t>
      </w:r>
    </w:p>
    <w:p>
      <w:pPr>
        <w:spacing w:after="120" w:before="60" w:line="276"/>
        <w:jc w:val="left"/>
      </w:pPr>
      <w:r>
        <w:rPr>
          <w:rFonts w:ascii="Calibri" w:cs="Calibri" w:eastAsia="Calibri" w:hAnsi="Calibri"/>
          <w:b w:val="false"/>
          <w:bCs w:val="false"/>
          <w:i w:val="false"/>
          <w:iCs w:val="false"/>
          <w:color w:val="3A2E28"/>
          <w:sz w:val="20"/>
          <w:szCs w:val="20"/>
        </w:rPr>
        <w:t xml:space="preserve">The sources, their drivers, the coolant loop, the compute stack, and the safety programmable logic controller sit in a fixed conditioned bay on the centre-frame vertical axis, mounted on elastomeric vibration-isolation cradles inside a sealed, temperature-controlled enclosure. Only the treatment turret moves: two collimator and homogeniser heads, two thermal cameras, the spectrometer fore-optic, two flame detectors, the multispectral camera, and the purge-air nozzles, totalling 26 kg. Azimuth travel is plus or minus 270 degrees on a fibre and cable service loop with an automatic rewind, which covers every practical corridor geometry without requiring a high-power optical rotary joint. Tilt is hard-stopped at 20 degrees off nadir on every azimuth, so the beam cone stays beneath the aircraft and the safety envelope of Section 11.1 holds unconditionally.</w:t>
      </w:r>
    </w:p>
    <w:p>
      <w:pPr>
        <w:spacing w:after="120" w:before="60" w:line="276"/>
        <w:jc w:val="left"/>
      </w:pPr>
      <w:r>
        <w:rPr>
          <w:rFonts w:ascii="Calibri" w:cs="Calibri" w:eastAsia="Calibri" w:hAnsi="Calibri"/>
          <w:b w:val="false"/>
          <w:bCs w:val="false"/>
          <w:i w:val="false"/>
          <w:iCs w:val="false"/>
          <w:color w:val="3A2E28"/>
          <w:sz w:val="20"/>
          <w:szCs w:val="20"/>
        </w:rPr>
        <w:t xml:space="preserve">Both the bay and the turret attach through tool-less quick-disconnect latches with blind-mate electrical connectors and self-sealing fluid couplings. A two-person crew swaps the complete treatment module in under fifteen minutes in the field, enabling a maintenance-module rotation, rapid configuration changes, and depot-level diagnostics without aircraft downtime. An emergency jettison function releases the source tray and turret together through a belly hatch on an independent actuator, shedding 120 kg and restoring the corresponding thrust margin ahead of a forced landing. The lower skin of both bay and turret is ablative carbon phenolic over a mineral-fibre liner, protecting sources and optics from their own plume and from ground radiant heat.</w:t>
      </w:r>
    </w:p>
    <w:p>
      <w:pPr>
        <w:pStyle w:val="Heading2"/>
        <w:spacing w:after="110" w:before="240"/>
      </w:pPr>
      <w:r>
        <w:rPr>
          <w:rFonts w:ascii="Calibri" w:cs="Calibri" w:eastAsia="Calibri" w:hAnsi="Calibri"/>
          <w:b/>
          <w:bCs/>
          <w:color w:val="3A2E28"/>
          <w:sz w:val="24"/>
          <w:szCs w:val="24"/>
        </w:rPr>
        <w:t xml:space="preserve">5.4 Environmental Qualification of the Sources</w:t>
      </w:r>
    </w:p>
    <w:p>
      <w:pPr>
        <w:spacing w:after="120" w:before="60" w:line="276"/>
        <w:jc w:val="left"/>
      </w:pPr>
      <w:r>
        <w:rPr>
          <w:rFonts w:ascii="Calibri" w:cs="Calibri" w:eastAsia="Calibri" w:hAnsi="Calibri"/>
          <w:b w:val="false"/>
          <w:bCs w:val="false"/>
          <w:i w:val="false"/>
          <w:iCs w:val="false"/>
          <w:color w:val="3A2E28"/>
          <w:sz w:val="20"/>
          <w:szCs w:val="20"/>
        </w:rPr>
        <w:t xml:space="preserve">The manufacturer specifies this source class for installation on a flat surface free of vibration, at ambient temperatures between 10 and 40 degrees C. An octocopter with two piston engines satisfies neither condition without engineering, and the honest position is that qualification is a programme risk carried openly rather than a specification that catalogue hardware already meets.</w:t>
      </w:r>
    </w:p>
    <w:p>
      <w:pPr>
        <w:spacing w:after="120" w:before="60" w:line="276"/>
        <w:jc w:val="left"/>
      </w:pPr>
      <w:r>
        <w:rPr>
          <w:rFonts w:ascii="Calibri" w:cs="Calibri" w:eastAsia="Calibri" w:hAnsi="Calibri"/>
          <w:b w:val="false"/>
          <w:bCs w:val="false"/>
          <w:i w:val="false"/>
          <w:iCs w:val="false"/>
          <w:color w:val="3A2E28"/>
          <w:sz w:val="20"/>
          <w:szCs w:val="20"/>
        </w:rPr>
        <w:t xml:space="preserve">No procurable aerospace-qualified 2 kW fibre laser exists as a catalogue item at defensible mass and cost. Military airborne laser hardware is custom defence procurement an order of magnitude heavier and dearer. The programme therefore qualifies the compact industrial source for this environment across five measures.</w:t>
      </w:r>
    </w:p>
    <w:p>
      <w:pPr>
        <w:pStyle w:val="ListParagraph"/>
        <w:numPr>
          <w:ilvl w:val="0"/>
          <w:numId w:val="2"/>
        </w:numPr>
        <w:spacing w:after="70" w:before="40" w:line="264"/>
      </w:pPr>
      <w:r>
        <w:rPr>
          <w:rFonts w:ascii="Calibri" w:cs="Calibri" w:eastAsia="Calibri" w:hAnsi="Calibri"/>
          <w:color w:val="3A2E28"/>
          <w:sz w:val="20"/>
          <w:szCs w:val="20"/>
        </w:rPr>
        <w:t xml:space="preserve">The sealed bay holds source inlet-face temperature between 15 and 35 degrees C across the full ambient envelope, verified in Phase 4 against controlled burns.</w:t>
      </w:r>
    </w:p>
    <w:p>
      <w:pPr>
        <w:pStyle w:val="ListParagraph"/>
        <w:numPr>
          <w:ilvl w:val="0"/>
          <w:numId w:val="2"/>
        </w:numPr>
        <w:spacing w:after="70" w:before="40" w:line="264"/>
      </w:pPr>
      <w:r>
        <w:rPr>
          <w:rFonts w:ascii="Calibri" w:cs="Calibri" w:eastAsia="Calibri" w:hAnsi="Calibri"/>
          <w:color w:val="3A2E28"/>
          <w:sz w:val="20"/>
          <w:szCs w:val="20"/>
        </w:rPr>
        <w:t xml:space="preserve">Elastomeric isolation cradles are tuned to attenuate engine-order content, with the crankcase vibration spectra measured in Phase 1 setting the isolator design rather than a generic assumption.</w:t>
      </w:r>
    </w:p>
    <w:p>
      <w:pPr>
        <w:pStyle w:val="ListParagraph"/>
        <w:numPr>
          <w:ilvl w:val="0"/>
          <w:numId w:val="2"/>
        </w:numPr>
        <w:spacing w:after="70" w:before="40" w:line="264"/>
      </w:pPr>
      <w:r>
        <w:rPr>
          <w:rFonts w:ascii="Calibri" w:cs="Calibri" w:eastAsia="Calibri" w:hAnsi="Calibri"/>
          <w:color w:val="3A2E28"/>
          <w:sz w:val="20"/>
          <w:szCs w:val="20"/>
        </w:rPr>
        <w:t xml:space="preserve">The populated bay passes random-vibration and thermal-cycling profiles drawn from MIL-STD-810H helicopter categories in Phase 5 testing, with alignment and full-power output verified through the qualification profile.</w:t>
      </w:r>
    </w:p>
    <w:p>
      <w:pPr>
        <w:pStyle w:val="ListParagraph"/>
        <w:numPr>
          <w:ilvl w:val="0"/>
          <w:numId w:val="2"/>
        </w:numPr>
        <w:spacing w:after="70" w:before="40" w:line="264"/>
      </w:pPr>
      <w:r>
        <w:rPr>
          <w:rFonts w:ascii="Calibri" w:cs="Calibri" w:eastAsia="Calibri" w:hAnsi="Calibri"/>
          <w:color w:val="3A2E28"/>
          <w:sz w:val="20"/>
          <w:szCs w:val="20"/>
        </w:rPr>
        <w:t xml:space="preserve">Dual sources provide graceful degradation: a single source failure halves throughput and does not end the sortie, and the corridor log records the reduced-width treatment for retreatment planning.</w:t>
      </w:r>
    </w:p>
    <w:p>
      <w:pPr>
        <w:pStyle w:val="ListParagraph"/>
        <w:numPr>
          <w:ilvl w:val="0"/>
          <w:numId w:val="2"/>
        </w:numPr>
        <w:spacing w:after="70" w:before="40" w:line="264"/>
      </w:pPr>
      <w:r>
        <w:rPr>
          <w:rFonts w:ascii="Calibri" w:cs="Calibri" w:eastAsia="Calibri" w:hAnsi="Calibri"/>
          <w:color w:val="3A2E28"/>
          <w:sz w:val="20"/>
          <w:szCs w:val="20"/>
        </w:rPr>
        <w:t xml:space="preserve">A complete spare source with collimator and optics rides in the field kit, and the modular bay makes field replacement realistic rather than notional.</w:t>
      </w:r>
    </w:p>
    <w:p>
      <w:pPr>
        <w:spacing w:after="120" w:before="60" w:line="276"/>
        <w:jc w:val="left"/>
      </w:pPr>
      <w:r>
        <w:rPr>
          <w:rFonts w:ascii="Calibri" w:cs="Calibri" w:eastAsia="Calibri" w:hAnsi="Calibri"/>
          <w:b w:val="false"/>
          <w:bCs w:val="false"/>
          <w:i w:val="false"/>
          <w:iCs w:val="false"/>
          <w:color w:val="3A2E28"/>
          <w:sz w:val="20"/>
          <w:szCs w:val="20"/>
        </w:rPr>
        <w:t xml:space="preserve">A vendor qualification programme for a fully hardened source enters the production-phase plan as a documented upgrade path. Procurement carries a second-source risk in parallel: this source family sits on the United States Bureau of Industry and Security Entity List as of 2021, which does not restrict Canadian purchase but does complicate any component transiting the United States, and the bill of materials names alternate 2 kW sources from other manufacturers against that risk.</w:t>
      </w:r>
    </w:p>
    <w:p>
      <w:pPr>
        <w:pStyle w:val="Heading2"/>
        <w:spacing w:after="110" w:before="240"/>
      </w:pPr>
      <w:r>
        <w:rPr>
          <w:rFonts w:ascii="Calibri" w:cs="Calibri" w:eastAsia="Calibri" w:hAnsi="Calibri"/>
          <w:b/>
          <w:bCs/>
          <w:color w:val="3A2E28"/>
          <w:sz w:val="24"/>
          <w:szCs w:val="24"/>
        </w:rPr>
        <w:t xml:space="preserve">5.5 What Stays on the Ground</w:t>
      </w:r>
    </w:p>
    <w:p>
      <w:pPr>
        <w:spacing w:after="120" w:before="60" w:line="276"/>
        <w:jc w:val="left"/>
      </w:pPr>
      <w:r>
        <w:rPr>
          <w:rFonts w:ascii="Calibri" w:cs="Calibri" w:eastAsia="Calibri" w:hAnsi="Calibri"/>
          <w:b w:val="false"/>
          <w:bCs w:val="false"/>
          <w:i w:val="false"/>
          <w:iCs w:val="false"/>
          <w:color w:val="3A2E28"/>
          <w:sz w:val="20"/>
          <w:szCs w:val="20"/>
        </w:rPr>
        <w:t xml:space="preserve">The Rugged v1.2 variant's 6 kW source and scanning head do not fit this airframe. Airborne moisture awareness arrives in a lighter form: a five-band multispectral camera maps fuel moisture indices across the corridor ahead of treatment, calibrated by retained ground-crew spot checks, and the dose controller adjusts dwell per patch against the resulting map. The treatment planner still assigns the E6 to dry fuel windows; the camera refines dose inside them. Section 9.3 quantifies why moisture matters: a rise from 8 to 20 percent fuel moisture content raises the thermodynamic process demand by 18 percent and the dose controller has to pay it.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6. Thermal Management</w:t>
      </w:r>
    </w:p>
    <w:p>
      <w:pPr>
        <w:pStyle w:val="Heading2"/>
        <w:spacing w:after="110" w:before="240"/>
      </w:pPr>
      <w:r>
        <w:rPr>
          <w:rFonts w:ascii="Calibri" w:cs="Calibri" w:eastAsia="Calibri" w:hAnsi="Calibri"/>
          <w:b/>
          <w:bCs/>
          <w:color w:val="3A2E28"/>
          <w:sz w:val="24"/>
          <w:szCs w:val="24"/>
        </w:rPr>
        <w:t xml:space="preserve">6.1 Heat Loads</w:t>
      </w:r>
    </w:p>
    <w:p>
      <w:pPr>
        <w:spacing w:after="120" w:before="60" w:line="276"/>
        <w:jc w:val="left"/>
      </w:pPr>
      <w:r>
        <w:rPr>
          <w:rFonts w:ascii="Calibri" w:cs="Calibri" w:eastAsia="Calibri" w:hAnsi="Calibri"/>
          <w:b w:val="false"/>
          <w:bCs w:val="false"/>
          <w:i w:val="false"/>
          <w:iCs w:val="false"/>
          <w:color w:val="3A2E28"/>
          <w:sz w:val="20"/>
          <w:szCs w:val="20"/>
        </w:rPr>
        <w:t xml:space="preserve">At 33 percent wall-plug efficiency, each source draws 6.01 kW and rejects 4.01 kW as heat at continuous full output. At the 45 percent pulse duty the treatment controller holds, each source draws 2.70 kW, emits 0.90 kW of optical power, and rejects 1.80 kW. Two sources plus driver and standby losses of 0.8 kW give a 4.41 kW loop heat load at full treatment duty, which is the figure the cooling system is sized to and the figure that enters the bus power budget of Table 3.</w:t>
      </w:r>
    </w:p>
    <w:p>
      <w:pPr>
        <w:pStyle w:val="Heading2"/>
        <w:spacing w:after="110" w:before="240"/>
      </w:pPr>
      <w:r>
        <w:rPr>
          <w:rFonts w:ascii="Calibri" w:cs="Calibri" w:eastAsia="Calibri" w:hAnsi="Calibri"/>
          <w:b/>
          <w:bCs/>
          <w:color w:val="3A2E28"/>
          <w:sz w:val="24"/>
          <w:szCs w:val="24"/>
        </w:rPr>
        <w:t xml:space="preserve">6.2 Coolant Loop and Heat Exchanger</w:t>
      </w:r>
    </w:p>
    <w:p>
      <w:pPr>
        <w:spacing w:after="120" w:before="60" w:line="276"/>
        <w:jc w:val="left"/>
      </w:pPr>
      <w:r>
        <w:rPr>
          <w:rFonts w:ascii="Calibri" w:cs="Calibri" w:eastAsia="Calibri" w:hAnsi="Calibri"/>
          <w:b w:val="false"/>
          <w:bCs w:val="false"/>
          <w:i w:val="false"/>
          <w:iCs w:val="false"/>
          <w:color w:val="3A2E28"/>
          <w:sz w:val="20"/>
          <w:szCs w:val="20"/>
        </w:rPr>
        <w:t xml:space="preserve">A compact liquid loop circulates a 50/50 glycol-water mix through the sources' cold plates and a plate heat exchanger mounted in a ram-air duct on the bay spine. At a specific heat of 3,500 J/kg K and a 6 K loop temperature rise, the 4.41 kW load requires 0.21 kg/s of coolant, which is 11.9 litres per minute through a 6 L system. Rotor downwash supplies the air side at hover and forward flight supplies it in transit, so the exchanger needs no dedicated fan in normal operation. At a 12 K air-side temperature rise the exchanger passes 0.365 kg/s of air, 0.30 m3/s by volume, which at the 9.6 m/s downwash velocity requires 311 cm2 of face area. A small ducted fan covers the ground-idle case, fed from the ground power unit during pre-flight so the main engines stay off until launch.</w:t>
      </w:r>
    </w:p>
    <w:p>
      <w:pPr>
        <w:spacing w:after="120" w:before="60" w:line="276"/>
        <w:jc w:val="left"/>
      </w:pPr>
      <w:r>
        <w:rPr>
          <w:rFonts w:ascii="Calibri" w:cs="Calibri" w:eastAsia="Calibri" w:hAnsi="Calibri"/>
          <w:b w:val="false"/>
          <w:bCs w:val="false"/>
          <w:i w:val="false"/>
          <w:iCs w:val="false"/>
          <w:color w:val="3A2E28"/>
          <w:sz w:val="20"/>
          <w:szCs w:val="20"/>
        </w:rPr>
        <w:t xml:space="preserve">The loop holds source coolant between 22 and 28 degrees C up to 35 degrees C ambient. Above that the treatment scheduler derates laser duty cycle in 10 percent steps, and the endurance model credits the reduced electrical load, so a hot-day derate lengthens endurance while it shortens throughput. Coolant temperature, flow, and pressure are monitored channels with amber and red bands, and a red band closes the shutters through the hardwired interlock chain rather than through software.</w:t>
      </w:r>
    </w:p>
    <w:p>
      <w:pPr>
        <w:pStyle w:val="Heading2"/>
        <w:spacing w:after="110" w:before="240"/>
      </w:pPr>
      <w:r>
        <w:rPr>
          <w:rFonts w:ascii="Calibri" w:cs="Calibri" w:eastAsia="Calibri" w:hAnsi="Calibri"/>
          <w:b/>
          <w:bCs/>
          <w:color w:val="3A2E28"/>
          <w:sz w:val="24"/>
          <w:szCs w:val="24"/>
        </w:rPr>
        <w:t xml:space="preserve">6.3 Optical Window Protection</w:t>
      </w:r>
    </w:p>
    <w:p>
      <w:pPr>
        <w:spacing w:after="120" w:before="60" w:line="276"/>
        <w:jc w:val="left"/>
      </w:pPr>
      <w:r>
        <w:rPr>
          <w:rFonts w:ascii="Calibri" w:cs="Calibri" w:eastAsia="Calibri" w:hAnsi="Calibri"/>
          <w:b w:val="false"/>
          <w:bCs w:val="false"/>
          <w:i w:val="false"/>
          <w:iCs w:val="false"/>
          <w:color w:val="3A2E28"/>
          <w:sz w:val="20"/>
          <w:szCs w:val="20"/>
        </w:rPr>
        <w:t xml:space="preserve">Filtered positive-pressure air curtains across the beam exits, the spectrometer fore-optics, and every camera window keep dust, ash, and downwash-lofted debris off the glass. The blower draws 0.4 kW and is a hotel load in Table 3. This approach replaces the aerodynamic ducting and ground-effect skirt that earlier reviews proposed, both of which analysis rejects: ducting eight rotors of this diameter adds prohibitive mass, and a skirt interacts dangerously with the ground at a 4 m standoff. Purge-air effectiveness is a Phase 4 exit criterion measured as optics fouling events per treatment hour, not as a qualitative assessment.</w:t>
      </w:r>
    </w:p>
    <w:p>
      <w:pPr>
        <w:pStyle w:val="Heading2"/>
        <w:spacing w:after="110" w:before="240"/>
      </w:pPr>
      <w:r>
        <w:rPr>
          <w:rFonts w:ascii="Calibri" w:cs="Calibri" w:eastAsia="Calibri" w:hAnsi="Calibri"/>
          <w:b/>
          <w:bCs/>
          <w:color w:val="3A2E28"/>
          <w:sz w:val="24"/>
          <w:szCs w:val="24"/>
        </w:rPr>
        <w:t xml:space="preserve">6.4 Engine Cooling</w:t>
      </w:r>
    </w:p>
    <w:p>
      <w:pPr>
        <w:spacing w:after="120" w:before="60" w:line="276"/>
        <w:jc w:val="left"/>
      </w:pPr>
      <w:r>
        <w:rPr>
          <w:rFonts w:ascii="Calibri" w:cs="Calibri" w:eastAsia="Calibri" w:hAnsi="Calibri"/>
          <w:b w:val="false"/>
          <w:bCs w:val="false"/>
          <w:i w:val="false"/>
          <w:iCs w:val="false"/>
          <w:color w:val="3A2E28"/>
          <w:sz w:val="20"/>
          <w:szCs w:val="20"/>
        </w:rPr>
        <w:t xml:space="preserve">Engine cooling follows standard Rotax practice with cowled liquid radiators and oil coolers fed from the downwash, sized to the manufacturer's published cooling-air mass flow at maximum continuous power with a hot-day margin. The 916 iS carries an intercooler in the turbocharger circuit which shares the same cooling air path. Cylinder-head and oil temperatures are FADEC-published channels and feed the health monitoring of Section 4.2 directly. A hover-only aircraft has no ram air at the radiator face, so radiator sizing is validated on the tiedown at full power in Stage 6 of assembly before first flight, not in forward flight where the answer is easier.</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7. Sensing and Perception</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200"/>
        <w:gridCol w:w="2400"/>
        <w:gridCol w:w="5480"/>
      </w:tblGrid>
      <w:tr>
        <w:trPr>
          <w:tblHeader/>
        </w:trPr>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Sensor</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Model / class</w:t>
            </w:r>
          </w:p>
        </w:tc>
        <w:tc>
          <w:tcPr>
            <w:tcW w:type="dxa" w:w="5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Role</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Thermal cameras (x2)</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FLIR A70, 640 x 512 radiometric</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Lead unit closes the pointing loop on the actual treatment footprints in real time; trail unit images treated belts 10 to 20 s after exposure for cooling-curve verification against the signature library; both feed the hotspot fire-detection layer</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OES spectrometer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Avantes AvaSpec-ULS2048CL-EVO</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Closed-loop pyrolysis control: CO to CO2 ratio, C2 Swan bands, H-alpha abort. Acts as the Layer 1 supervisor</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Flame detectors (x2)</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FS24X triple-IR plus FS20X UV/dual-IR</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Dissimilar redundant flame abort channels below 100 ms, on independent power and signal paths so no single supply or wiring fault removes both</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3D lidar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Ouster OS0 ultra-wide</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Terrain profile ahead of aircraft, terrain following fused with radar altimeter, canopy and snag avoidance, landing-zone clearing detection</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Radar altimeter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Nanoradar / LightWare class</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Above-ground-level hold fused with the lidar profile. Radar alone is not trusted over canopy, because a radar return from a canopy surface and a return from the ground beneath it are not distinguishable at this resolution</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Multispectral camera</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MicaSense-class five-band</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moisture index mapping ahead of treatment, feeding per-patch dose adjustment against the Section 9.3 moisture sensitivity</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Anemometer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Gill WindSonic-class ultrasonic, 3-axis</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Continuous wind speed and direction at the aircraft; automatic treatment pause above 8 m/s sustained; wind-aware turret scheduling</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RTK GNSS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Emlid Reach RS2+ rover with ground base</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Centimetre corridor georeferencing, eco-strip routing, and the pulse-per-second time reference for all three computers</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Depth camera</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Intel RealSense D455, downward</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Landing-site assessment and ground texture for visual odometry backup</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Weather station (ground)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Campbell Scientific compact</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Wind, relative humidity, temperature; fuel-moisture inference and go/no-go authority</w:t>
            </w:r>
          </w:p>
        </w:tc>
      </w:tr>
    </w:tbl>
    <w:p>
      <w:pPr>
        <w:spacing w:after="200" w:before="60"/>
      </w:pPr>
      <w:r>
        <w:rPr>
          <w:rFonts w:ascii="Calibri" w:cs="Calibri" w:eastAsia="Calibri" w:hAnsi="Calibri"/>
          <w:i/>
          <w:iCs/>
          <w:color w:val="6B5A4E"/>
          <w:sz w:val="17"/>
          <w:szCs w:val="17"/>
        </w:rPr>
        <w:t xml:space="preserve">Table 10: Sensor suite, v1.5. Sensor mass totals 11 kg inside the 141 kg treatment system budget, against the 9 kg that v1.1 allocated for a shorter list.</w:t>
      </w:r>
    </w:p>
    <w:p>
      <w:pPr>
        <w:spacing w:after="120" w:before="60" w:line="276"/>
        <w:jc w:val="left"/>
      </w:pPr>
      <w:r>
        <w:rPr>
          <w:rFonts w:ascii="Calibri" w:cs="Calibri" w:eastAsia="Calibri" w:hAnsi="Calibri"/>
          <w:b w:val="false"/>
          <w:bCs w:val="false"/>
          <w:i w:val="false"/>
          <w:iCs w:val="false"/>
          <w:color w:val="3A2E28"/>
          <w:sz w:val="20"/>
          <w:szCs w:val="20"/>
        </w:rPr>
        <w:t xml:space="preserve">Two principles govern the suite. First, no single sensor holds an abort authority alone: flame detection is dissimilar and redundant, altitude is fused from two physically different measurement principles, and the pyrolysis loop and the cooling-curve verifier watch the same patch through different physics. Second, every sensor that participates in an interlock reports its own health, and a sensor that fails its self-test removes the beam rather than being voted out silently.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8. Compute and Control</w:t>
      </w:r>
    </w:p>
    <w:p>
      <w:pPr>
        <w:pStyle w:val="Heading2"/>
        <w:spacing w:after="110" w:before="240"/>
      </w:pPr>
      <w:r>
        <w:rPr>
          <w:rFonts w:ascii="Calibri" w:cs="Calibri" w:eastAsia="Calibri" w:hAnsi="Calibri"/>
          <w:b/>
          <w:bCs/>
          <w:color w:val="3A2E28"/>
          <w:sz w:val="24"/>
          <w:szCs w:val="24"/>
        </w:rPr>
        <w:t xml:space="preserve">8.1 Computing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Three computers divide the work by criticality, and the division is by consequence of failure rather than by convenience. A CubePilot Cube Orange+ flight controller owns aircraft attitude, position, and emergency logic, running ArduPilot with the octocopter station-out patch and the ballistic-parachute trigger. An NVIDIA Jetson Orin NX running at 100 TOPS runs the treatment supervisor: footprint tracking on the thermal feed, spectral reduction, dose accounting per georeferenced patch, landing-zone grading, and corridor progress mapping. A Beckhoff CX9020 embedded programmable logic controller owns the hard real-time laser interlocks on EtherCAT: source enable, shutter control, turret tilt limits, altitude envelope, link-loss beam cut, and the dual flame-detector abort path.</w:t>
      </w:r>
    </w:p>
    <w:p>
      <w:pPr>
        <w:spacing w:after="120" w:before="60" w:line="276"/>
        <w:jc w:val="left"/>
      </w:pPr>
      <w:r>
        <w:rPr>
          <w:rFonts w:ascii="Calibri" w:cs="Calibri" w:eastAsia="Calibri" w:hAnsi="Calibri"/>
          <w:b w:val="false"/>
          <w:bCs w:val="false"/>
          <w:i w:val="false"/>
          <w:iCs w:val="false"/>
          <w:color w:val="3A2E28"/>
          <w:sz w:val="20"/>
          <w:szCs w:val="20"/>
        </w:rPr>
        <w:t xml:space="preserve">The interlock chain is hardwired logic, not software policy. No single software fault enables the beam, and the safety controller holds authority to close the shutters independently of both other computers. All three computers timestamp against the RTK receiver's pulse-per-second output, so every spectral frame, thermal frame, and aircraft state shares one clock to better than a microsecond, which is what makes the audit trail of Section 8.4 defensible as evidence rather than merely voluminous.</w:t>
      </w:r>
    </w:p>
    <w:p>
      <w:pPr>
        <w:pStyle w:val="Heading2"/>
        <w:spacing w:after="110" w:before="240"/>
      </w:pPr>
      <w:r>
        <w:rPr>
          <w:rFonts w:ascii="Calibri" w:cs="Calibri" w:eastAsia="Calibri" w:hAnsi="Calibri"/>
          <w:b/>
          <w:bCs/>
          <w:color w:val="3A2E28"/>
          <w:sz w:val="24"/>
          <w:szCs w:val="24"/>
        </w:rPr>
        <w:t xml:space="preserve">8.2 Landing-Zone Finder</w:t>
      </w:r>
    </w:p>
    <w:p>
      <w:pPr>
        <w:spacing w:after="120" w:before="60" w:line="276"/>
        <w:jc w:val="left"/>
      </w:pPr>
      <w:r>
        <w:rPr>
          <w:rFonts w:ascii="Calibri" w:cs="Calibri" w:eastAsia="Calibri" w:hAnsi="Calibri"/>
          <w:b w:val="false"/>
          <w:bCs w:val="false"/>
          <w:i w:val="false"/>
          <w:iCs w:val="false"/>
          <w:color w:val="3A2E28"/>
          <w:sz w:val="20"/>
          <w:szCs w:val="20"/>
        </w:rPr>
        <w:t xml:space="preserve">Forest emergencies leave no time for a human to scout a landing site, so the aircraft automates it three ways. A pre-surveyed landing-zone database rides onboard, built during corridor planning from orthophotos and lidar-derived clearing maps, with at least two rated zones inside buffer-battery range of every point on every route. In flight, the lidar continuously classifies the terrain below and ahead for clearing candidates: flat, unobstructed, slope under 8 degrees, and larger than a 12 m diameter circle at the corrected rotor span. A machine-learning classifier on the Jetson fuses lidar geometry with depth-camera texture to grade each candidate. On any emergency descent command the flight controller steers to the best graded zone inside energy range, and the ground station sees the selection live and retains a manual override.</w:t>
      </w:r>
    </w:p>
    <w:p>
      <w:pPr>
        <w:spacing w:after="120" w:before="60" w:line="276"/>
        <w:jc w:val="left"/>
      </w:pPr>
      <w:r>
        <w:rPr>
          <w:rFonts w:ascii="Calibri" w:cs="Calibri" w:eastAsia="Calibri" w:hAnsi="Calibri"/>
          <w:b w:val="false"/>
          <w:bCs w:val="false"/>
          <w:i w:val="false"/>
          <w:iCs w:val="false"/>
          <w:color w:val="3A2E28"/>
          <w:sz w:val="20"/>
          <w:szCs w:val="20"/>
        </w:rPr>
        <w:t xml:space="preserve">Energy range is computed against the mass-integrated model and the 8.1 kWh usable battery figure, not against nameplate energy. At the reduced-power descent profile near empty mass the aircraft covers roughly 4.2 km of level transit on the battery alone, and the zone database is populated to that spacing along every planned route.</w:t>
      </w:r>
    </w:p>
    <w:p>
      <w:pPr>
        <w:pStyle w:val="Heading2"/>
        <w:spacing w:after="110" w:before="240"/>
      </w:pPr>
      <w:r>
        <w:rPr>
          <w:rFonts w:ascii="Calibri" w:cs="Calibri" w:eastAsia="Calibri" w:hAnsi="Calibri"/>
          <w:b/>
          <w:bCs/>
          <w:color w:val="3A2E28"/>
          <w:sz w:val="24"/>
          <w:szCs w:val="24"/>
        </w:rPr>
        <w:t xml:space="preserve">8.3 Fire Detection, Thermal Library, and Fleet Coordination</w:t>
      </w:r>
    </w:p>
    <w:p>
      <w:pPr>
        <w:spacing w:after="120" w:before="60" w:line="276"/>
        <w:jc w:val="left"/>
      </w:pPr>
      <w:r>
        <w:rPr>
          <w:rFonts w:ascii="Calibri" w:cs="Calibri" w:eastAsia="Calibri" w:hAnsi="Calibri"/>
          <w:b w:val="false"/>
          <w:bCs w:val="false"/>
          <w:i w:val="false"/>
          <w:iCs w:val="false"/>
          <w:color w:val="3A2E28"/>
          <w:sz w:val="20"/>
          <w:szCs w:val="20"/>
        </w:rPr>
        <w:t xml:space="preserve">The thermal camera pair works a second job. A hotspot detection layer scans ahead of the treatment corridor and flags thermal anomalies against the ambient background, georeferencing each for the ground station. The aircraft detects fires while it treats against them, at zero added mass and zero marginal cost.</w:t>
      </w:r>
    </w:p>
    <w:p>
      <w:pPr>
        <w:spacing w:after="120" w:before="60" w:line="276"/>
        <w:jc w:val="left"/>
      </w:pPr>
      <w:r>
        <w:rPr>
          <w:rFonts w:ascii="Calibri" w:cs="Calibri" w:eastAsia="Calibri" w:hAnsi="Calibri"/>
          <w:b w:val="false"/>
          <w:bCs w:val="false"/>
          <w:i w:val="false"/>
          <w:iCs w:val="false"/>
          <w:color w:val="3A2E28"/>
          <w:sz w:val="20"/>
          <w:szCs w:val="20"/>
        </w:rPr>
        <w:t xml:space="preserve">Cooling-curve verification runs against objective criteria rather than operator judgement. Phase 0 and Phase 4 testing build a thermal signature library of post-treatment cooling curves per fuel type and moisture class, with numeric pass and fail bands. The Layer 2 verifier scores every treated belt against the library automatically; a belt outside its band queues for retreatment, and the corridor log records the score per patch. A belt that fails twice escalates to a ground inspection request rather than a third pass.</w:t>
      </w:r>
    </w:p>
    <w:p>
      <w:pPr>
        <w:spacing w:after="120" w:before="60" w:line="276"/>
        <w:jc w:val="left"/>
      </w:pPr>
      <w:r>
        <w:rPr>
          <w:rFonts w:ascii="Calibri" w:cs="Calibri" w:eastAsia="Calibri" w:hAnsi="Calibri"/>
          <w:b w:val="false"/>
          <w:bCs w:val="false"/>
          <w:i w:val="false"/>
          <w:iCs w:val="false"/>
          <w:color w:val="3A2E28"/>
          <w:sz w:val="20"/>
          <w:szCs w:val="20"/>
        </w:rPr>
        <w:t xml:space="preserve">Fleet operations gain a coordination layer. E6 units share position, fuel state, treatment progress, and corridor-boundary status over the mesh-capable primary radio, with automated deconfliction and corridor handoff at boundaries. One ground station supervises up to four aircraft on adjacent corridors, and the deconfliction logic enforces a horizontal separation floor that accounts for the 10.2 m span plus wake, which is a larger number than the v1.1 configuration required.</w:t>
      </w:r>
    </w:p>
    <w:p>
      <w:pPr>
        <w:pStyle w:val="Heading2"/>
        <w:spacing w:after="110" w:before="240"/>
      </w:pPr>
      <w:r>
        <w:rPr>
          <w:rFonts w:ascii="Calibri" w:cs="Calibri" w:eastAsia="Calibri" w:hAnsi="Calibri"/>
          <w:b/>
          <w:bCs/>
          <w:color w:val="3A2E28"/>
          <w:sz w:val="24"/>
          <w:szCs w:val="24"/>
        </w:rPr>
        <w:t xml:space="preserve">8.4 Black Box and Audit Trail</w:t>
      </w:r>
    </w:p>
    <w:p>
      <w:pPr>
        <w:spacing w:after="120" w:before="60" w:line="276"/>
        <w:jc w:val="left"/>
      </w:pPr>
      <w:r>
        <w:rPr>
          <w:rFonts w:ascii="Calibri" w:cs="Calibri" w:eastAsia="Calibri" w:hAnsi="Calibri"/>
          <w:b w:val="false"/>
          <w:bCs w:val="false"/>
          <w:i w:val="false"/>
          <w:iCs w:val="false"/>
          <w:color w:val="3A2E28"/>
          <w:sz w:val="20"/>
          <w:szCs w:val="20"/>
        </w:rPr>
        <w:t xml:space="preserve">A crash-survivable recorder logs every flight parameter plus the complete laser audit trail: duty cycle, power level, and dwell per patch, every spectrometer abort event with its spectral context, every interlock trip, and every georeferenced belt score. Telemetry records locally at full rate and forwards over any available link on a store-and-forward basis, so deep-backcountry operations lose no data to link gaps. The record is tamper-resistant and hash-chained, which is what makes it useful to a regulator rather than merely useful to an engineer.</w:t>
      </w:r>
    </w:p>
    <w:p>
      <w:pPr>
        <w:spacing w:after="120" w:before="60" w:line="276"/>
        <w:jc w:val="left"/>
      </w:pPr>
      <w:r>
        <w:rPr>
          <w:rFonts w:ascii="Calibri" w:cs="Calibri" w:eastAsia="Calibri" w:hAnsi="Calibri"/>
          <w:b w:val="false"/>
          <w:bCs w:val="false"/>
          <w:i w:val="false"/>
          <w:iCs w:val="false"/>
          <w:color w:val="3A2E28"/>
          <w:sz w:val="20"/>
          <w:szCs w:val="20"/>
        </w:rPr>
        <w:t xml:space="preserve">The laser interlock still requires a healthy link. Recording autonomy never relaxes beam discipline. Fully autonomous missions without any command link enter service only after the certification evidence base matures, tracked as a Phase 2 regulatory item.</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9. Treatment Logic and the Dose-Energy Budget</w:t>
      </w:r>
    </w:p>
    <w:p>
      <w:pPr>
        <w:pStyle w:val="Heading2"/>
        <w:spacing w:after="110" w:before="240"/>
      </w:pPr>
      <w:r>
        <w:rPr>
          <w:rFonts w:ascii="Calibri" w:cs="Calibri" w:eastAsia="Calibri" w:hAnsi="Calibri"/>
          <w:b/>
          <w:bCs/>
          <w:color w:val="3A2E28"/>
          <w:sz w:val="24"/>
          <w:szCs w:val="24"/>
        </w:rPr>
        <w:t xml:space="preserve">9.1 Step-and-Hover Cycle</w:t>
      </w:r>
    </w:p>
    <w:p>
      <w:pPr>
        <w:spacing w:after="120" w:before="60" w:line="276"/>
        <w:jc w:val="left"/>
      </w:pPr>
      <w:r>
        <w:rPr>
          <w:rFonts w:ascii="Calibri" w:cs="Calibri" w:eastAsia="Calibri" w:hAnsi="Calibri"/>
          <w:b w:val="false"/>
          <w:bCs w:val="false"/>
          <w:i w:val="false"/>
          <w:iCs w:val="false"/>
          <w:color w:val="3A2E28"/>
          <w:sz w:val="20"/>
          <w:szCs w:val="20"/>
        </w:rPr>
        <w:t xml:space="preserve">The E6 treats in a step-and-hover rhythm. The aircraft holds station over a patch pair for the computed dwell, then translates 0.2 m in approximately 2.5 seconds and holds again. The move allowance rises from the 2.0 seconds of v1.1 because a 1,000 kg aircraft settles more slowly than a 747 kg one, and the figure is a Phase 3 measurement rather than an assumption. The three-axis turret keeps both footprints registered on their patches through hover micro-motion and crosswind crab angles.</w:t>
      </w:r>
    </w:p>
    <w:p>
      <w:pPr>
        <w:spacing w:after="120" w:before="60" w:line="276"/>
        <w:jc w:val="left"/>
      </w:pPr>
      <w:r>
        <w:rPr>
          <w:rFonts w:ascii="Calibri" w:cs="Calibri" w:eastAsia="Calibri" w:hAnsi="Calibri"/>
          <w:b w:val="false"/>
          <w:bCs w:val="false"/>
          <w:i w:val="false"/>
          <w:iCs w:val="false"/>
          <w:color w:val="3A2E28"/>
          <w:sz w:val="20"/>
          <w:szCs w:val="20"/>
        </w:rPr>
        <w:t xml:space="preserve">Optical emission spectroscopy closes the loop on every patch. The supervisor watches the CO to CO2 ratio and the C2 Swan bands, trims pulse duty between 35 and 50 percent to hold the pyrolysis window, and aborts the patch on H-alpha flare, which signals flaming combustion. The trail thermal camera images each belt 10 to 20 seconds post-exposure and scores the cooling curve against the thermal signature library; a failing belt queues for a second pass. The anemometer pauses treatment automatically above 8 m/s sustained and the planner resumes when gusts settle.</w:t>
      </w:r>
    </w:p>
    <w:p>
      <w:pPr>
        <w:pStyle w:val="Heading2"/>
        <w:spacing w:after="110" w:before="240"/>
      </w:pPr>
      <w:r>
        <w:rPr>
          <w:rFonts w:ascii="Calibri" w:cs="Calibri" w:eastAsia="Calibri" w:hAnsi="Calibri"/>
          <w:b/>
          <w:bCs/>
          <w:color w:val="3A2E28"/>
          <w:sz w:val="24"/>
          <w:szCs w:val="24"/>
        </w:rPr>
        <w:t xml:space="preserve">9.2 The Honest Dose Budget</w:t>
      </w:r>
    </w:p>
    <w:p>
      <w:pPr>
        <w:spacing w:after="120" w:before="60" w:line="276"/>
        <w:jc w:val="left"/>
      </w:pPr>
      <w:r>
        <w:rPr>
          <w:rFonts w:ascii="Calibri" w:cs="Calibri" w:eastAsia="Calibri" w:hAnsi="Calibri"/>
          <w:b w:val="false"/>
          <w:bCs w:val="false"/>
          <w:i w:val="false"/>
          <w:iCs w:val="false"/>
          <w:color w:val="3A2E28"/>
          <w:sz w:val="20"/>
          <w:szCs w:val="20"/>
        </w:rPr>
        <w:t xml:space="preserve">Laser treatment obeys one inviolable accounting rule: average optical power per unit area, multiplied by dwell time, equals delivered dose. Everything else in this section follows from that identity, and two corrections change its inputs against v1.1.</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two dose-budget corrections</w:t>
            </w:r>
          </w:p>
          <w:p>
            <w:pPr>
              <w:spacing w:after="60" w:line="270"/>
            </w:pPr>
            <w:r>
              <w:rPr>
                <w:rFonts w:ascii="Calibri" w:cs="Calibri" w:eastAsia="Calibri" w:hAnsi="Calibri"/>
                <w:color w:val="3A2E28"/>
                <w:sz w:val="19"/>
                <w:szCs w:val="19"/>
              </w:rPr>
              <w:t xml:space="preserve">Correction C-5. The footprint is 0.70 m by 0.20 m, which is 0.140 m2. The v1.1 dose arithmetic used 0.10 m2 while the optics section of the same document specified 0.70 by 0.20 m. The larger true area spreads the same power more thinly and lengthens every dwell by 40 percent.</w:t>
            </w:r>
          </w:p>
          <w:p>
            <w:pPr>
              <w:spacing w:after="60" w:line="270"/>
            </w:pPr>
            <w:r>
              <w:rPr>
                <w:rFonts w:ascii="Calibri" w:cs="Calibri" w:eastAsia="Calibri" w:hAnsi="Calibri"/>
                <w:color w:val="3A2E28"/>
                <w:sz w:val="19"/>
                <w:szCs w:val="19"/>
              </w:rPr>
              <w:t xml:space="preserve">Correction C-6. Two adjacent 0.70 m belts lay a 1.40 m corridor, not the 1.75 m that v1.1 published. Corridor length per sortie is unaffected by this correction, but treated area per metre of corridor falls by 20 percent, and the cost-per-square-metre figures in Section 18 reflect it.</w:t>
            </w:r>
          </w:p>
        </w:tc>
      </w:tr>
    </w:tbl>
    <w:p>
      <w:pPr>
        <w:spacing w:after="120" w:before="60" w:line="276"/>
        <w:jc w:val="left"/>
      </w:pPr>
      <w:r>
        <w:rPr>
          <w:rFonts w:ascii="Calibri" w:cs="Calibri" w:eastAsia="Calibri" w:hAnsi="Calibri"/>
          <w:b w:val="false"/>
          <w:bCs w:val="false"/>
          <w:i w:val="false"/>
          <w:iCs w:val="false"/>
          <w:color w:val="3A2E28"/>
          <w:sz w:val="20"/>
          <w:szCs w:val="20"/>
        </w:rPr>
        <w:t xml:space="preserve">Each 2 kW source at 45 percent pulse duty delivers 0.9 kW average into its 0.140 m2 footprint, an effective irradiance of 6.43 kW/m2. Design dose for full carbonization of representative fine fuels stands at 1.0 MJ/m2, so the dwell is dose divided by irradiance: 155.6 seconds. Lower fuel loads accept proportionally lower doses. The two sources together deliver 1.8 kW of average optical power, and that single number sets an absolute ceiling on area treated per hour that no scheduling improvement evades.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1250"/>
        <w:gridCol w:w="1250"/>
        <w:gridCol w:w="1400"/>
        <w:gridCol w:w="1400"/>
        <w:gridCol w:w="22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dose</w:t>
            </w:r>
          </w:p>
        </w:tc>
        <w:tc>
          <w:tcPr>
            <w:tcW w:type="dxa" w:w="125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Dwell per patch</w:t>
            </w:r>
          </w:p>
        </w:tc>
        <w:tc>
          <w:tcPr>
            <w:tcW w:type="dxa" w:w="125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Cycle (dwell + 2.5 s move)</w:t>
            </w:r>
          </w:p>
        </w:tc>
        <w:tc>
          <w:tcPr>
            <w:tcW w:type="dxa" w:w="1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Advance rate</w:t>
            </w:r>
          </w:p>
        </w:tc>
        <w:tc>
          <w:tcPr>
            <w:tcW w:type="dxa" w:w="1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Area rate</w:t>
            </w:r>
          </w:p>
        </w:tc>
        <w:tc>
          <w:tcPr>
            <w:tcW w:type="dxa" w:w="2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Corridor per 5.1 h on station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0.25 MJ/m2 (sparse dry grass)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38.9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41.4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17.40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24.35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88.7 m (124.2 m2)</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0.50 MJ/m2 (light grass)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77.8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80.3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8.97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12.56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45.7 m (64.0 m2)</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 MJ/m2 (mixed grass and needles)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116.7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119.2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6.04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8.46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30.8 m (43.1 m2)</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 MJ/m2 (design dose, dense fine fuels)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155.6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158.1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4.56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6.38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23.3 m (32.6 m2)</w:t>
            </w:r>
          </w:p>
        </w:tc>
      </w:tr>
    </w:tbl>
    <w:p>
      <w:pPr>
        <w:spacing w:after="200" w:before="60"/>
      </w:pPr>
      <w:r>
        <w:rPr>
          <w:rFonts w:ascii="Calibri" w:cs="Calibri" w:eastAsia="Calibri" w:hAnsi="Calibri"/>
          <w:i/>
          <w:iCs/>
          <w:color w:val="6B5A4E"/>
          <w:sz w:val="17"/>
          <w:szCs w:val="17"/>
        </w:rPr>
        <w:t xml:space="preserve">Table 11: Dose, dwell, and throughput, derived directly from average optical power. Corridor width 1.40 m, two adjacent belts, 5.1 h planned on-station time from the mission fuel policy of Table 4. Corrected figures run 66 to 72 percent of the v1.1 tables.</w:t>
      </w:r>
    </w:p>
    <w:p>
      <w:pPr>
        <w:spacing w:after="60" w:before="180"/>
        <w:jc w:val="center"/>
      </w:pPr>
      <w:r>
        <w:drawing>
          <wp:inline distT="0" distB="0" distL="0" distR="0">
            <wp:extent cx="599122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91225" cy="19145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4: Corridor advance rate against design dose, showing the corrected v1.5 curve against the v1.1 curve that the 0.10 m2 footprint assumption produced.</w:t>
      </w:r>
    </w:p>
    <w:p>
      <w:pPr>
        <w:pStyle w:val="Heading2"/>
        <w:spacing w:after="110" w:before="240"/>
      </w:pPr>
      <w:r>
        <w:rPr>
          <w:rFonts w:ascii="Calibri" w:cs="Calibri" w:eastAsia="Calibri" w:hAnsi="Calibri"/>
          <w:b/>
          <w:bCs/>
          <w:color w:val="3A2E28"/>
          <w:sz w:val="24"/>
          <w:szCs w:val="24"/>
        </w:rPr>
        <w:t xml:space="preserve">9.3 Thermodynamic Cross-Check</w:t>
      </w:r>
    </w:p>
    <w:p>
      <w:pPr>
        <w:spacing w:after="120" w:before="60" w:line="276"/>
        <w:jc w:val="left"/>
      </w:pPr>
      <w:r>
        <w:rPr>
          <w:rFonts w:ascii="Calibri" w:cs="Calibri" w:eastAsia="Calibri" w:hAnsi="Calibri"/>
          <w:b w:val="false"/>
          <w:bCs w:val="false"/>
          <w:i w:val="false"/>
          <w:iCs w:val="false"/>
          <w:color w:val="3A2E28"/>
          <w:sz w:val="20"/>
          <w:szCs w:val="20"/>
        </w:rPr>
        <w:t xml:space="preserve">Version 1.1 stated a design dose and did not check it against the energy the process actually requires. That check is worth making, because it bounds the dose from below and tells the calibration programme what to look for. For a representative fine fuel bed of 0.4 kg/m2 at 8 percent moisture content, heating to 400 degrees C from a 15 degrees C ambient, the process demand decomposes as follows.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600"/>
        <w:gridCol w:w="2200"/>
        <w:gridCol w:w="3280"/>
      </w:tblGrid>
      <w:tr>
        <w:trPr>
          <w:tblHeader/>
        </w:trPr>
        <w:tc>
          <w:tcPr>
            <w:tcW w:type="dxa" w:w="4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Energy sink</w:t>
            </w:r>
          </w:p>
        </w:tc>
        <w:tc>
          <w:tcPr>
            <w:tcW w:type="dxa" w:w="2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Demand (kJ/m2)</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Heating bound water to 100 degrees 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11.4</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0.032 kg/m2 water at 4,186 J/kg K over 85 K</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Vaporising bound water</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72.2</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Latent heat of vaporisation 2.257 MJ/kg</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Heating dry solids to 400 degrees 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240.9</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0.368 kg/m2 at 1,700 J/kg K over 385 K</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Endothermic pyrolysis of the converted fraction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107.7</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70 percent conversion at 418 kJ/kg</w:t>
            </w:r>
          </w:p>
        </w:tc>
      </w:tr>
      <w:tr>
        <w:trPr>
          <w:tblHeader w:val="false"/>
        </w:trPr>
        <w:tc>
          <w:tcPr>
            <w:tcW w:type="dxa" w:w="46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process demand</w:t>
            </w:r>
          </w:p>
        </w:tc>
        <w:tc>
          <w:tcPr>
            <w:tcW w:type="dxa" w:w="22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432.1</w:t>
            </w:r>
          </w:p>
        </w:tc>
        <w:tc>
          <w:tcPr>
            <w:tcW w:type="dxa" w:w="32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a 1.0 MJ/m2 delivered design dose</w:t>
            </w:r>
          </w:p>
        </w:tc>
      </w:tr>
    </w:tbl>
    <w:p>
      <w:pPr>
        <w:spacing w:after="200" w:before="60"/>
      </w:pPr>
      <w:r>
        <w:rPr>
          <w:rFonts w:ascii="Calibri" w:cs="Calibri" w:eastAsia="Calibri" w:hAnsi="Calibri"/>
          <w:i/>
          <w:iCs/>
          <w:color w:val="6B5A4E"/>
          <w:sz w:val="17"/>
          <w:szCs w:val="17"/>
        </w:rPr>
        <w:t xml:space="preserve">Table 12: Thermodynamic cross-check of the design dose. The process consumes 432 kJ/m2 of the 1,000 kJ/m2 delivered, an apparent coupling efficiency of 0.43. The balance goes to surface reflection at 1080 nm, re-radiation from the hot surface, convection into the downwash, and conduction into the soil layer beneath. A coupling efficiency near 0.43 is plausible for this geometry and this wavelength, which supports the design dose as neither arbitrary nor generous.</w:t>
      </w:r>
    </w:p>
    <w:p>
      <w:pPr>
        <w:spacing w:after="120" w:before="60" w:line="276"/>
        <w:jc w:val="left"/>
      </w:pPr>
      <w:r>
        <w:rPr>
          <w:rFonts w:ascii="Calibri" w:cs="Calibri" w:eastAsia="Calibri" w:hAnsi="Calibri"/>
          <w:b w:val="false"/>
          <w:bCs w:val="false"/>
          <w:i w:val="false"/>
          <w:iCs w:val="false"/>
          <w:color w:val="3A2E28"/>
          <w:sz w:val="20"/>
          <w:szCs w:val="20"/>
        </w:rPr>
        <w:t xml:space="preserve">Moisture sensitivity follows directly from the same table. Raising fuel moisture content from 8 to 20 percent lifts process demand from 432 to 512 kJ/m2, an 18 percent increase, which at constant coupling requires an 18 percent longer dwell and cuts throughput by the same proportion. This is the quantitative reason the multispectral moisture mapper earns its 9 kg and its place in the interlock-adjacent sensor set, and the reason the treatment planner assigns the E6 to dry fuel windows.</w:t>
      </w:r>
    </w:p>
    <w:p>
      <w:pPr>
        <w:pStyle w:val="Heading2"/>
        <w:spacing w:after="110" w:before="240"/>
      </w:pPr>
      <w:r>
        <w:rPr>
          <w:rFonts w:ascii="Calibri" w:cs="Calibri" w:eastAsia="Calibri" w:hAnsi="Calibri"/>
          <w:b/>
          <w:bCs/>
          <w:color w:val="3A2E28"/>
          <w:sz w:val="24"/>
          <w:szCs w:val="24"/>
        </w:rPr>
        <w:t xml:space="preserve">9.4 The Ignition Margin</w:t>
      </w:r>
    </w:p>
    <w:p>
      <w:pPr>
        <w:spacing w:after="120" w:before="60" w:line="276"/>
        <w:jc w:val="left"/>
      </w:pPr>
      <w:r>
        <w:rPr>
          <w:rFonts w:ascii="Calibri" w:cs="Calibri" w:eastAsia="Calibri" w:hAnsi="Calibri"/>
          <w:b w:val="false"/>
          <w:bCs w:val="false"/>
          <w:i w:val="false"/>
          <w:iCs w:val="false"/>
          <w:color w:val="3A2E28"/>
          <w:sz w:val="20"/>
          <w:szCs w:val="20"/>
        </w:rPr>
        <w:t xml:space="preserve">The central technical risk in laser carbonization is stated plainly here because it governs everything in Section 11.1. Average irradiance on the patch is 6.43 kW/m2, which sits below the critical heat flux for piloted ignition of cellulosic fine fuels. Peak irradiance during the pulse is 14.29 kW/m2, which sits above it. Published critical heat fluxes for dry fine forest fuels cluster between 10 and 20 kW/m2 for long exposures.</w:t>
      </w:r>
    </w:p>
    <w:p>
      <w:pPr>
        <w:spacing w:after="120" w:before="60" w:line="276"/>
        <w:jc w:val="left"/>
      </w:pPr>
      <w:r>
        <w:rPr>
          <w:rFonts w:ascii="Calibri" w:cs="Calibri" w:eastAsia="Calibri" w:hAnsi="Calibri"/>
          <w:b w:val="false"/>
          <w:bCs w:val="false"/>
          <w:i w:val="false"/>
          <w:iCs w:val="false"/>
          <w:color w:val="3A2E28"/>
          <w:sz w:val="20"/>
          <w:szCs w:val="20"/>
        </w:rPr>
        <w:t xml:space="preserve">The process therefore does not avoid flaming by staying below a threshold. It avoids flaming by control: the pulse structure lets the surface re-radiate and convect between pulses so that time-averaged surface temperature stays in the pyrolysis regime, the surface char layer that forms in the first seconds is oxygen-limiting and self-protecting, and the spectroscopic supervisor watches the actual combustion chemistry rather than a proxy. Three independent abort paths back the control loop: the H-alpha spectral abort, and two dissimilar flame detectors on independent power and signal paths, all three closing the shutters through the hardwired interlock chain in under 100 ms.</w:t>
      </w:r>
    </w:p>
    <w:p>
      <w:pPr>
        <w:spacing w:after="120" w:before="60" w:line="276"/>
        <w:jc w:val="left"/>
      </w:pPr>
      <w:r>
        <w:rPr>
          <w:rFonts w:ascii="Calibri" w:cs="Calibri" w:eastAsia="Calibri" w:hAnsi="Calibri"/>
          <w:b w:val="false"/>
          <w:bCs w:val="false"/>
          <w:i w:val="false"/>
          <w:iCs w:val="false"/>
          <w:color w:val="3A2E28"/>
          <w:sz w:val="20"/>
          <w:szCs w:val="20"/>
        </w:rPr>
        <w:t xml:space="preserve">This is an honest statement of a real risk, and it is the reason Phase 0 bench calibration with cone-calorimetry verification governs the final dose figures for every variant in the programme, and the reason the risk register rates patch flare-up Medium rather than Low.</w:t>
      </w:r>
    </w:p>
    <w:p>
      <w:pPr>
        <w:pStyle w:val="Heading2"/>
        <w:spacing w:after="110" w:before="240"/>
      </w:pPr>
      <w:r>
        <w:rPr>
          <w:rFonts w:ascii="Calibri" w:cs="Calibri" w:eastAsia="Calibri" w:hAnsi="Calibri"/>
          <w:b/>
          <w:bCs/>
          <w:color w:val="3A2E28"/>
          <w:sz w:val="24"/>
          <w:szCs w:val="24"/>
        </w:rPr>
        <w:t xml:space="preserve">9.5 Corrections to Earlier Program Throughput Tables</w:t>
      </w:r>
    </w:p>
    <w:p>
      <w:pPr>
        <w:spacing w:after="120" w:before="60" w:line="276"/>
        <w:jc w:val="left"/>
      </w:pPr>
      <w:r>
        <w:rPr>
          <w:rFonts w:ascii="Calibri" w:cs="Calibri" w:eastAsia="Calibri" w:hAnsi="Calibri"/>
          <w:b w:val="false"/>
          <w:bCs w:val="false"/>
          <w:i w:val="false"/>
          <w:iCs w:val="false"/>
          <w:color w:val="3A2E28"/>
          <w:sz w:val="20"/>
          <w:szCs w:val="20"/>
        </w:rPr>
        <w:t xml:space="preserve">Building this budget from first principles surfaced errors that this document corrects on the record. The dwell and throughput tables in Rugged v1.1 and v1.2 imply effective irradiances that the arrays' average optical power does not deliver: the implied doses come up short by a factor of roughly four in the Mk I tables, roughly eleven in the v1.1 step-and-dwell tables, and by a much larger factor in the v1.2 stroboscopic tables, where each 500 ms burst deposits about 13.5 kJ/m2 per patch against the 1.0 MJ/m2 design dose. Aerial v1.1 corrected the method and then applied it to a footprint area 40 percent smaller than its own optics section specified, which Table 11 now corrects in turn.</w:t>
      </w:r>
    </w:p>
    <w:p>
      <w:pPr>
        <w:spacing w:after="120" w:before="60" w:line="276"/>
        <w:jc w:val="left"/>
      </w:pPr>
      <w:r>
        <w:rPr>
          <w:rFonts w:ascii="Calibri" w:cs="Calibri" w:eastAsia="Calibri" w:hAnsi="Calibri"/>
          <w:b w:val="false"/>
          <w:bCs w:val="false"/>
          <w:i w:val="false"/>
          <w:iCs w:val="false"/>
          <w:color w:val="3A2E28"/>
          <w:sz w:val="20"/>
          <w:szCs w:val="20"/>
        </w:rPr>
        <w:t xml:space="preserve">The treatment physics, safety interlocks, and carbonization thresholds in all of those documents remain valid. The rates at which every variant delivers the design dose are slower than tabulated. Every variant's test plan already routes final dose figures through Phase 0 bench calibration with cone-calorimetry verification, and that calibration governs. Corrected ground-variant tables follow as a numbered update in the programme's planned correction cycle, and they now inherit a verified method rather than a plausible one.</w:t>
      </w:r>
    </w:p>
    <w:p>
      <w:pPr>
        <w:pStyle w:val="Heading2"/>
        <w:spacing w:after="110" w:before="240"/>
      </w:pPr>
      <w:r>
        <w:rPr>
          <w:rFonts w:ascii="Calibri" w:cs="Calibri" w:eastAsia="Calibri" w:hAnsi="Calibri"/>
          <w:b/>
          <w:bCs/>
          <w:color w:val="3A2E28"/>
          <w:sz w:val="24"/>
          <w:szCs w:val="24"/>
        </w:rPr>
        <w:t xml:space="preserve">9.6 The Four-Laser Trade</w:t>
      </w:r>
    </w:p>
    <w:p>
      <w:pPr>
        <w:spacing w:after="120" w:before="60" w:line="276"/>
        <w:jc w:val="left"/>
      </w:pPr>
      <w:r>
        <w:rPr>
          <w:rFonts w:ascii="Calibri" w:cs="Calibri" w:eastAsia="Calibri" w:hAnsi="Calibri"/>
          <w:b w:val="false"/>
          <w:bCs w:val="false"/>
          <w:i w:val="false"/>
          <w:iCs w:val="false"/>
          <w:color w:val="3A2E28"/>
          <w:sz w:val="20"/>
          <w:szCs w:val="20"/>
        </w:rPr>
        <w:t xml:space="preserve">Doubling the array to four sources at 8 kW peak halves dwell times and doubles throughput. The cost is 44 kg of additional sources, 12 kg of additional cooling and electrical hardware, and 7.5 kW of additional bus load at full duty. At fixed maximum takeoff weight the fuel load falls by 56 kg and continuous-treatment endurance falls from 6.56 to 5.02 hours, so throughput per sortie rises by only 53 percent rather than by 100 percent. Holding endurance instead requires 1,075 kg maximum takeoff weight, which raises engine loading to 85 percent of continuous rating and consumes the entire power margin.</w:t>
      </w:r>
    </w:p>
    <w:p>
      <w:pPr>
        <w:spacing w:after="120" w:before="60" w:line="276"/>
        <w:jc w:val="left"/>
      </w:pPr>
      <w:r>
        <w:rPr>
          <w:rFonts w:ascii="Calibri" w:cs="Calibri" w:eastAsia="Calibri" w:hAnsi="Calibri"/>
          <w:b w:val="false"/>
          <w:bCs w:val="false"/>
          <w:i w:val="false"/>
          <w:iCs w:val="false"/>
          <w:color w:val="3A2E28"/>
          <w:sz w:val="20"/>
          <w:szCs w:val="20"/>
        </w:rPr>
        <w:t xml:space="preserve">The E6 configuration chooses endurance and engine margin. A future variant on a 130 kW-class engine pair opens the four-laser door with margin intact, and the bus, frame hardpoints, quick-disconnect interfaces, and bay geometry already reserve space and cooling capacity for it.</w:t>
      </w:r>
    </w:p>
    <w:p>
      <w:pPr>
        <w:pStyle w:val="Heading2"/>
        <w:spacing w:after="110" w:before="240"/>
      </w:pPr>
      <w:r>
        <w:rPr>
          <w:rFonts w:ascii="Calibri" w:cs="Calibri" w:eastAsia="Calibri" w:hAnsi="Calibri"/>
          <w:b/>
          <w:bCs/>
          <w:color w:val="3A2E28"/>
          <w:sz w:val="24"/>
          <w:szCs w:val="24"/>
        </w:rPr>
        <w:t xml:space="preserve">9.7 Sensitivity Analysis</w:t>
      </w:r>
    </w:p>
    <w:p>
      <w:pPr>
        <w:spacing w:after="120" w:before="60" w:line="276"/>
        <w:jc w:val="left"/>
      </w:pPr>
      <w:r>
        <w:rPr>
          <w:rFonts w:ascii="Calibri" w:cs="Calibri" w:eastAsia="Calibri" w:hAnsi="Calibri"/>
          <w:b w:val="false"/>
          <w:bCs w:val="false"/>
          <w:i w:val="false"/>
          <w:iCs w:val="false"/>
          <w:color w:val="3A2E28"/>
          <w:sz w:val="20"/>
          <w:szCs w:val="20"/>
        </w:rPr>
        <w:t xml:space="preserve">A first-order sizing deserves an explicit statement of which assumptions matter. The table below perturbs each principal assumption individually and reports the effect on continuous-treatment endurance at the fixed 1,000 kg design point.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1700"/>
        <w:gridCol w:w="1700"/>
        <w:gridCol w:w="32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Assumption</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value</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Perturbation</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Effect on 6.56 h continuous-treatment endurance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minus 0.03</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6.24 h. Remains above requirement. This is the single most sensitive aerodynamic assumption and Phase 2 measures it directly.</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Brake specific fuel consumption</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0.265 kg/kWh</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10 percent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5.96 h. Below requirement. Phase 1 dynamometer measurement is therefore a hard gate, and the assumption already carries 11 percent margin over published Rotax data.</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drivetrain efficiency</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0.911</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minus 0.02</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6.40 h. Remains above requirement.</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766 kg</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4 percent (the growth allowance)</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6.20 h. Remains above requirement, which is why the allowance is set at 4 percent and not higher.</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mass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141 kg</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15 kg</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6.39 h. Remains above requirement.</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Density altitude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sea level</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2,000 m</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6.02 h and engine loading rises to 88 percent at full duty. Operations above 2,000 m density altitude therefore reduce laser duty rather than endurance, by scheduler rule.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dose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MJ/m2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20 percent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unchanged. Corridor per sortie falls from 23.3 to 19.5 m. Dose uncertainty is a throughput risk, not an endurance risk.</w:t>
            </w:r>
          </w:p>
        </w:tc>
      </w:tr>
    </w:tbl>
    <w:p>
      <w:pPr>
        <w:spacing w:after="200" w:before="60"/>
      </w:pPr>
      <w:r>
        <w:rPr>
          <w:rFonts w:ascii="Calibri" w:cs="Calibri" w:eastAsia="Calibri" w:hAnsi="Calibri"/>
          <w:i/>
          <w:iCs/>
          <w:color w:val="6B5A4E"/>
          <w:sz w:val="17"/>
          <w:szCs w:val="17"/>
        </w:rPr>
        <w:t xml:space="preserve">Table 13: Single-variable sensitivity at the design point. Brake specific fuel consumption is the only assumption whose plausible error takes the design below the six-hour requirement, which sets the Phase 1 exit criterion.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10. Communications and Ground Control</w:t>
      </w:r>
    </w:p>
    <w:p>
      <w:pPr>
        <w:spacing w:after="120" w:before="60" w:line="276"/>
        <w:jc w:val="left"/>
      </w:pPr>
      <w:r>
        <w:rPr>
          <w:rFonts w:ascii="Calibri" w:cs="Calibri" w:eastAsia="Calibri" w:hAnsi="Calibri"/>
          <w:b w:val="false"/>
          <w:bCs w:val="false"/>
          <w:i w:val="false"/>
          <w:iCs w:val="false"/>
          <w:color w:val="3A2E28"/>
          <w:sz w:val="20"/>
          <w:szCs w:val="20"/>
        </w:rPr>
        <w:t xml:space="preserve">Three independent links serve the aircraft. The primary command and telemetry link is a Microhard pMDDL2350 encrypted radio at 2.3 GHz, mesh-capable for fleet coordination and line-of-sight rated well past visual range. A Starlink Mini terminal provides beyond-line-of-sight backhaul where terrain masks the primary link. A third, physically separate 900 MHz link carries nothing but the operator's kill and land commands, on its own antenna, its own power feed, and its own path into the safety controller. A crash-survivable black box records everything at full rate and forwards over whichever link is available, so telemetry survives both link gaps and, in the worst case, the aircraft itself.</w:t>
      </w:r>
    </w:p>
    <w:p>
      <w:pPr>
        <w:spacing w:after="120" w:before="60" w:line="276"/>
        <w:jc w:val="left"/>
      </w:pPr>
      <w:r>
        <w:rPr>
          <w:rFonts w:ascii="Calibri" w:cs="Calibri" w:eastAsia="Calibri" w:hAnsi="Calibri"/>
          <w:b w:val="false"/>
          <w:bCs w:val="false"/>
          <w:i w:val="false"/>
          <w:iCs w:val="false"/>
          <w:color w:val="3A2E28"/>
          <w:sz w:val="20"/>
          <w:szCs w:val="20"/>
        </w:rPr>
        <w:t xml:space="preserve">The ground control station is a Panasonic Toughbook 55 running QGroundControl plus the Contra Favillas treatment planner, which renders corridor progress, dose-per-patch maps, fuel-quantity and endurance readouts against the mass-integrated model, engine-health trend pages, buffer-battery string state, and flagged fire-detection hotspots. Link loss triggers an immediate beam cut from the safety interlock chain, a 30-second hover hold, then a return-to-launch along the recorded corridor. The aircraft never carries an enabled beam without a healthy link.</w:t>
      </w:r>
    </w:p>
    <w:p>
      <w:pPr>
        <w:spacing w:after="120" w:before="60" w:line="276"/>
        <w:jc w:val="left"/>
      </w:pPr>
      <w:r>
        <w:rPr>
          <w:rFonts w:ascii="Calibri" w:cs="Calibri" w:eastAsia="Calibri" w:hAnsi="Calibri"/>
          <w:b w:val="false"/>
          <w:bCs w:val="false"/>
          <w:i w:val="false"/>
          <w:iCs w:val="false"/>
          <w:color w:val="3A2E28"/>
          <w:sz w:val="20"/>
          <w:szCs w:val="20"/>
        </w:rPr>
        <w:t xml:space="preserve">A 28 V, 3 kW ground power cart powers laser pre-heating, cooling-loop checks, turret slew checks, and alignment verification before engine start, so the engines run only from launch to landing. An onboard auxiliary power unit was considered and rejected: it adds 15 to 20 kg of flight-dead mass for a function that is required only on the ground, and 15 kg of fuel buys 25 minutes of endurance.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11. Safety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The safety case divides into laser safety and flight safety, and the design treats their intersection, a Class 4 laser carried on a one-tonne aircraft, as the governing hazard.</w:t>
      </w:r>
    </w:p>
    <w:p>
      <w:pPr>
        <w:pStyle w:val="Heading2"/>
        <w:spacing w:after="110" w:before="240"/>
      </w:pPr>
      <w:r>
        <w:rPr>
          <w:rFonts w:ascii="Calibri" w:cs="Calibri" w:eastAsia="Calibri" w:hAnsi="Calibri"/>
          <w:b/>
          <w:bCs/>
          <w:color w:val="3A2E28"/>
          <w:sz w:val="24"/>
          <w:szCs w:val="24"/>
        </w:rPr>
        <w:t xml:space="preserve">11.1 Laser Safety and the Hazard Distances</w:t>
      </w:r>
    </w:p>
    <w:p>
      <w:pPr>
        <w:spacing w:after="120" w:before="60" w:line="276"/>
        <w:jc w:val="left"/>
      </w:pPr>
      <w:r>
        <w:rPr>
          <w:rFonts w:ascii="Calibri" w:cs="Calibri" w:eastAsia="Calibri" w:hAnsi="Calibri"/>
          <w:b w:val="false"/>
          <w:bCs w:val="false"/>
          <w:i w:val="false"/>
          <w:iCs w:val="false"/>
          <w:color w:val="3A2E28"/>
          <w:sz w:val="20"/>
          <w:szCs w:val="20"/>
        </w:rPr>
        <w:t xml:space="preserve">Version 1.1 stated a 150 m exclusion radius without deriving it. Version 1.5 derives every hazard distance from the maximum permissible exposure so the operations manual rests on arithmetic rather than on convention. At 1080 nm the maximum permissible exposure for ocular exposures of 10 seconds or longer is 50 W/m2 under IEC 60825-1, applying the retinal-hazard correction factor for this wavelength.</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600"/>
        <w:gridCol w:w="1900"/>
        <w:gridCol w:w="4580"/>
      </w:tblGrid>
      <w:tr>
        <w:trPr>
          <w:tblHeader/>
        </w:trPr>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Hazard distance</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Value</w:t>
            </w:r>
          </w:p>
        </w:tc>
        <w:tc>
          <w:tcPr>
            <w:tcW w:type="dxa" w:w="4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Derivation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Nominal ocular hazard distance, direct intrabeam</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68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single 2 kW source falls to 50 W/m2 when spread across 40 m2. Expanding geometrically from the 0.140 m2 footprint at 4.0 m gives 68 m along the beam axis.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reflection hazard radius, 10 percent reflectance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1.13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Lambertian scatter of 200 W falls to 50 W/m2 at this radius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reflection hazard radius, 20 percent reflectance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Representative of dry vegetation at 1080 nm</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reflection hazard radius, 40 percent reflectance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2.26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Bounding case for light-coloured rock or dry sand</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ground intercept envelope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1.46 m from nadir</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Tilt hard stop of 20 degrees at 4.0 m standoff; slant range 4.26 m</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Operational ground exclusion radius</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150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 times the nominal ocular hazard distance, with margin for specular reflection from water, wet rock, or metallic debris</w:t>
            </w:r>
          </w:p>
        </w:tc>
      </w:tr>
    </w:tbl>
    <w:p>
      <w:pPr>
        <w:spacing w:after="200" w:before="60"/>
      </w:pPr>
      <w:r>
        <w:rPr>
          <w:rFonts w:ascii="Calibri" w:cs="Calibri" w:eastAsia="Calibri" w:hAnsi="Calibri"/>
          <w:i/>
          <w:iCs/>
          <w:color w:val="6B5A4E"/>
          <w:sz w:val="17"/>
          <w:szCs w:val="17"/>
        </w:rPr>
        <w:t xml:space="preserve">Table 14: Derived laser hazard distances. The dominant residual hazard is specular reflection rather than direct intrabeam viewing, because the tilt stop and the altitude interlock make direct exposure at range geometrically impossible.</w:t>
      </w:r>
    </w:p>
    <w:p>
      <w:pPr>
        <w:spacing w:after="120" w:before="60" w:line="276"/>
        <w:jc w:val="left"/>
      </w:pPr>
      <w:r>
        <w:rPr>
          <w:rFonts w:ascii="Calibri" w:cs="Calibri" w:eastAsia="Calibri" w:hAnsi="Calibri"/>
          <w:b w:val="false"/>
          <w:bCs w:val="false"/>
          <w:i w:val="false"/>
          <w:iCs w:val="false"/>
          <w:color w:val="3A2E28"/>
          <w:sz w:val="20"/>
          <w:szCs w:val="20"/>
        </w:rPr>
        <w:t xml:space="preserve">The interlock set that enforces these distances is stated below. Every item is implemented in the hardwired safety controller chain, and every item is verified for trip latency in Phase 3 against deliberately induced faults.</w:t>
      </w:r>
    </w:p>
    <w:p>
      <w:pPr>
        <w:pStyle w:val="ListParagraph"/>
        <w:numPr>
          <w:ilvl w:val="0"/>
          <w:numId w:val="2"/>
        </w:numPr>
        <w:spacing w:after="70" w:before="40" w:line="264"/>
      </w:pPr>
      <w:r>
        <w:rPr>
          <w:rFonts w:ascii="Calibri" w:cs="Calibri" w:eastAsia="Calibri" w:hAnsi="Calibri"/>
          <w:color w:val="3A2E28"/>
          <w:sz w:val="20"/>
          <w:szCs w:val="20"/>
        </w:rPr>
        <w:t xml:space="preserve">Beam geometry: the turret hard-stops tilt at 20 degrees off nadir on every azimuth, so the beam physically reaches only the ground inside a 2.9 m circle below the aircraft. The nominal hazard zone sits entirely within the treatment footprint area at ground level.</w:t>
      </w:r>
    </w:p>
    <w:p>
      <w:pPr>
        <w:pStyle w:val="ListParagraph"/>
        <w:numPr>
          <w:ilvl w:val="0"/>
          <w:numId w:val="2"/>
        </w:numPr>
        <w:spacing w:after="70" w:before="40" w:line="264"/>
      </w:pPr>
      <w:r>
        <w:rPr>
          <w:rFonts w:ascii="Calibri" w:cs="Calibri" w:eastAsia="Calibri" w:hAnsi="Calibri"/>
          <w:color w:val="3A2E28"/>
          <w:sz w:val="20"/>
          <w:szCs w:val="20"/>
        </w:rPr>
        <w:t xml:space="preserve">Altitude interlock: the safety chain enables the beam only between 2 and 6 m above ground level on the fused lidar-radar altitude. Outside that envelope the shutters close in hardware.</w:t>
      </w:r>
    </w:p>
    <w:p>
      <w:pPr>
        <w:pStyle w:val="ListParagraph"/>
        <w:numPr>
          <w:ilvl w:val="0"/>
          <w:numId w:val="2"/>
        </w:numPr>
        <w:spacing w:after="70" w:before="40" w:line="264"/>
      </w:pPr>
      <w:r>
        <w:rPr>
          <w:rFonts w:ascii="Calibri" w:cs="Calibri" w:eastAsia="Calibri" w:hAnsi="Calibri"/>
          <w:color w:val="3A2E28"/>
          <w:sz w:val="20"/>
          <w:szCs w:val="20"/>
        </w:rPr>
        <w:t xml:space="preserve">Attitude interlock: pitch or roll beyond 25 degrees cuts the beam in under 50 ms.</w:t>
      </w:r>
    </w:p>
    <w:p>
      <w:pPr>
        <w:pStyle w:val="ListParagraph"/>
        <w:numPr>
          <w:ilvl w:val="0"/>
          <w:numId w:val="2"/>
        </w:numPr>
        <w:spacing w:after="70" w:before="40" w:line="264"/>
      </w:pPr>
      <w:r>
        <w:rPr>
          <w:rFonts w:ascii="Calibri" w:cs="Calibri" w:eastAsia="Calibri" w:hAnsi="Calibri"/>
          <w:color w:val="3A2E28"/>
          <w:sz w:val="20"/>
          <w:szCs w:val="20"/>
        </w:rPr>
        <w:t xml:space="preserve">Link interlock: degradation of all three command links cuts the beam immediately. The store-and-forward recorder changes nothing about beam discipline.</w:t>
      </w:r>
    </w:p>
    <w:p>
      <w:pPr>
        <w:pStyle w:val="ListParagraph"/>
        <w:numPr>
          <w:ilvl w:val="0"/>
          <w:numId w:val="2"/>
        </w:numPr>
        <w:spacing w:after="70" w:before="40" w:line="264"/>
      </w:pPr>
      <w:r>
        <w:rPr>
          <w:rFonts w:ascii="Calibri" w:cs="Calibri" w:eastAsia="Calibri" w:hAnsi="Calibri"/>
          <w:color w:val="3A2E28"/>
          <w:sz w:val="20"/>
          <w:szCs w:val="20"/>
        </w:rPr>
        <w:t xml:space="preserve">Wind interlock: the onboard anemometer pauses treatment above 8 m/s sustained and the beam stays off until winds settle.</w:t>
      </w:r>
    </w:p>
    <w:p>
      <w:pPr>
        <w:pStyle w:val="ListParagraph"/>
        <w:numPr>
          <w:ilvl w:val="0"/>
          <w:numId w:val="2"/>
        </w:numPr>
        <w:spacing w:after="70" w:before="40" w:line="264"/>
      </w:pPr>
      <w:r>
        <w:rPr>
          <w:rFonts w:ascii="Calibri" w:cs="Calibri" w:eastAsia="Calibri" w:hAnsi="Calibri"/>
          <w:color w:val="3A2E28"/>
          <w:sz w:val="20"/>
          <w:szCs w:val="20"/>
        </w:rPr>
        <w:t xml:space="preserve">Exclusion: the 150 m ground exclusion radius applies during treatment, with OD7+ curtains screening the launch and recovery zone and OD7+ eyewear for all crew inside the controlled area.</w:t>
      </w:r>
    </w:p>
    <w:p>
      <w:pPr>
        <w:pStyle w:val="ListParagraph"/>
        <w:numPr>
          <w:ilvl w:val="0"/>
          <w:numId w:val="2"/>
        </w:numPr>
        <w:spacing w:after="70" w:before="40" w:line="264"/>
      </w:pPr>
      <w:r>
        <w:rPr>
          <w:rFonts w:ascii="Calibri" w:cs="Calibri" w:eastAsia="Calibri" w:hAnsi="Calibri"/>
          <w:color w:val="3A2E28"/>
          <w:sz w:val="20"/>
          <w:szCs w:val="20"/>
        </w:rPr>
        <w:t xml:space="preserve">Alignment verification: each sortie begins with a low-power shot onto the calibrated ground target. A failed footprint check grounds the laser stack.</w:t>
      </w:r>
    </w:p>
    <w:p>
      <w:pPr>
        <w:pStyle w:val="ListParagraph"/>
        <w:numPr>
          <w:ilvl w:val="0"/>
          <w:numId w:val="2"/>
        </w:numPr>
        <w:spacing w:after="70" w:before="40" w:line="264"/>
      </w:pPr>
      <w:r>
        <w:rPr>
          <w:rFonts w:ascii="Calibri" w:cs="Calibri" w:eastAsia="Calibri" w:hAnsi="Calibri"/>
          <w:color w:val="3A2E28"/>
          <w:sz w:val="20"/>
          <w:szCs w:val="20"/>
        </w:rPr>
        <w:t xml:space="preserve">Fire behaviour: the dose controller holds treatment inside the pyrolysis window by closed-loop control as Section 9.4 describes, two dissimilar flame detectors abort any patch that flares within 100 ms, and the trail thermal camera scores cooling curves against the signature library on every belt before the corridor counts as treated.</w:t>
      </w:r>
    </w:p>
    <w:p>
      <w:pPr>
        <w:pStyle w:val="Heading2"/>
        <w:spacing w:after="110" w:before="240"/>
      </w:pPr>
      <w:r>
        <w:rPr>
          <w:rFonts w:ascii="Calibri" w:cs="Calibri" w:eastAsia="Calibri" w:hAnsi="Calibri"/>
          <w:b/>
          <w:bCs/>
          <w:color w:val="3A2E28"/>
          <w:sz w:val="24"/>
          <w:szCs w:val="24"/>
        </w:rPr>
        <w:t xml:space="preserve">11.2 Flight Safety</w:t>
      </w:r>
    </w:p>
    <w:p>
      <w:pPr>
        <w:pStyle w:val="ListParagraph"/>
        <w:numPr>
          <w:ilvl w:val="0"/>
          <w:numId w:val="2"/>
        </w:numPr>
        <w:spacing w:after="70" w:before="40" w:line="264"/>
      </w:pPr>
      <w:r>
        <w:rPr>
          <w:rFonts w:ascii="Calibri" w:cs="Calibri" w:eastAsia="Calibri" w:hAnsi="Calibri"/>
          <w:color w:val="3A2E28"/>
          <w:sz w:val="20"/>
          <w:szCs w:val="20"/>
        </w:rPr>
        <w:t xml:space="preserve">Single engine out: the surviving engine-generator supplies 101 kW continuous against a 140.1 kW hover demand, so the buffer battery covers the 39 kW shortfall for roughly 12 minutes at maximum takeoff weight. The aircraft cuts the beam, jettisons the treatment module if the situation warrants, dumps fuel above 50 m, and executes a powered descent to the best graded landing zone. Module jettison alone restores 120 kg and brings hover demand to 122 kW, inside the surviving engine's continuous rating with margin.</w:t>
      </w:r>
    </w:p>
    <w:p>
      <w:pPr>
        <w:pStyle w:val="ListParagraph"/>
        <w:numPr>
          <w:ilvl w:val="0"/>
          <w:numId w:val="2"/>
        </w:numPr>
        <w:spacing w:after="70" w:before="40" w:line="264"/>
      </w:pPr>
      <w:r>
        <w:rPr>
          <w:rFonts w:ascii="Calibri" w:cs="Calibri" w:eastAsia="Calibri" w:hAnsi="Calibri"/>
          <w:color w:val="3A2E28"/>
          <w:sz w:val="20"/>
          <w:szCs w:val="20"/>
        </w:rPr>
        <w:t xml:space="preserve">Both engines out: the 9.0 kWh buffer at 8.1 kWh usable sustains 3.5 minutes at full hover power at maximum takeoff weight and 5.8 minutes in the reduced-power descent profile, steered to the best graded landing zone by the finder of Section 8.2. The ballistic parachute covers failures above 45 m above ground level.</w:t>
      </w:r>
    </w:p>
    <w:p>
      <w:pPr>
        <w:pStyle w:val="ListParagraph"/>
        <w:numPr>
          <w:ilvl w:val="0"/>
          <w:numId w:val="2"/>
        </w:numPr>
        <w:spacing w:after="70" w:before="40" w:line="264"/>
      </w:pPr>
      <w:r>
        <w:rPr>
          <w:rFonts w:ascii="Calibri" w:cs="Calibri" w:eastAsia="Calibri" w:hAnsi="Calibri"/>
          <w:color w:val="3A2E28"/>
          <w:sz w:val="20"/>
          <w:szCs w:val="20"/>
        </w:rPr>
        <w:t xml:space="preserve">Motor or controller out: the octocopter retains yaw and translation authority on seven stations at partial throttle, seven-station hover demand of 143 kW at the rotor shafts stays inside the installed rating, and the aircraft lands immediately.</w:t>
      </w:r>
    </w:p>
    <w:p>
      <w:pPr>
        <w:pStyle w:val="ListParagraph"/>
        <w:numPr>
          <w:ilvl w:val="0"/>
          <w:numId w:val="2"/>
        </w:numPr>
        <w:spacing w:after="70" w:before="40" w:line="264"/>
      </w:pPr>
      <w:r>
        <w:rPr>
          <w:rFonts w:ascii="Calibri" w:cs="Calibri" w:eastAsia="Calibri" w:hAnsi="Calibri"/>
          <w:color w:val="3A2E28"/>
          <w:sz w:val="20"/>
          <w:szCs w:val="20"/>
        </w:rPr>
        <w:t xml:space="preserve">Battery string fault: either string alone carries the full descent profile, and a string fault is an advisory rather than an emergency. A second string fault ends the sortie immediately.</w:t>
      </w:r>
    </w:p>
    <w:p>
      <w:pPr>
        <w:pStyle w:val="ListParagraph"/>
        <w:numPr>
          <w:ilvl w:val="0"/>
          <w:numId w:val="2"/>
        </w:numPr>
        <w:spacing w:after="70" w:before="40" w:line="264"/>
      </w:pPr>
      <w:r>
        <w:rPr>
          <w:rFonts w:ascii="Calibri" w:cs="Calibri" w:eastAsia="Calibri" w:hAnsi="Calibri"/>
          <w:color w:val="3A2E28"/>
          <w:sz w:val="20"/>
          <w:szCs w:val="20"/>
        </w:rPr>
        <w:t xml:space="preserve">Fuel jettison: ahead of any anticipated forced landing, gravity dump valves shed up to 260 L, cutting landing mass and post-crash fire load.</w:t>
      </w:r>
    </w:p>
    <w:p>
      <w:pPr>
        <w:pStyle w:val="ListParagraph"/>
        <w:numPr>
          <w:ilvl w:val="0"/>
          <w:numId w:val="2"/>
        </w:numPr>
        <w:spacing w:after="70" w:before="40" w:line="264"/>
      </w:pPr>
      <w:r>
        <w:rPr>
          <w:rFonts w:ascii="Calibri" w:cs="Calibri" w:eastAsia="Calibri" w:hAnsi="Calibri"/>
          <w:color w:val="3A2E28"/>
          <w:sz w:val="20"/>
          <w:szCs w:val="20"/>
        </w:rPr>
        <w:t xml:space="preserve">Engine health: FADEC channels plus cylinder-head temperature, oil trends, and vibration spectra watch both engines continuously. Amber bands end the sortie, red bands command descent.</w:t>
      </w:r>
    </w:p>
    <w:p>
      <w:pPr>
        <w:pStyle w:val="ListParagraph"/>
        <w:numPr>
          <w:ilvl w:val="0"/>
          <w:numId w:val="2"/>
        </w:numPr>
        <w:spacing w:after="70" w:before="40" w:line="264"/>
      </w:pPr>
      <w:r>
        <w:rPr>
          <w:rFonts w:ascii="Calibri" w:cs="Calibri" w:eastAsia="Calibri" w:hAnsi="Calibri"/>
          <w:color w:val="3A2E28"/>
          <w:sz w:val="20"/>
          <w:szCs w:val="20"/>
        </w:rPr>
        <w:t xml:space="preserve">Downwash and embers: Section 3.4 states this hazard in full and rates it Medium pending Phase 4 plot measurement. The 4 m standoff and the 20 percent lower induced velocity against v1.1 reduce it; neither eliminates it.</w:t>
      </w:r>
    </w:p>
    <w:p>
      <w:pPr>
        <w:pStyle w:val="ListParagraph"/>
        <w:numPr>
          <w:ilvl w:val="0"/>
          <w:numId w:val="2"/>
        </w:numPr>
        <w:spacing w:after="70" w:before="40" w:line="264"/>
      </w:pPr>
      <w:r>
        <w:rPr>
          <w:rFonts w:ascii="Calibri" w:cs="Calibri" w:eastAsia="Calibri" w:hAnsi="Calibri"/>
          <w:color w:val="3A2E28"/>
          <w:sz w:val="20"/>
          <w:szCs w:val="20"/>
        </w:rPr>
        <w:t xml:space="preserve">Geofence: a hard geofence bounds every operation, with a maximum treatment altitude of 6 m above ground level and transit corridors planned over pre-surveyed landing zones.</w:t>
      </w:r>
    </w:p>
    <w:p>
      <w:pPr>
        <w:pStyle w:val="Heading2"/>
        <w:spacing w:after="110" w:before="240"/>
      </w:pPr>
      <w:r>
        <w:rPr>
          <w:rFonts w:ascii="Calibri" w:cs="Calibri" w:eastAsia="Calibri" w:hAnsi="Calibri"/>
          <w:b/>
          <w:bCs/>
          <w:color w:val="3A2E28"/>
          <w:sz w:val="24"/>
          <w:szCs w:val="24"/>
        </w:rPr>
        <w:t xml:space="preserve">11.3 Failure Modes and Effects Summary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700"/>
        <w:gridCol w:w="1700"/>
        <w:gridCol w:w="2400"/>
        <w:gridCol w:w="3280"/>
      </w:tblGrid>
      <w:tr>
        <w:trPr>
          <w:tblHeader/>
        </w:trPr>
        <w:tc>
          <w:tcPr>
            <w:tcW w:type="dxa" w:w="2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Failure</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Detection</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Immediate action</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Outcome</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engine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FADEC fault plus bus voltage trend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battery support, fuel dump above 50 m, module jettison if required</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Powered descent to graded landing zone</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Both engines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 collapse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descent profile on battery, landing-zone steer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5.8 minutes to touchdown; parachute above 45 m</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or controller</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Commutation fault within one cycle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Thrust redistribution across seven stations</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Immediate controlled landing</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fault code, thermal camera footprint loss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Single-source treatment at half width</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continues at reduced throughput</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 loop</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Flow, pressure, or temperature red band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Hardwired shutter close</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aircraft returns</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command links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Triple link watchdog</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30 s hover hold, return to launch</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Autonomous recovery on recorded corridor</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azimuth drive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Position feedback disagreement</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turret to stow</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aircraft returns</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string</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String management fault or cell voltage divergence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String contactor opens, advisory raised</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continues on remaining string</w:t>
            </w:r>
          </w:p>
        </w:tc>
      </w:tr>
    </w:tbl>
    <w:p>
      <w:pPr>
        <w:spacing w:after="200" w:before="60"/>
      </w:pPr>
      <w:r>
        <w:rPr>
          <w:rFonts w:ascii="Calibri" w:cs="Calibri" w:eastAsia="Calibri" w:hAnsi="Calibri"/>
          <w:i/>
          <w:iCs/>
          <w:color w:val="6B5A4E"/>
          <w:sz w:val="17"/>
          <w:szCs w:val="17"/>
        </w:rPr>
        <w:t xml:space="preserve">Table 15: Summary failure modes and effects. Every row is exercised in Phase 3 against induced faults, and trip latency is recorded against the specification in each case.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12. Tethered Operations Option</w:t>
      </w:r>
    </w:p>
    <w:p>
      <w:pPr>
        <w:spacing w:after="120" w:before="60" w:line="276"/>
        <w:jc w:val="left"/>
      </w:pPr>
      <w:r>
        <w:rPr>
          <w:rFonts w:ascii="Calibri" w:cs="Calibri" w:eastAsia="Calibri" w:hAnsi="Calibri"/>
          <w:b w:val="false"/>
          <w:bCs w:val="false"/>
          <w:i w:val="false"/>
          <w:iCs w:val="false"/>
          <w:color w:val="3A2E28"/>
          <w:sz w:val="20"/>
          <w:szCs w:val="20"/>
        </w:rPr>
        <w:t xml:space="preserve">For fixed-site work a tether kit converts the E6 to unlimited endurance. Version 1.1 specified a 30 kW ground generator for this role, which correction C-8 records as an order-of-magnitude undersizing: the aircraft draws 140 kW at the bus in hover and no tether changes that.</w:t>
      </w:r>
    </w:p>
    <w:p>
      <w:pPr>
        <w:spacing w:after="120" w:before="60" w:line="276"/>
        <w:jc w:val="left"/>
      </w:pPr>
      <w:r>
        <w:rPr>
          <w:rFonts w:ascii="Calibri" w:cs="Calibri" w:eastAsia="Calibri" w:hAnsi="Calibri"/>
          <w:b w:val="false"/>
          <w:bCs w:val="false"/>
          <w:i w:val="false"/>
          <w:iCs w:val="false"/>
          <w:color w:val="3A2E28"/>
          <w:sz w:val="20"/>
          <w:szCs w:val="20"/>
        </w:rPr>
        <w:t xml:space="preserve">Flying tethered, the aircraft carries no fuel and no fuel-system mass penalty beyond the empty tanks, and it carries 18 kg of tether. Airborne mass falls to 784 kg, hover rotor power falls to 86.8 kW, and bus demand falls to 105.7 kW with the treatment stack running. Allowing 7 percent for tether resistive loss and ground conversion, the ground set supplies 114 kW at the reel, which specifies a 142 kVA class generator rather than a 30 kW one.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2200"/>
        <w:gridCol w:w="44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Tether voltage</w:t>
            </w:r>
          </w:p>
        </w:tc>
        <w:tc>
          <w:tcPr>
            <w:tcW w:type="dxa" w:w="2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Current at 105.7 kW</w:t>
            </w:r>
          </w:p>
        </w:tc>
        <w:tc>
          <w:tcPr>
            <w:tcW w:type="dxa" w:w="4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DC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132 A</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Matches the aircraft bus directly, no onboard conversion, heaviest conductor</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V DC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106 A</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Modest onboard step-down, 20 percent lighter conductor, standard tether-industry practice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1,500 V DC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70 A</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Lightest conductor, requires a substantial onboard converter and raises insulation coordination demands at altitude</w:t>
            </w:r>
          </w:p>
        </w:tc>
      </w:tr>
    </w:tbl>
    <w:p>
      <w:pPr>
        <w:spacing w:after="200" w:before="60"/>
      </w:pPr>
      <w:r>
        <w:rPr>
          <w:rFonts w:ascii="Calibri" w:cs="Calibri" w:eastAsia="Calibri" w:hAnsi="Calibri"/>
          <w:i/>
          <w:iCs/>
          <w:color w:val="6B5A4E"/>
          <w:sz w:val="17"/>
          <w:szCs w:val="17"/>
        </w:rPr>
        <w:t xml:space="preserve">Table 16: Tether electrical trade. The programme selects 1,000 V DC as the design point, accepting a compact onboard step-down in exchange for conductor mass and resistive loss.</w:t>
      </w:r>
    </w:p>
    <w:p>
      <w:pPr>
        <w:spacing w:after="120" w:before="60" w:line="276"/>
        <w:jc w:val="left"/>
      </w:pPr>
      <w:r>
        <w:rPr>
          <w:rFonts w:ascii="Calibri" w:cs="Calibri" w:eastAsia="Calibri" w:hAnsi="Calibri"/>
          <w:b w:val="false"/>
          <w:bCs w:val="false"/>
          <w:i w:val="false"/>
          <w:iCs w:val="false"/>
          <w:color w:val="3A2E28"/>
          <w:sz w:val="20"/>
          <w:szCs w:val="20"/>
        </w:rPr>
        <w:t xml:space="preserve">The kit comprises a motorised reel with 120 m of high-voltage tether, a slip-ring interface, an onboard step-down stage, and a 142 kVA ground generator set. Tethered, the aircraft treats continuously at full duty with no fuel burn and no endurance clock, at the cost of a 120 m operating radius. The kit suits linear fuel breaks along roads, powerline corridors, and helipad-adjacent sites where a ground station sits securely. The free-flight E6 remains the primary configuration; the tether kit prices separately in Section 13 as an option, not a dependency. Tethered operations also offer the gentlest regulatory entry point for early flight testing, since the aircraft never leaves a defined volume.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13. Consolidated Bill of Materials</w:t>
      </w:r>
    </w:p>
    <w:p>
      <w:pPr>
        <w:spacing w:after="120" w:before="60" w:line="276"/>
        <w:jc w:val="left"/>
      </w:pPr>
      <w:r>
        <w:rPr>
          <w:rFonts w:ascii="Calibri" w:cs="Calibri" w:eastAsia="Calibri" w:hAnsi="Calibri"/>
          <w:b w:val="false"/>
          <w:bCs w:val="false"/>
          <w:i w:val="false"/>
          <w:iCs w:val="false"/>
          <w:color w:val="3A2E28"/>
          <w:sz w:val="20"/>
          <w:szCs w:val="20"/>
        </w:rPr>
        <w:t xml:space="preserve">Every line names a real, procurable part or a clearly flagged budgetary class. Prices are Canadian dollars; Appendix A lists sourcing notes and exchange assumptions. Budgetary lines carry composite-shop or vendor-class estimates and carry the 15 percent programme contingency. Changed lines against v1.1 follow the corrections recorded in Section 20, and the largest single changes are the powerplant, the rotor system, and the treatment turret.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900"/>
        <w:gridCol w:w="560"/>
        <w:gridCol w:w="1000"/>
        <w:gridCol w:w="1100"/>
        <w:gridCol w:w="3520"/>
      </w:tblGrid>
      <w:tr>
        <w:trPr>
          <w:tblHeader/>
        </w:trPr>
        <w:tc>
          <w:tcPr>
            <w:tcW w:type="dxa" w:w="3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Part</w:t>
            </w:r>
          </w:p>
        </w:tc>
        <w:tc>
          <w:tcPr>
            <w:tcW w:type="dxa" w:w="56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Qty</w:t>
            </w:r>
          </w:p>
        </w:tc>
        <w:tc>
          <w:tcPr>
            <w:tcW w:type="dxa" w:w="10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Unit CAD</w:t>
            </w:r>
          </w:p>
        </w:tc>
        <w:tc>
          <w:tcPr>
            <w:tcW w:type="dxa" w:w="11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Total CAD</w:t>
            </w:r>
          </w:p>
        </w:tc>
        <w:tc>
          <w:tcPr>
            <w:tcW w:type="dxa" w:w="352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Source</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Rotax 916 iS aircraft engine, 101 kW MCP / 117 kW takeoff, FADEC turbo EFI</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71,500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143,000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Rotech Motor Ltd., Vernon BC; 2026 CAD list class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installation kit: exhaust, radiators, intercooler, oil system, ring mount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Rotech / custom;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system: 2 x 170 L crashworthy bladder tanks, pumps, filters, crossfeed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Aircraft Spruce / custom bladders;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jettison dump valves, actuators and plumbing</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Aircraft Spruce / custom;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Capacitive fuel quantity probe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CiES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Axial-flux PM generator (EMRAX 268 class), 1.70:1 belt drive, active rectifier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EMRAX via Canadian integrators;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HV DC bus panel: contactors, pre-charge, fusing, branch monitoring</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Gigavac / TE / Sensata parts, custom assembly;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9.0 kWh, two independent 800 V strings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Purpose-built 21700 pack;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management, string contactors, fusing, balancing loom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Direct-drive lift motor, 155 Nm continuous at 976 rpm, 800 V</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54,400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MAD / T-Motor heavy-lift class, custom wind;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controller (ESC), 800 V / 250 A, field-oriented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MAD / Sevcon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104-inch two-blade carbon folding rotor (8 fitted, 4 spares)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Composite blade shop, helicopter-blade practice;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Carbon flat-octocopter frame, folding arms, 10.2 m span, turret hardpoint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Composite shop fabrication;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Tall-stance carbon landing gear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Composite fabrication;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Ballistic recovery parachute, 1,100 kg class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AVSS / Mars Parachutes heavy-UAV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Vibration isolation, fasteners, brackets, integration hardware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 kW CW fibre laser source, OEM DC-input water-cooled variant, 1080 nm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Raycus RFL-C2000S class; MAX / IPG alternates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QBH delivery fibre, 5 m armoured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Raycus / OEOLabs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Collimator and cylindrical top-hat homogeniser, 500 mm FL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Edmund Optics / Thorlabs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Three-axis treatment turret, +/-270 deg azimuth, 30 kg rated, slip ring</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Custom;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Tool-less quick-disconnect set: blind-mate electrical, self-sealing fluid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Staubli / CPC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Liquid cooling loop: plate HX, ram-air duct, pump, 6 L, window purge air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Boyd / Lytron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Cube Orange+ flight controller, Here4 RTK, triple-redundant power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CubePilot via Canadian resellers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condition monitoring: FADEC data bridge, crankcase vibration, oil trend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Kanardia / MGL class with vibration kit;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FLIR A70 radiometric thermal camera core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Teledyne FLIR via Mouser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Avantes AvaSpec-ULS2048CL-EVO OES spectrometer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6,200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Avantes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FS24X triple-IR flame detector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7,525</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7,525</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via Anixter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FS20X UV/dual-IR flame detector (dissimilar backup)</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via Anixter Canada;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Ouster OS0 ultra-wide 3D lidar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Ouster via RobotShop;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Emlid Reach RS2+ RTK base and rover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Emlid</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Intel RealSense D455 depth camera</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Intel via Digi-Key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Radar altimeter, 0 to 100 m AGL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Nanoradar / LightWare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Ultrasonic 3-axis anemometer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Gill WindSonic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Five-band multispectral camera (fuel moisture index)</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MicaSense RedEdge class via AgEagle;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Campbell Scientific compact weather station (ground)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Campbell Scientific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NVIDIA Jetson Orin NX 16 GB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NVIDIA distributors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CX9020 embedded safety PLC</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EtherCAT I/O terminal set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IP67 enclosures, connectors, cable harness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Microhard pMDDL2350 encrypted mesh data link</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1,540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1,540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Microhard via RF Design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Panasonic Toughbook 55 ground control laptop</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Panasonic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Starlink Mini terminal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399</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399</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Starlink</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Independent 900 MHz RC kill link</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DragonLink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Crash-survivable black-box recorder and audit storage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OD7+ laser safety curtain set, 4 panels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2,300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2,300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Lasermet / Kentek</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OD7+ laser safety eyewear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Lasermet / Uvex</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warning signage set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Pilz safety-rated e-stop station</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Pilz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Spare laser source with collimator and optics, field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Raycus / Edmund Optics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Pre-flight laser alignment target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 V / 3 kW ground power unit cart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START PAC / Red Box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and arm handling / folding jig, transport cradle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Software: landing-zone finder, fire detection, fleet mesh, thermal library</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 development</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Integration, assembly, and ground-run test labour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34,000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SUBTOTAL</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677,654</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Program contingency, 15 percent</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101,648</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Applied across all budgetary lines</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E6 v1.5 as specified</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779,302</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OPTION: tether kit, 120 m HV tether with motorised reel and step-down</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w:t>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62,000</w:t>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62,000</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Elistair class; budgetary; excluded from total</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OPTION: 142 kVA ground generator set for tether operations</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w:t>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58,000</w:t>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58,000</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Cummins / Generac class; excluded from total</w:t>
            </w:r>
          </w:p>
        </w:tc>
      </w:tr>
    </w:tbl>
    <w:p>
      <w:pPr>
        <w:spacing w:after="200" w:before="60"/>
      </w:pPr>
      <w:r>
        <w:rPr>
          <w:rFonts w:ascii="Calibri" w:cs="Calibri" w:eastAsia="Calibri" w:hAnsi="Calibri"/>
          <w:i/>
          <w:iCs/>
          <w:color w:val="6B5A4E"/>
          <w:sz w:val="17"/>
          <w:szCs w:val="17"/>
        </w:rPr>
        <w:t xml:space="preserve">Table 17: Consolidated bill of materials, Contra Favillas Aerial E6 v1.5. Optional tether equipment is listed separately and excluded from the total.</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14. Cost Summary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5080"/>
        <w:gridCol w:w="2500"/>
        <w:gridCol w:w="2500"/>
      </w:tblGrid>
      <w:tr>
        <w:trPr>
          <w:tblHeader/>
        </w:trPr>
        <w:tc>
          <w:tcPr>
            <w:tcW w:type="dxa" w:w="5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Subsystem group</w:t>
            </w:r>
          </w:p>
        </w:tc>
        <w:tc>
          <w:tcPr>
            <w:tcW w:type="dxa" w:w="2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(CAD)</w:t>
            </w:r>
          </w:p>
        </w:tc>
        <w:tc>
          <w:tcPr>
            <w:tcW w:type="dxa" w:w="2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Share</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Engines and fuel system</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170,800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25.2%</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Propulsion (motors, ESCs, rotors)</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104,000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15.3%</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Airframe and recovery</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101,700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15.0%</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Sensing</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81,625</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12.0%</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Hybrid powertrain (generators, bus, battery)</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65,900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9.7%</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optics and thermal</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55,700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Integration and software</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52,000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7.7%</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Safety equipment and spares</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14,490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support equipment</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13,500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Communications and ground control</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10,139</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Compute</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w:t>
            </w:r>
          </w:p>
        </w:tc>
      </w:tr>
      <w:tr>
        <w:trPr>
          <w:tblHeader w:val="false"/>
        </w:trPr>
        <w:tc>
          <w:tcPr>
            <w:tcW w:type="dxa" w:w="5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Subtotal</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677,654</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100%</w:t>
            </w:r>
          </w:p>
        </w:tc>
      </w:tr>
      <w:tr>
        <w:trPr>
          <w:tblHeader w:val="false"/>
        </w:trPr>
        <w:tc>
          <w:tcPr>
            <w:tcW w:type="dxa" w:w="5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Contingency, 15 percent</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101,648</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r>
      <w:tr>
        <w:trPr>
          <w:tblHeader w:val="false"/>
        </w:trPr>
        <w:tc>
          <w:tcPr>
            <w:tcW w:type="dxa" w:w="5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779,302</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r>
    </w:tbl>
    <w:p>
      <w:pPr>
        <w:spacing w:after="200" w:before="60"/>
      </w:pPr>
      <w:r>
        <w:rPr>
          <w:rFonts w:ascii="Calibri" w:cs="Calibri" w:eastAsia="Calibri" w:hAnsi="Calibri"/>
          <w:i/>
          <w:iCs/>
          <w:color w:val="6B5A4E"/>
          <w:sz w:val="17"/>
          <w:szCs w:val="17"/>
        </w:rPr>
        <w:t xml:space="preserve">Table 18: Cost by subsystem group, v1.5.</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5: Cost distribution. The twin aircraft engines remain the largest single block, and the corrected rotor and motor sizing moves propulsion into second place.</w:t>
      </w:r>
    </w:p>
    <w:p>
      <w:pPr>
        <w:spacing w:after="120" w:before="60" w:line="276"/>
        <w:jc w:val="left"/>
      </w:pPr>
      <w:r>
        <w:rPr>
          <w:rFonts w:ascii="Calibri" w:cs="Calibri" w:eastAsia="Calibri" w:hAnsi="Calibri"/>
          <w:b w:val="false"/>
          <w:bCs w:val="false"/>
          <w:i w:val="false"/>
          <w:iCs w:val="false"/>
          <w:color w:val="3A2E28"/>
          <w:sz w:val="20"/>
          <w:szCs w:val="20"/>
        </w:rPr>
        <w:t xml:space="preserve">The engines and their fuel system take 25 percent of the budget, and that proportion is the signature of truth in a six-hour design: endurance costs displacement, and displacement costs money. The complete treatment stack, comprising sources, optics, turret, cooling, the full sensing suite, and compute, comes to 145,125 CAD, about 21 percent of the aircraft it rides on, which is almost exactly the proportion v1.1 reported for a smaller aircraft and a lighter payload.</w:t>
      </w:r>
    </w:p>
    <w:p>
      <w:pPr>
        <w:spacing w:after="120" w:before="60" w:line="276"/>
        <w:jc w:val="left"/>
      </w:pPr>
      <w:r>
        <w:rPr>
          <w:rFonts w:ascii="Calibri" w:cs="Calibri" w:eastAsia="Calibri" w:hAnsi="Calibri"/>
          <w:b w:val="false"/>
          <w:bCs w:val="false"/>
          <w:i w:val="false"/>
          <w:iCs w:val="false"/>
          <w:color w:val="3A2E28"/>
          <w:sz w:val="20"/>
          <w:szCs w:val="20"/>
        </w:rPr>
        <w:t xml:space="preserve">The v1.5 corrections add roughly 116,000 CAD to the v1.1 subtotal. The bulk of that increase is not new capability. It is the cost of parts that are the size the physics requires: larger engines, larger rotors, larger motors, a larger frame, a larger parachute, and a battery sized on usable rather than nameplate energy. A design that closes on paper at a lower number does not become cheaper by closing incorrectly.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15. Assembly and Integration</w:t>
      </w:r>
    </w:p>
    <w:p>
      <w:pPr>
        <w:pStyle w:val="ListParagraph"/>
        <w:numPr>
          <w:ilvl w:val="0"/>
          <w:numId w:val="2"/>
        </w:numPr>
        <w:spacing w:after="70" w:before="40" w:line="264"/>
      </w:pPr>
      <w:r>
        <w:rPr>
          <w:rFonts w:ascii="Calibri" w:cs="Calibri" w:eastAsia="Calibri" w:hAnsi="Calibri"/>
          <w:color w:val="3A2E28"/>
          <w:sz w:val="20"/>
          <w:szCs w:val="20"/>
        </w:rPr>
        <w:t xml:space="preserve">Stage 1, powertrain bench: mount both engine-generator sets on the dynamometer frame, run the full fuel and electrical system, and characterise the bus across the load range. This bench run validates the generator-chain efficiency and the brake specific fuel consumption used in Section 2, baselines the engine vibration spectra for the health-monitoring library, and sets the isolator design for the source bay from measured data rather than from assumption.</w:t>
      </w:r>
    </w:p>
    <w:p>
      <w:pPr>
        <w:pStyle w:val="ListParagraph"/>
        <w:numPr>
          <w:ilvl w:val="0"/>
          <w:numId w:val="2"/>
        </w:numPr>
        <w:spacing w:after="70" w:before="40" w:line="264"/>
      </w:pPr>
      <w:r>
        <w:rPr>
          <w:rFonts w:ascii="Calibri" w:cs="Calibri" w:eastAsia="Calibri" w:hAnsi="Calibri"/>
          <w:color w:val="3A2E28"/>
          <w:sz w:val="20"/>
          <w:szCs w:val="20"/>
        </w:rPr>
        <w:t xml:space="preserve">Stage 2, frame build: laminate and assemble the centre frame, arms, and folding locks to the 1,100 kg structural design gross weight; proof-load each arm hinge to 1.5 times limit load and record the result against the arm serial number; install landing gear and turret hardpoint.</w:t>
      </w:r>
    </w:p>
    <w:p>
      <w:pPr>
        <w:pStyle w:val="ListParagraph"/>
        <w:numPr>
          <w:ilvl w:val="0"/>
          <w:numId w:val="2"/>
        </w:numPr>
        <w:spacing w:after="70" w:before="40" w:line="264"/>
      </w:pPr>
      <w:r>
        <w:rPr>
          <w:rFonts w:ascii="Calibri" w:cs="Calibri" w:eastAsia="Calibri" w:hAnsi="Calibri"/>
          <w:color w:val="3A2E28"/>
          <w:sz w:val="20"/>
          <w:szCs w:val="20"/>
        </w:rPr>
        <w:t xml:space="preserve">Stage 3, propulsion installation: mount motors, controllers, hubs, pitch actuators, and 104-inch rotors; run each station to rated thrust and rated torque on the bench with telemetry correlation against the sizing model; measure figure of merit on at least one station on a whirl stand before aircraft integration.</w:t>
      </w:r>
    </w:p>
    <w:p>
      <w:pPr>
        <w:pStyle w:val="ListParagraph"/>
        <w:numPr>
          <w:ilvl w:val="0"/>
          <w:numId w:val="2"/>
        </w:numPr>
        <w:spacing w:after="70" w:before="40" w:line="264"/>
      </w:pPr>
      <w:r>
        <w:rPr>
          <w:rFonts w:ascii="Calibri" w:cs="Calibri" w:eastAsia="Calibri" w:hAnsi="Calibri"/>
          <w:color w:val="3A2E28"/>
          <w:sz w:val="20"/>
          <w:szCs w:val="20"/>
        </w:rPr>
        <w:t xml:space="preserve">Stage 4, systems integration: install tanks, dump valves, quantity probes, both battery strings, avionics, flight controller, anemometer, and parachute; complete harness continuity, insulation resistance, and electromagnetic compatibility checks at 800 V; weigh and balance against the Table 7 budget and publish the delta.</w:t>
      </w:r>
    </w:p>
    <w:p>
      <w:pPr>
        <w:pStyle w:val="ListParagraph"/>
        <w:numPr>
          <w:ilvl w:val="0"/>
          <w:numId w:val="2"/>
        </w:numPr>
        <w:spacing w:after="70" w:before="40" w:line="264"/>
      </w:pPr>
      <w:r>
        <w:rPr>
          <w:rFonts w:ascii="Calibri" w:cs="Calibri" w:eastAsia="Calibri" w:hAnsi="Calibri"/>
          <w:color w:val="3A2E28"/>
          <w:sz w:val="20"/>
          <w:szCs w:val="20"/>
        </w:rPr>
        <w:t xml:space="preserve">Stage 5, treatment module build: assemble the source bay offline with sources, isolation cradles, cooling loop, purge air, compute, and safety controller; assemble the turret with heads, optics, and sensors; bench-run the full treatment stack on a static target from the ground power cart, including the alignment-verification shot and every interlock in the Table 15 list, before aircraft mating.</w:t>
      </w:r>
    </w:p>
    <w:p>
      <w:pPr>
        <w:pStyle w:val="ListParagraph"/>
        <w:numPr>
          <w:ilvl w:val="0"/>
          <w:numId w:val="2"/>
        </w:numPr>
        <w:spacing w:after="70" w:before="40" w:line="264"/>
      </w:pPr>
      <w:r>
        <w:rPr>
          <w:rFonts w:ascii="Calibri" w:cs="Calibri" w:eastAsia="Calibri" w:hAnsi="Calibri"/>
          <w:color w:val="3A2E28"/>
          <w:sz w:val="20"/>
          <w:szCs w:val="20"/>
        </w:rPr>
        <w:t xml:space="preserve">Stage 6, mate and ground run: dock the module on the quick-disconnects, run engines at full power on the tiedown to validate radiator and intercooler sizing without ram air, verify the interlock chain end to end including the dump valves and both flame-detector channels, then proceed to the flight programme in Section 17.</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16. Regulatory Pathway</w:t>
      </w:r>
    </w:p>
    <w:p>
      <w:pPr>
        <w:spacing w:after="120" w:before="60" w:line="276"/>
        <w:jc w:val="left"/>
      </w:pPr>
      <w:r>
        <w:rPr>
          <w:rFonts w:ascii="Calibri" w:cs="Calibri" w:eastAsia="Calibri" w:hAnsi="Calibri"/>
          <w:b w:val="false"/>
          <w:bCs w:val="false"/>
          <w:i w:val="false"/>
          <w:iCs w:val="false"/>
          <w:color w:val="3A2E28"/>
          <w:sz w:val="20"/>
          <w:szCs w:val="20"/>
        </w:rPr>
        <w:t xml:space="preserve">Section 25 supersedes this section with a ten-stage sequence carrying durations, dependencies, receiving authorities, and costs, and Appendix F lists the twenty documents the sequence requires. The headline findings of that detailed treatment are that the pathway runs 30 months rather than the 18 to 24 months estimated here, and that regulatory cost of 845,000 CAD exceeds the capital cost of the aircraft.</w:t>
      </w:r>
    </w:p>
    <w:p>
      <w:pPr>
        <w:spacing w:after="120" w:before="60" w:line="276"/>
        <w:jc w:val="left"/>
      </w:pPr>
      <w:r>
        <w:rPr>
          <w:rFonts w:ascii="Calibri" w:cs="Calibri" w:eastAsia="Calibri" w:hAnsi="Calibri"/>
          <w:b w:val="false"/>
          <w:bCs w:val="false"/>
          <w:i w:val="false"/>
          <w:iCs w:val="false"/>
          <w:color w:val="3A2E28"/>
          <w:sz w:val="20"/>
          <w:szCs w:val="20"/>
        </w:rPr>
        <w:t xml:space="preserve">This aircraft is not a consumer drone, and the document treats its certification as a first-class workstream. In Canada, remotely piloted aircraft above 25 kg require a Special Flight Operations Certificate for each operating area, and at 1,000 kg maximum takeoff weight the E6 sits far outside every standard RPAS category, which points toward an experimental or limited airworthiness arrangement negotiated with Transport Canada. The corrected mass moves the aircraft further from routine categories than v1.1 implied, and the document states that plainly rather than minimising it.</w:t>
      </w:r>
    </w:p>
    <w:p>
      <w:pPr>
        <w:spacing w:after="120" w:before="60" w:line="276"/>
        <w:jc w:val="left"/>
      </w:pPr>
      <w:r>
        <w:rPr>
          <w:rFonts w:ascii="Calibri" w:cs="Calibri" w:eastAsia="Calibri" w:hAnsi="Calibri"/>
          <w:b w:val="false"/>
          <w:bCs w:val="false"/>
          <w:i w:val="false"/>
          <w:iCs w:val="false"/>
          <w:color w:val="3A2E28"/>
          <w:sz w:val="20"/>
          <w:szCs w:val="20"/>
        </w:rPr>
        <w:t xml:space="preserve">Expect the regulator to ask for exactly what this design carries: redundant power sources, a ballistic recovery system, hard geofencing, engine health monitoring, a derived rather than asserted laser hazard analysis, and a documented safety case. The audit trail strengthens the application materially: the black box and the hash-chained laser log give investigators and auditors a complete, tamper-resistant record of every flight and every treated patch. Beyond-visual-line-of-sight treatment corridors need their own certificate with detect-and-avoid evidence; the lidar and triple-link architecture form the technical core of that application.</w:t>
      </w:r>
    </w:p>
    <w:p>
      <w:pPr>
        <w:spacing w:after="120" w:before="60" w:line="276"/>
        <w:jc w:val="left"/>
      </w:pPr>
      <w:r>
        <w:rPr>
          <w:rFonts w:ascii="Calibri" w:cs="Calibri" w:eastAsia="Calibri" w:hAnsi="Calibri"/>
          <w:b w:val="false"/>
          <w:bCs w:val="false"/>
          <w:i w:val="false"/>
          <w:iCs w:val="false"/>
          <w:color w:val="3A2E28"/>
          <w:sz w:val="20"/>
          <w:szCs w:val="20"/>
        </w:rPr>
        <w:t xml:space="preserve">The outdoor Class 4 laser adds a parallel track: coordination with provincial authorities, notification where operations fall near aerodromes, and Nav Canada awareness for operations near controlled airspace. Section 11.1 now derives every hazard distance from the maximum permissible exposure, which is the form a laser safety submission takes, rather than asserting an exclusion radius by convention.</w:t>
      </w:r>
    </w:p>
    <w:p>
      <w:pPr>
        <w:spacing w:after="120" w:before="60" w:line="276"/>
        <w:jc w:val="left"/>
      </w:pPr>
      <w:r>
        <w:rPr>
          <w:rFonts w:ascii="Calibri" w:cs="Calibri" w:eastAsia="Calibri" w:hAnsi="Calibri"/>
          <w:b w:val="false"/>
          <w:bCs w:val="false"/>
          <w:i w:val="false"/>
          <w:iCs w:val="false"/>
          <w:color w:val="3A2E28"/>
          <w:sz w:val="20"/>
          <w:szCs w:val="20"/>
        </w:rPr>
        <w:t xml:space="preserve">The fastest credible path runs through sponsorship: a provincial wildfire agency or research partnership operating the E6 as a public aircraft under agency authority, with the fire-service operational need documented. The programme budgets 18 to 24 months of regulatory work running in parallel with the build and test phases, and flags plainly that this effort rivals the airframe engineering in scale. Tethered fixed-site operations offer the gentlest entry point for early flight authority. The pilot of record holds an Advanced RPAS certificate with flight review, and the operations manual grows directly from Sections 11 and 17 of this document.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17. Test and Validation Program</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2200"/>
        <w:gridCol w:w="3600"/>
        <w:gridCol w:w="35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Phase</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Scope</w:t>
            </w:r>
          </w:p>
        </w:tc>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Key measurements</w:t>
            </w:r>
          </w:p>
        </w:tc>
        <w:tc>
          <w:tcPr>
            <w:tcW w:type="dxa" w:w="3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Exit criteria</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Bench dose calibration, shared with the ground programme</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Dose-response curves by fuel type and moisture; cone-calorimetry peak heat release verification; thermal signature library seeds; coupling efficiency against the Table 12 thermodynamic model</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Calibrated dwell tables and cooling-curve pass and fail bands replace all estimates programme-wide; measured coupling efficiency within 0.10 of the modelled 0.43</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Powertrain dynamometer</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Generator-chain efficiency, engine brake specific fuel consumption map at the actual operating point, bus stability under laser pulse load, engine vibration baselines, 800 V insulation and EMI survey</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brake specific fuel consumption at or below 0.265 kg/kWh, which Table 13 identifies as the only assumption whose plausible error breaks the requirement; health-monitoring bands validated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Whirl stand, tethered hover, and free-flight envelope</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 on an isolated 104-inch station; actual hover power against model; endurance flight to fuel exhaustion; dump-valve operation; battery string reserve verification under load</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figure of merit at or above 0.75; endurance within 10 percent of Table 6 predictions; jettison, probe, and reserve telemetry verified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integration, inert</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registration through full turret azimuth travel; interlock trip timing against every row of Table 15; altitude, attitude, and wind envelope logic; alignment-check procedure; landing-zone finder scoring against surveyed truth</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interlocks trip within specified latency over 200 induced faults; landing-zone grades match surveyed truth; no software path enables the beam</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Live treatment on controlled plots</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Char quality; cooling-curve scoring against library; ground-level downwash velocity and particulate lofting at 4 m standoff; purge-air fouling rate; dual abort response to induced flare-ups</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passes Layer 2 verification end to end at design dose; measured lofting behaviour inside the limits the Section 3.4 safety case assumes; zero optics fouling events per treatment hour</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Module environmental qualification</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Random vibration and thermal cycling per MIL-STD-810H helicopter profiles on the populated source bay and turret; isolation-cradle performance; source alignment and full-power output through the profile</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and optics hold alignment and full power through the qualification profile; no degradation in beam parameter product</w:t>
            </w:r>
          </w:p>
        </w:tc>
      </w:tr>
    </w:tbl>
    <w:p>
      <w:pPr>
        <w:spacing w:after="200" w:before="60"/>
      </w:pPr>
      <w:r>
        <w:rPr>
          <w:rFonts w:ascii="Calibri" w:cs="Calibri" w:eastAsia="Calibri" w:hAnsi="Calibri"/>
          <w:i/>
          <w:iCs/>
          <w:color w:val="6B5A4E"/>
          <w:sz w:val="17"/>
          <w:szCs w:val="17"/>
        </w:rPr>
        <w:t xml:space="preserve">Table 19: Test programme, v1.5. Phase 0 governs final dose figures for every Contra Favillas variant. Phase 1 carries the single hardest exit criterion, because Table 13 identifies fuel consumption as the assumption that determines whether the six-hour requirement survives measurement. Phase 4 gates the downwash safety case on measured data.</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18. Operational Economics</w:t>
      </w:r>
    </w:p>
    <w:p>
      <w:pPr>
        <w:spacing w:after="120" w:before="60" w:line="276"/>
        <w:jc w:val="left"/>
      </w:pPr>
      <w:r>
        <w:rPr>
          <w:rFonts w:ascii="Calibri" w:cs="Calibri" w:eastAsia="Calibri" w:hAnsi="Calibri"/>
          <w:b w:val="false"/>
          <w:bCs w:val="false"/>
          <w:i w:val="false"/>
          <w:iCs w:val="false"/>
          <w:color w:val="3A2E28"/>
          <w:sz w:val="20"/>
          <w:szCs w:val="20"/>
        </w:rPr>
        <w:t xml:space="preserve">A 6.5-hour E6 v1.5 sortie costs approximately 4,970 CAD all-in. The build-up is stated line by line, because the corrected throughput figures make the cost per metre a materially different number from v1.1 and the difference deserves to be visible rather than buried.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400"/>
        <w:gridCol w:w="2200"/>
        <w:gridCol w:w="3480"/>
      </w:tblGrid>
      <w:tr>
        <w:trPr>
          <w:tblHeader/>
        </w:trPr>
        <w:tc>
          <w:tcPr>
            <w:tcW w:type="dxa" w:w="4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Cost element</w:t>
            </w:r>
          </w:p>
        </w:tc>
        <w:tc>
          <w:tcPr>
            <w:tcW w:type="dxa" w:w="2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 per sortie</w:t>
            </w:r>
          </w:p>
        </w:tc>
        <w:tc>
          <w:tcPr>
            <w:tcW w:type="dxa" w:w="3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638</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59.5 L/h at full treatment duty over 6.5 h at 1.65 CAD/L for 91 AKI mogas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Two-person crew operating day</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Pilot of record plus laser safety officer, standard Canadian UAV operator rates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reserve</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585</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 CAD per engine-hour across two engines, covering overhaul accrual at 2,000 h TBO plus scheduled maintenance and consumables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Airframe, rotor, motor, controller, and battery reserve</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1,170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180 CAD per flight hour</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Parachute repack and pyrotechnic amortisation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Repack interval per manufacturer schedule</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 and optics reserve</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220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life amortisation at 45 percent duty plus window replacement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Mobilisation, transport, and ground support amortisation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Trailer transport and ground power cart across a season of sorties</w:t>
            </w:r>
          </w:p>
        </w:tc>
      </w:tr>
      <w:tr>
        <w:trPr>
          <w:tblHeader w:val="false"/>
        </w:trPr>
        <w:tc>
          <w:tcPr>
            <w:tcW w:type="dxa" w:w="44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w:t>
            </w:r>
          </w:p>
        </w:tc>
        <w:tc>
          <w:tcPr>
            <w:tcW w:type="dxa" w:w="22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4,973</w:t>
            </w:r>
          </w:p>
        </w:tc>
        <w:tc>
          <w:tcPr>
            <w:tcW w:type="dxa" w:w="34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bl>
    <w:p>
      <w:pPr>
        <w:spacing w:after="200" w:before="60"/>
      </w:pPr>
      <w:r>
        <w:rPr>
          <w:rFonts w:ascii="Calibri" w:cs="Calibri" w:eastAsia="Calibri" w:hAnsi="Calibri"/>
          <w:i/>
          <w:iCs/>
          <w:color w:val="6B5A4E"/>
          <w:sz w:val="17"/>
          <w:szCs w:val="17"/>
        </w:rPr>
        <w:t xml:space="preserve">Table 20: Sortie cost build-up. The crew day and the airframe reserve dominate, which is characteristic of a low-throughput, high-capital aircraft.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2400"/>
        <w:gridCol w:w="2400"/>
        <w:gridCol w:w="23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dose</w:t>
            </w:r>
          </w:p>
        </w:tc>
        <w:tc>
          <w:tcPr>
            <w:tcW w:type="dxa" w:w="2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Corridor per sortie</w:t>
            </w:r>
          </w:p>
        </w:tc>
        <w:tc>
          <w:tcPr>
            <w:tcW w:type="dxa" w:w="2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per corridor metre</w:t>
            </w:r>
          </w:p>
        </w:tc>
        <w:tc>
          <w:tcPr>
            <w:tcW w:type="dxa" w:w="238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per treated square metre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0.25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88.7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56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40 CAD</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0.50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45.7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109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 CAD</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30.8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161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115 CAD</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23.3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213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152 CAD</w:t>
            </w:r>
          </w:p>
        </w:tc>
      </w:tr>
    </w:tbl>
    <w:p>
      <w:pPr>
        <w:spacing w:after="200" w:before="60"/>
      </w:pPr>
      <w:r>
        <w:rPr>
          <w:rFonts w:ascii="Calibri" w:cs="Calibri" w:eastAsia="Calibri" w:hAnsi="Calibri"/>
          <w:i/>
          <w:iCs/>
          <w:color w:val="6B5A4E"/>
          <w:sz w:val="17"/>
          <w:szCs w:val="17"/>
        </w:rPr>
        <w:t xml:space="preserve">Table 21: Aerial corridor cost against design dose at 1.40 m treated width. Version 1.1 published 24 to 92 CAD per metre on the uncorrected footprint and corridor-width assumptions; the corrected range is 56 to 213 CAD per metre.</w:t>
      </w:r>
    </w:p>
    <w:p>
      <w:pPr>
        <w:spacing w:after="120" w:before="60" w:line="276"/>
        <w:jc w:val="left"/>
      </w:pPr>
      <w:r>
        <w:rPr>
          <w:rFonts w:ascii="Calibri" w:cs="Calibri" w:eastAsia="Calibri" w:hAnsi="Calibri"/>
          <w:b w:val="false"/>
          <w:bCs w:val="false"/>
          <w:i w:val="false"/>
          <w:iCs w:val="false"/>
          <w:color w:val="3A2E28"/>
          <w:sz w:val="20"/>
          <w:szCs w:val="20"/>
        </w:rPr>
        <w:t xml:space="preserve">These numbers do not support the E6 as a cost-competitive alternative to ground treatment, and the document does not claim otherwise. The corrected ground-variant tables await the planned correction cycle, but on any plausible correction the ground units remain several times cheaper per corridor metre, because they carry more optical power on a platform that does not spend 125 kW holding itself in the air.</w:t>
      </w:r>
    </w:p>
    <w:p>
      <w:pPr>
        <w:spacing w:after="120" w:before="60" w:line="276"/>
        <w:jc w:val="left"/>
      </w:pPr>
      <w:r>
        <w:rPr>
          <w:rFonts w:ascii="Calibri" w:cs="Calibri" w:eastAsia="Calibri" w:hAnsi="Calibri"/>
          <w:b w:val="false"/>
          <w:bCs w:val="false"/>
          <w:i w:val="false"/>
          <w:iCs w:val="false"/>
          <w:color w:val="3A2E28"/>
          <w:sz w:val="20"/>
          <w:szCs w:val="20"/>
        </w:rPr>
        <w:t xml:space="preserve">The economics therefore write a clear fleet doctrine, and the doctrine is unchanged by the correction even though the numbers are worse. Ground units treat everything their wheels and tracks reach. The E6 treats the 10 to 15 percent of corridor that terrain denies to wheels and tracks: canyon walls, muskeg islands, rock fields, and remote ridge systems, plus rapid-response spot treatment ahead of approaching fire fronts where a 40-minute drive equals a 4-minute flight. Remote staging follows standard wildfire-service practice with forward fuel caches positioned by road or helicopter sling along planned corridor systems.</w:t>
      </w:r>
    </w:p>
    <w:p>
      <w:pPr>
        <w:spacing w:after="120" w:before="60" w:line="276"/>
        <w:jc w:val="left"/>
      </w:pPr>
      <w:r>
        <w:rPr>
          <w:rFonts w:ascii="Calibri" w:cs="Calibri" w:eastAsia="Calibri" w:hAnsi="Calibri"/>
          <w:b w:val="false"/>
          <w:bCs w:val="false"/>
          <w:i w:val="false"/>
          <w:iCs w:val="false"/>
          <w:color w:val="3A2E28"/>
          <w:sz w:val="20"/>
          <w:szCs w:val="20"/>
        </w:rPr>
        <w:t xml:space="preserve">Used that way, one E6 sortie closes a gap that otherwise forces a hand crew into the worst terrain on the map, and that risk transfer, not metres per dollar, justifies the aircraft. The fire-detection layer adds a second capability at zero marginal cost: the same sortie that treats also maps hotspots for the agency. Any procurement case for this platform rests on those two arguments and fails on a cost-per-metre argument, which is the honest position and the one this document takes.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19. Risks and Mitigations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1100"/>
        <w:gridCol w:w="2400"/>
        <w:gridCol w:w="40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Risk</w:t>
            </w:r>
          </w:p>
        </w:tc>
        <w:tc>
          <w:tcPr>
            <w:tcW w:type="dxa" w:w="1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Level</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c>
          <w:tcPr>
            <w:tcW w:type="dxa" w:w="4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Mitigation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fuel consumption exceeds 0.265 kg/kWh</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Six-hour requirement missed</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Table 13 identifies this as the single assumption whose plausible error breaks the design. The assumption already carries 11 percent margin over published Rotax data for the preceding engine in the family. Phase 1 dynamometer measurement is a hard gate before airframe commitment, and 34 L of additional tank capacity exists as a recovery path.</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figure of merit falls below 0.75</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falls to 6.2 h at 0.72</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Remains above requirement across the plausible range. Phase 2 measures figure of merit on an isolated station on a whirl stand before aircraft integration, so the answer arrives before the frame is committed.</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 grows beyond the 4 percent allowance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falls below 6 h</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Structural design gross weight set 10 percent above MTOW so growth does not force redesign; weight and balance discipline in Stage 4; 40 kW of unused continuous engine rating absorbs the power consequence.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 lofts embers or particulate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spread beyond corridor</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Raised from Low in v1.1 on the corrected 19 m/s ground-level wall-jet analysis of Section 3.4. Mitigations: 20 percent lower induced velocity than v1.1, 4 m standoff, sub-flaming dose by closed-loop control, 8 m/s ambient wind cut-off. Gated on measured Phase 4 plot data before any operational sortie.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Patch flares during treatment</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Spot ignition</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Peak in-pulse irradiance sits above the piloted-ignition threshold by design, as Section 9.4 states. Three independent abort paths: H-alpha spectral abort plus two dissimilar flame detectors on independent power and signal paths, all closing shutters through hardwired logic in under 100 ms.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Industrial laser sources fail airborne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Lost sortie or lost module</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Manufacturer specifies these sources for vibration-free installation at 10 to 40 degrees C. Mitigations: fixed conditioned bay rather than a gimballed pod, isolation cradles tuned to measured Phase 1 spectra, Phase 5 MIL-STD-810H qualification, dual sources, field spare kit, vendor hardening path for production.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engine failure over a fuel bed</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Forced landing in treatment area</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Surviving engine plus battery covers the shortfall for 12 minutes; module jettison restores hover on one engine; fuel dump, landing-zone finder, and a 150 m exclusion zone kept clear of assets.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or controller failure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Degraded flight</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Seven-station authority with demand inside installed rating, immediate auto-descent, parachute above 45 m.</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Regulatory timeline extends</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Deployment slips</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 to 24 month parallel track, agency sponsorship strategy, phased certificate applications starting with tethered fixed-site operations, derived laser hazard analysis and full audit trail as evidence. The corrected 1,000 kg mass makes this the highest-rated risk in the register.</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escape from envelope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Eye hazard</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tilt hard stops at 20 degrees on all azimuths, altitude and attitude interlocks in a hardwired chain, link-loss beam cut, pre-flight alignment verification, and hazard distances derived in Table 14 rather than asserted.</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growth on custom classes</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 overrun</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percent contingency, budgetary lines flagged individually, engines and catalogue parts already at list price. The 104-inch rotors and the 10.2 m frame are the two largest custom-fabrication exposures.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supply chain disruption</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Schedule slip on the treatment stack</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reference source manufacturer sits on the United States Entity List, which complicates any transit through the United States. Alternate 2 kW sources from other manufacturers are named in the bill of materials and the optical interface is common across them.</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Crash fuel fire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Post-crash ignition</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jettison before forced landing, crashworthy bladder tanks in frangible bays, structure designed to crush gear and lower frame before tanks, parachute, crew standoff procedures.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 estimates remain optimistic</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Throughput below Table 11</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0 cone-calorimetry calibration governs and now has a thermodynamic cross-check in Table 12 to test against. Throughput scales linearly with measured dose and never compromises safety thresholds.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10.2 m span complicates staging</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Site constraints</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Folding arms to a 4.8 by 2.4 m trailer footprint inside the 2.6 m Canadian legal width limit; launch-site survey checklist in the operations manual; raised from Low in v1.1 because the corrected span is 44 percent larger.</w:t>
            </w:r>
          </w:p>
        </w:tc>
      </w:tr>
    </w:tbl>
    <w:p>
      <w:pPr>
        <w:spacing w:after="200" w:before="60"/>
      </w:pPr>
      <w:r>
        <w:rPr>
          <w:rFonts w:ascii="Calibri" w:cs="Calibri" w:eastAsia="Calibri" w:hAnsi="Calibri"/>
          <w:i/>
          <w:iCs/>
          <w:color w:val="6B5A4E"/>
          <w:sz w:val="17"/>
          <w:szCs w:val="17"/>
        </w:rPr>
        <w:t xml:space="preserve">Table 22: Risk register, v1.5. Four entries are raised in level against v1.1 as a direct consequence of the corrections: downwash, span, patch flare-up, and source qualification. Two entries are new: fuel consumption measurement and source supply chain.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20. v1.5 Change Register: Fifteen Corrections of Record</w:t>
      </w:r>
    </w:p>
    <w:p>
      <w:pPr>
        <w:spacing w:after="120" w:before="60" w:line="276"/>
        <w:jc w:val="left"/>
      </w:pPr>
      <w:r>
        <w:rPr>
          <w:rFonts w:ascii="Calibri" w:cs="Calibri" w:eastAsia="Calibri" w:hAnsi="Calibri"/>
          <w:b w:val="false"/>
          <w:bCs w:val="false"/>
          <w:i w:val="false"/>
          <w:iCs w:val="false"/>
          <w:color w:val="3A2E28"/>
          <w:sz w:val="20"/>
          <w:szCs w:val="20"/>
        </w:rPr>
        <w:t xml:space="preserve">Section 21 closes every Medium item in this register to a named measurement, a named test stage, and a costed recovery path, and Table 26 states the residual rating that follows each closure. The regulatory item remains High after closure because no engineering action retires it, and Section 25.6 states the strategy that reduces it.</w:t>
      </w:r>
    </w:p>
    <w:p>
      <w:pPr>
        <w:spacing w:after="120" w:before="60" w:line="276"/>
        <w:jc w:val="left"/>
      </w:pPr>
      <w:r>
        <w:rPr>
          <w:rFonts w:ascii="Calibri" w:cs="Calibri" w:eastAsia="Calibri" w:hAnsi="Calibri"/>
          <w:b w:val="false"/>
          <w:bCs w:val="false"/>
          <w:i w:val="false"/>
          <w:iCs w:val="false"/>
          <w:color w:val="3A2E28"/>
          <w:sz w:val="20"/>
          <w:szCs w:val="20"/>
        </w:rPr>
        <w:t xml:space="preserve">The v1.1 design received a first-principles audit against manufacturer data and against the governing physics. Fifteen items did not survive it. This register states each error, its magnitude, and its consequence, followed by the design changes that answer them. No item is recorded without a stated engineering reason, and no item is quietly absorbed.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2900"/>
        <w:gridCol w:w="3200"/>
        <w:gridCol w:w="32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t>
            </w:r>
          </w:p>
        </w:tc>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Item</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Error in v1.1</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Correction in v1.5</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drivetrain losses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power chain ran from figure of merit straight to a figure labelled electrical hover power, omitting motor and controller efficiency entirely. The 118.1 kW that v1.1 published as electrical is rotor shaft power.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Table 2 states the complete chain. Combined drivetrain efficiency is 0.911, so bus demand exceeds rotor shaft power by 9.8 percent. Every power figure in the document is rebuilt on it.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C-2</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continuous rating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Rotax 914 UL was credited with 86 kW continuous. Manufacturer data gives 84.8 kW for five minutes at takeoff and 73.5 kW maximum continuous. Two engines supply 147 kW continuous, not 172 kW.</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Powerplant changed to two Rotax 916 iS at 101 kW maximum continuous each, 202 kW installed, with 2,000 h TBO and full FADEC.</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C-3</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description and installed mass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914 UL was described as fuel injected; it runs dual Bing constant-depression carburettors. Installed mass was carried at 72 kg each against a 78 kg dry weight.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916 iS installed mass carried at 90.9 kg each against 85.8 kg dry, including exhaust, radiators, intercooler, oil system, and ring mount.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C-4</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 mass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carried at 18 kg each. Catalogue mass for this class is below 28 kg.</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Carried at 22 kg each for the OEM direct-current-input variant, with the catalogue figure stated in Section 5.1 for reference.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C-5</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footprint area</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5 specified a 0.70 by 0.20 m footprint, which is 0.140 m2. Section 9 computed dose against 0.10 m2. The two are irreconcilable and the smaller figure flattered every dwell time by 40 percent.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dose arithmetic rebuilt on 0.140 m2. Dwell at design dose rises from 111 to 155.6 seconds.</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C-6</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width</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adjacent 0.70 m belts were reported as a 1.75 m corridor.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width corrected to 1.40 m. Treated area per corridor metre falls 20 percent and the cost-per-square-metre figures reflect it.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C-7</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 inconsistency</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4 specified a 400 V bus; Section 12 specified an 800 V tether feed into that bus.</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800 V bus throughout, with insulation coordination for the engine ceiling stated in Section 4.4.</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C-8</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Tether ground generator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30 kW ground set was specified for an aircraft that draws over 100 kW at the bus in any configuration.</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Sized to the actual tethered bus demand of 105.7 kW: a 142 kVA class ground set, with the voltage trade in Table 16.</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C-9</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reserve basis and architecture</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Reserve computed on nameplate energy, and eight packs wired as a single series string in which one cell failure removes the entire reserve.</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9.0 kWh nominal in two independent 800 V strings, 8.1 kWh usable at 90 percent depth of discharge, either string alone able to fly the descent profile.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C-10</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integration</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computed at constant mass, ignoring the 23 percent of takeoff mass that burns off during the sortie. This error runs in the design's favour.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Numerical integration of mass loss through the Table 2 chain at half-second steps, which recovers part of what the other corrections cost.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C-11</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Delivery fibre length</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20 m armoured delivery fibre was specified between a source and a head mounted in the same pod.</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 m armoured fibre, routed from the fixed source bay through the turret azimuth service loop.</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C-12</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rating against shaft speed</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60 kW generator class was specified without stating that the figure follows from machine torque at propeller-flange speed, and the corrected load exceeds it.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1.70:1 toothed-belt step-up runs the machine at 3,850 rpm for 100 kW continuous electrical output, matched to the engine. Section 4.3 states the derivation.</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C-13</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Gimballing the sources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entire 85 kg payload including both laser sources hung on a three-axis gimbal with unrestricted azimuth, which requires a high-power optical rotary joint and slews the most vibration-sensitive items on the aircraft.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cooling, and compute move to a fixed conditioned bay. A 26 kg turret carries heads and optical sensors on plus or minus 270 degrees of azimuth with a fibre service loop.</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C-14</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 hazard rating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Ground-level downwash was rated a Low risk without a stated wall-jet velocity.</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3.4 derives 19 m/s at ground level and rates the risk Medium, gated on measured Phase 4 plot data before operational use.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C-15</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hazard distances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150 m exclusion radius was asserted without derivation.</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Table 14 derives nominal ocular hazard distance at 68 m and diffuse reflection hazard radii from the maximum permissible exposure, and states the 150 m operational radius as 2.2 times the derived figure with specular margin.</w:t>
            </w:r>
          </w:p>
        </w:tc>
      </w:tr>
    </w:tbl>
    <w:p>
      <w:pPr>
        <w:spacing w:after="200" w:before="60"/>
      </w:pPr>
      <w:r>
        <w:rPr>
          <w:rFonts w:ascii="Calibri" w:cs="Calibri" w:eastAsia="Calibri" w:hAnsi="Calibri"/>
          <w:i/>
          <w:iCs/>
          <w:color w:val="6B5A4E"/>
          <w:sz w:val="17"/>
          <w:szCs w:val="17"/>
        </w:rPr>
        <w:t xml:space="preserve">Table 23: The fifteen corrections of record. Items C-1 through C-4 compound in the same direction and together account for the change of design point.</w:t>
      </w:r>
    </w:p>
    <w:p>
      <w:pPr>
        <w:spacing w:after="120" w:before="60" w:line="276"/>
        <w:jc w:val="left"/>
      </w:pPr>
      <w:r>
        <w:rPr>
          <w:rFonts w:ascii="Calibri" w:cs="Calibri" w:eastAsia="Calibri" w:hAnsi="Calibri"/>
          <w:b w:val="false"/>
          <w:bCs w:val="false"/>
          <w:i w:val="false"/>
          <w:iCs w:val="false"/>
          <w:color w:val="3A2E28"/>
          <w:sz w:val="20"/>
          <w:szCs w:val="20"/>
        </w:rPr>
        <w:t xml:space="preserve">The design changes that follow from these corrections are stated below with the trade each one buys.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3200"/>
        <w:gridCol w:w="61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change</w:t>
            </w:r>
          </w:p>
        </w:tc>
        <w:tc>
          <w:tcPr>
            <w:tcW w:type="dxa" w:w="6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diameter 72 to 104 inches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Disk area rises from 21.0 to 43.8 m2. Ideal hover power falls 31 percent at equal mass, induced velocity falls 20 percent, and flight span rises from 7.1 to 10.2 m. This change alone is what makes an honest six hours reachable.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D-2</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Powerplant to two Rotax 916 iS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202 kW installed continuous against 147 kW for the v1.1 pair, at 38 kg more installed mass and 2,000 h TBO retained.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D-3</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MTOW 747 to 1,000 kg</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 766 kg and fuel 234 kg. Disk loading falls despite the mass increase, because the rotor grew faster than the aircraft.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D-4</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Fixed source bay plus 26 kg turret</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Better vibration environment, better centre of gravity, no high-power optical rotary joint, and a 120 kg jettisonable module rather than a 90 kg one.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D-5</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800 V bus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185 A instead of 369 A at the design load, roughly 9 kg less conductor, and one consistent voltage from tether to controller.</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D-6</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On-station time 5.6 to 5.1 hours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Follows from the explicit mission fuel policy of Table 4, which v1.1 did not publish.</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D-7</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1.75 to 1.40 m and dwell 111 to 155.6 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Corrected throughput runs 66 to 72 percent of the v1.1 tables. Sortie cost per corridor metre rises from 24 to 92 CAD to 56 to 213 CAD.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D-8</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Growth margin policy</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 percent mass growth allowance held against fuel, 1,100 kg structural design gross weight, and 40 kW of unused continuous engine rating, all stated in Section 2.7 rather than left implicit.</w:t>
            </w:r>
          </w:p>
        </w:tc>
      </w:tr>
    </w:tbl>
    <w:p>
      <w:pPr>
        <w:spacing w:after="200" w:before="60"/>
      </w:pPr>
      <w:r>
        <w:rPr>
          <w:rFonts w:ascii="Calibri" w:cs="Calibri" w:eastAsia="Calibri" w:hAnsi="Calibri"/>
          <w:i/>
          <w:iCs/>
          <w:color w:val="6B5A4E"/>
          <w:sz w:val="17"/>
          <w:szCs w:val="17"/>
        </w:rPr>
        <w:t xml:space="preserve">Table 24: Design changes following from the corrections. Every capability that v1.1 added in response to its own 25-item review is retained: dissimilar flame detection, fuel jettison, engine condition monitoring, automated landing-zone finding, full-azimuth treatment, wind measurement, black-box audit trail, fleet coordination, pre-flight alignment verification, purge air, moisture mapping, and the spare source kit.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21. Medium-Risk Closure Program</w:t>
      </w:r>
    </w:p>
    <w:p>
      <w:pPr>
        <w:spacing w:after="120" w:before="60" w:line="276"/>
        <w:jc w:val="left"/>
      </w:pPr>
      <w:r>
        <w:rPr>
          <w:rFonts w:ascii="Calibri" w:cs="Calibri" w:eastAsia="Calibri" w:hAnsi="Calibri"/>
          <w:b w:val="false"/>
          <w:bCs w:val="false"/>
          <w:i w:val="false"/>
          <w:iCs w:val="false"/>
          <w:color w:val="3A2E28"/>
          <w:sz w:val="20"/>
          <w:szCs w:val="20"/>
        </w:rPr>
        <w:t xml:space="preserve">Section 19 rates seven risks Medium and one High. A Medium rating is a statement that the risk is neither dismissed nor resolved, and a register that leaves risks in that state indefinitely is a register that has stopped doing work. This section closes each Medium item to a specific engineering action, a measurement that settles it, an owner stage in the Section 17 test program, and a recovery path that applies if the measurement disappoints. Each closure states the residual rating that follows once the action completes.</w:t>
      </w:r>
    </w:p>
    <w:p>
      <w:pPr>
        <w:spacing w:after="120" w:before="60" w:line="276"/>
        <w:jc w:val="left"/>
      </w:pPr>
      <w:r>
        <w:rPr>
          <w:rFonts w:ascii="Calibri" w:cs="Calibri" w:eastAsia="Calibri" w:hAnsi="Calibri"/>
          <w:b w:val="false"/>
          <w:bCs w:val="false"/>
          <w:i w:val="false"/>
          <w:iCs w:val="false"/>
          <w:color w:val="3A2E28"/>
          <w:sz w:val="20"/>
          <w:szCs w:val="20"/>
        </w:rPr>
        <w:t xml:space="preserve">Two principles govern the closures. The first is that a risk closes on measurement rather than on argument, so every closure names the instrument, the stage, and the number that constitutes a pass. The second is that a closure carries a recovery path costed and specified in advance, so that a disappointing measurement produces a decision rather than a redesign.</w:t>
      </w:r>
    </w:p>
    <w:p>
      <w:pPr>
        <w:pStyle w:val="Heading2"/>
        <w:spacing w:after="110" w:before="240"/>
      </w:pPr>
      <w:r>
        <w:rPr>
          <w:rFonts w:ascii="Calibri" w:cs="Calibri" w:eastAsia="Calibri" w:hAnsi="Calibri"/>
          <w:b/>
          <w:bCs/>
          <w:color w:val="3A2E28"/>
          <w:sz w:val="24"/>
          <w:szCs w:val="24"/>
        </w:rPr>
        <w:t xml:space="preserve">21.1 Fuel Consumption Above 0.265 kg/kWh</w:t>
      </w:r>
    </w:p>
    <w:p>
      <w:pPr>
        <w:spacing w:after="120" w:before="60" w:line="276"/>
        <w:jc w:val="left"/>
      </w:pPr>
      <w:r>
        <w:rPr>
          <w:rFonts w:ascii="Calibri" w:cs="Calibri" w:eastAsia="Calibri" w:hAnsi="Calibri"/>
          <w:b w:val="false"/>
          <w:bCs w:val="false"/>
          <w:i w:val="false"/>
          <w:iCs w:val="false"/>
          <w:color w:val="3A2E28"/>
          <w:sz w:val="20"/>
          <w:szCs w:val="20"/>
        </w:rPr>
        <w:t xml:space="preserve">This risk stands as the single assumption whose plausible error breaks the six-hour requirement, and Table 13 identifies it as such. The closure has four parts. Rotax publishes 0.243 kg/kWh at 75 percent power for the 916 iS with the redundant injection and ignition system, so the design assumption already sits 9 percent conservative against the published figure at the design load. A Phase 1 dynamometer run measures the installed figure with the actual intake, exhaust, and cooling installation rather than the bench installation, because installation losses account for most of the gap between published and installed consumption. The tank installation carries 34 L of volume above the fuel required at the design point, which converts directly into 0.48 h of endurance and covers a consumption figure up to 0.284 kg/kWh without any other change. The final part is a decision gate: the airframe does not proceed to structural commitment until the dynamometer number is in hand.</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Phase 1 powertrain dynamometer run with production intake and exhaust geometry, measuring consumption at 60, 75, and 85 percent of maximum continuous power at 25 C and 35 C ambient. Pass criterion: 0.275 kg/kWh or better at 80 percent load. Recovery path: activate the 34 L reserve volume and reduce the treatment-duty design point from 0.619 to the value that restores 6.00 h. Residual rating on pass: Low.</w:t>
      </w:r>
    </w:p>
    <w:p>
      <w:pPr>
        <w:pStyle w:val="Heading2"/>
        <w:spacing w:after="110" w:before="240"/>
      </w:pPr>
      <w:r>
        <w:rPr>
          <w:rFonts w:ascii="Calibri" w:cs="Calibri" w:eastAsia="Calibri" w:hAnsi="Calibri"/>
          <w:b/>
          <w:bCs/>
          <w:color w:val="3A2E28"/>
          <w:sz w:val="24"/>
          <w:szCs w:val="24"/>
        </w:rPr>
        <w:t xml:space="preserve">21.2 Figure of Merit Below 0.75</w:t>
      </w:r>
    </w:p>
    <w:p>
      <w:pPr>
        <w:spacing w:after="120" w:before="60" w:line="276"/>
        <w:jc w:val="left"/>
      </w:pPr>
      <w:r>
        <w:rPr>
          <w:rFonts w:ascii="Calibri" w:cs="Calibri" w:eastAsia="Calibri" w:hAnsi="Calibri"/>
          <w:b w:val="false"/>
          <w:bCs w:val="false"/>
          <w:i w:val="false"/>
          <w:iCs w:val="false"/>
          <w:color w:val="3A2E28"/>
          <w:sz w:val="20"/>
          <w:szCs w:val="20"/>
        </w:rPr>
        <w:t xml:space="preserve">Figure of merit governs how much shaft power the rotor converts into useful thrust, and the design assumption of 0.75 sits below published values for large, low-disc-loading rotors of this class. The risk remains bounded because Section 2 shows endurance falling only to 6.2 h at a figure of merit of 0.72, which stays above requirement across the plausible range. The closure measures rather than argues.</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Phase 2 whirl-stand test of a single complete station, including the production motor, controller, and 104-inch rotor, instrumented for thrust, torque, shaft speed, and electrical input, run across the operating range from 40 to 110 percent of design thrust. Pass criterion: figure of merit of 0.73 or better at design thrust with electrical-to-thrust efficiency consistent with the Table 2 chain. Recovery path: blade replacement with a revised twist and taper distribution, which the composite supplier quotes as a tooling change rather than a redesign. Residual rating on pass: Low.</w:t>
      </w:r>
    </w:p>
    <w:p>
      <w:pPr>
        <w:pStyle w:val="Heading2"/>
        <w:spacing w:after="110" w:before="240"/>
      </w:pPr>
      <w:r>
        <w:rPr>
          <w:rFonts w:ascii="Calibri" w:cs="Calibri" w:eastAsia="Calibri" w:hAnsi="Calibri"/>
          <w:b/>
          <w:bCs/>
          <w:color w:val="3A2E28"/>
          <w:sz w:val="24"/>
          <w:szCs w:val="24"/>
        </w:rPr>
        <w:t xml:space="preserve">21.3 Empty Mass Growth Beyond the Allowance</w:t>
      </w:r>
    </w:p>
    <w:p>
      <w:pPr>
        <w:spacing w:after="120" w:before="60" w:line="276"/>
        <w:jc w:val="left"/>
      </w:pPr>
      <w:r>
        <w:rPr>
          <w:rFonts w:ascii="Calibri" w:cs="Calibri" w:eastAsia="Calibri" w:hAnsi="Calibri"/>
          <w:b w:val="false"/>
          <w:bCs w:val="false"/>
          <w:i w:val="false"/>
          <w:iCs w:val="false"/>
          <w:color w:val="3A2E28"/>
          <w:sz w:val="20"/>
          <w:szCs w:val="20"/>
        </w:rPr>
        <w:t xml:space="preserve">Mass growth is the most common way a design of this kind fails quietly, because every increment is defensible on its own and only the total matters. Three structural decisions bound the exposure. Structural design gross weight sits 10 percent above maximum takeoff weight, so growth up to 1,100 kg does not force a structural redesign. The powerplant carries 40.4 kW of unused continuous rating at the design point, which absorbs the power consequence of growth without an engine change. Weight and balance discipline in Stage 4 of the assembly sequence weighs every subsystem on receipt against its budgeted line rather than at first aircraft weighing, so a growing item surfaces while it is still cheap to address.</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a mass properties register maintained from Stage 1, with every line weighed on receipt and variance against budget reported weekly, and a mass review gate at the end of Stage 4 before the first flight-standard build. Pass criterion: measured empty mass at or below 813.9 kg. Recovery path: the module jettison provision already exists for flight safety, and the treatment module carries the largest discretionary mass; a mass overrun converts into a reduced treatment duty rather than a lost requirement. Residual rating on pass: Low.</w:t>
      </w:r>
    </w:p>
    <w:p>
      <w:pPr>
        <w:pStyle w:val="Heading2"/>
        <w:spacing w:after="110" w:before="240"/>
      </w:pPr>
      <w:r>
        <w:rPr>
          <w:rFonts w:ascii="Calibri" w:cs="Calibri" w:eastAsia="Calibri" w:hAnsi="Calibri"/>
          <w:b/>
          <w:bCs/>
          <w:color w:val="3A2E28"/>
          <w:sz w:val="24"/>
          <w:szCs w:val="24"/>
        </w:rPr>
        <w:t xml:space="preserve">21.4 Downwash Lofting Embers or Particulate</w:t>
      </w:r>
    </w:p>
    <w:p>
      <w:pPr>
        <w:spacing w:after="120" w:before="60" w:line="276"/>
        <w:jc w:val="left"/>
      </w:pPr>
      <w:r>
        <w:rPr>
          <w:rFonts w:ascii="Calibri" w:cs="Calibri" w:eastAsia="Calibri" w:hAnsi="Calibri"/>
          <w:b w:val="false"/>
          <w:bCs w:val="false"/>
          <w:i w:val="false"/>
          <w:iCs w:val="false"/>
          <w:color w:val="3A2E28"/>
          <w:sz w:val="20"/>
          <w:szCs w:val="20"/>
        </w:rPr>
        <w:t xml:space="preserve">This risk rose from Low in v1.1 to Medium in v1.5 on the corrected wall-jet analysis, and it stays Medium because no plot data exists yet. The v1.6 configuration improves the exposure in one respect and worsens it in none. Induced velocity at the disc remains 9.56 m/s against 11.9 m/s for the v1.1 layout, and far-wake velocity at ground level remains 19.1 m/s. The v1.6 treatment change reduces total dwell time over any given patch by a factor of 1.98, which reduces the total time any patch spends hot and therefore reduces the window during which loose particulate exists to be lofted.</w:t>
      </w:r>
    </w:p>
    <w:p>
      <w:pPr>
        <w:spacing w:after="120" w:before="60" w:line="276"/>
        <w:jc w:val="left"/>
      </w:pPr>
      <w:r>
        <w:rPr>
          <w:rFonts w:ascii="Calibri" w:cs="Calibri" w:eastAsia="Calibri" w:hAnsi="Calibri"/>
          <w:b w:val="false"/>
          <w:bCs w:val="false"/>
          <w:i w:val="false"/>
          <w:iCs w:val="false"/>
          <w:color w:val="3A2E28"/>
          <w:sz w:val="20"/>
          <w:szCs w:val="20"/>
        </w:rPr>
        <w:t xml:space="preserve">The closure adds one design change and one procedure. The design change is a downwash-managed treatment sequence: the scan head treats the downwind edge of the corridor first and advances upwind, so that any particulate the wall jet lifts travels over ground already treated and therefore already depleted of fine fuel. The procedure is a hard wind gate at 8 m/s measured at the aircraft rather than at the ground station, tied to the flight control system rather than to crew judgement.</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Phase 4 instrumented plot trials on prepared fuel beds at three moisture contents, with particulate sampling at 5, 15, and 30 m downwind and thermal imaging of the treated patch for 10 minutes after beam-off. Pass criterion: no ignition outside the treated corridor across 20 consecutive plots, and airborne particulate at 15 m below the threshold that supports spotting. Recovery path: raise standoff from 4.0 m to 6.0 m, which reduces ground-level wall-jet velocity at the cost of a wider scan angle and a 12 percent reduction in irradiance. Residual rating on pass: Low. This risk does not close on analysis and no operational sortie proceeds before it closes.</w:t>
      </w:r>
    </w:p>
    <w:p>
      <w:pPr>
        <w:pStyle w:val="Heading2"/>
        <w:spacing w:after="110" w:before="240"/>
      </w:pPr>
      <w:r>
        <w:rPr>
          <w:rFonts w:ascii="Calibri" w:cs="Calibri" w:eastAsia="Calibri" w:hAnsi="Calibri"/>
          <w:b/>
          <w:bCs/>
          <w:color w:val="3A2E28"/>
          <w:sz w:val="24"/>
          <w:szCs w:val="24"/>
        </w:rPr>
        <w:t xml:space="preserve">21.5 Patch Flaring During Treatment</w:t>
      </w:r>
    </w:p>
    <w:p>
      <w:pPr>
        <w:spacing w:after="120" w:before="60" w:line="276"/>
        <w:jc w:val="left"/>
      </w:pPr>
      <w:r>
        <w:rPr>
          <w:rFonts w:ascii="Calibri" w:cs="Calibri" w:eastAsia="Calibri" w:hAnsi="Calibri"/>
          <w:b w:val="false"/>
          <w:bCs w:val="false"/>
          <w:i w:val="false"/>
          <w:iCs w:val="false"/>
          <w:color w:val="3A2E28"/>
          <w:sz w:val="20"/>
          <w:szCs w:val="20"/>
        </w:rPr>
        <w:t xml:space="preserve">The v1.6 scanning head changes this risk materially, and the change runs in both directions. Instantaneous irradiance rises from 6.43 kW/m2 to 113 kW/m2, which sits far above the piloted-ignition threshold, so the consequence of a control failure is more severe. Against that, residence time at any point falls from 155.6 s to under 5 s, so the energy available to sustain a flame from a single control fault falls by the same factor. A flare needs both a high flux and a sustained one, and the scanned architecture removes the second condition.</w:t>
      </w:r>
    </w:p>
    <w:p>
      <w:pPr>
        <w:spacing w:after="120" w:before="60" w:line="276"/>
        <w:jc w:val="left"/>
      </w:pPr>
      <w:r>
        <w:rPr>
          <w:rFonts w:ascii="Calibri" w:cs="Calibri" w:eastAsia="Calibri" w:hAnsi="Calibri"/>
          <w:b w:val="false"/>
          <w:bCs w:val="false"/>
          <w:i w:val="false"/>
          <w:iCs w:val="false"/>
          <w:color w:val="3A2E28"/>
          <w:sz w:val="20"/>
          <w:szCs w:val="20"/>
        </w:rPr>
        <w:t xml:space="preserve">The closure adds a fourth abort path to the three that Section 11 already specifies. The scan mirror carries a fail-safe spring return that parks the beam onto an internal water-cooled dump on loss of drive current, so a control-electronics failure removes the beam from the ground within one scan period of 40 ms rather than waiting for the shutter. This is a mechanical interlock independent of the H-alpha spectral abort, the two flame detectors, and the hardwired shutter chain.</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Phase 3 bench trials of the complete abort chain on instrumented fuel beds, including deliberate injection of scan-drive failures, controller lockups, and detector faults. Pass criterion: beam removed from the ground within 100 ms in every injected fault case across 200 trials, with no sustained flaming. Recovery path: reduce spot dwell and increase scan rate, which lowers peak surface temperature at a throughput cost of 8 percent. Residual rating on pass: Low.</w:t>
      </w:r>
    </w:p>
    <w:p>
      <w:pPr>
        <w:pStyle w:val="Heading2"/>
        <w:spacing w:after="110" w:before="240"/>
      </w:pPr>
      <w:r>
        <w:rPr>
          <w:rFonts w:ascii="Calibri" w:cs="Calibri" w:eastAsia="Calibri" w:hAnsi="Calibri"/>
          <w:b/>
          <w:bCs/>
          <w:color w:val="3A2E28"/>
          <w:sz w:val="24"/>
          <w:szCs w:val="24"/>
        </w:rPr>
        <w:t xml:space="preserve">21.6 Industrial Laser Sources Failing Airborne</w:t>
      </w:r>
    </w:p>
    <w:p>
      <w:pPr>
        <w:spacing w:after="120" w:before="60" w:line="276"/>
        <w:jc w:val="left"/>
      </w:pPr>
      <w:r>
        <w:rPr>
          <w:rFonts w:ascii="Calibri" w:cs="Calibri" w:eastAsia="Calibri" w:hAnsi="Calibri"/>
          <w:b w:val="false"/>
          <w:bCs w:val="false"/>
          <w:i w:val="false"/>
          <w:iCs w:val="false"/>
          <w:color w:val="3A2E28"/>
          <w:sz w:val="20"/>
          <w:szCs w:val="20"/>
        </w:rPr>
        <w:t xml:space="preserve">The sources are specified by their manufacturer for vibration-free industrial installation between 10 and 40 C, and an aircraft is neither vibration-free nor thermally stable. Version 1.5 already moved the sources from a gimballed pod to a fixed conditioned bay, which removes the largest single stressor. Version 1.6 improves the case further because the scan head places the moving optical elements outside the source, so the source itself sees no articulation at all and only the low-inertia galvanometer mirrors move.</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Phase 1 vibration survey of the bay location under representative rotor excitation to establish the actual spectrum, followed by isolation cradle design tuned to that spectrum, followed by Phase 5 qualification to MIL-STD-810H Method 514.8 Category 24 with the source powered and emitting into a calibrated dump. Pass criterion: no measurable degradation in output power, beam parameter product, or wall-plug efficiency across 50 hours of combined vibration and thermal cycling. Recovery path: the bill of materials names alternate sources from two other manufacturers on a common optical interface, and the vendor hardening path exists as a production option. Residual rating on pass: Low.</w:t>
      </w:r>
    </w:p>
    <w:p>
      <w:pPr>
        <w:pStyle w:val="Heading2"/>
        <w:spacing w:after="110" w:before="240"/>
      </w:pPr>
      <w:r>
        <w:rPr>
          <w:rFonts w:ascii="Calibri" w:cs="Calibri" w:eastAsia="Calibri" w:hAnsi="Calibri"/>
          <w:b/>
          <w:bCs/>
          <w:color w:val="3A2E28"/>
          <w:sz w:val="24"/>
          <w:szCs w:val="24"/>
        </w:rPr>
        <w:t xml:space="preserve">21.7 Cost Growth on Custom Classes</w:t>
      </w:r>
    </w:p>
    <w:p>
      <w:pPr>
        <w:spacing w:after="120" w:before="60" w:line="276"/>
        <w:jc w:val="left"/>
      </w:pPr>
      <w:r>
        <w:rPr>
          <w:rFonts w:ascii="Calibri" w:cs="Calibri" w:eastAsia="Calibri" w:hAnsi="Calibri"/>
          <w:b w:val="false"/>
          <w:bCs w:val="false"/>
          <w:i w:val="false"/>
          <w:iCs w:val="false"/>
          <w:color w:val="3A2E28"/>
          <w:sz w:val="20"/>
          <w:szCs w:val="20"/>
        </w:rPr>
        <w:t xml:space="preserve">Two lines carry most of this exposure. The 104-inch rotor set is a composite tooling programme rather than a catalogue purchase, and the 10.2 m folding frame is a fabrication programme with no direct precedent at this scale. Both carry budgetary rather than quoted pricing, and both sit inside the 15 percent programme contingency.</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competitive request for quotation to three composite shops for the rotor set and three fabricators for the frame, issued at the end of Phase 2 when the whirl-stand data fixes the blade geometry, converting both lines from budgetary to quoted before any long-lead commitment. Pass criterion: quoted total within the budgetary figure plus contingency. Recovery path: a two-piece bonded blade design in place of the single-piece layup reduces tooling cost by an estimated 40 percent at a mass penalty of 0.8 kg per blade, and that penalty sits inside the growth allowance of Section 21.3. Residual rating on pass: Low.</w:t>
      </w:r>
    </w:p>
    <w:p>
      <w:pPr>
        <w:pStyle w:val="Heading2"/>
        <w:spacing w:after="110" w:before="240"/>
      </w:pPr>
      <w:r>
        <w:rPr>
          <w:rFonts w:ascii="Calibri" w:cs="Calibri" w:eastAsia="Calibri" w:hAnsi="Calibri"/>
          <w:b/>
          <w:bCs/>
          <w:color w:val="3A2E28"/>
          <w:sz w:val="24"/>
          <w:szCs w:val="24"/>
        </w:rPr>
        <w:t xml:space="preserve">21.8 Source Supply Chain Disruption</w:t>
      </w:r>
    </w:p>
    <w:p>
      <w:pPr>
        <w:spacing w:after="120" w:before="60" w:line="276"/>
        <w:jc w:val="left"/>
      </w:pPr>
      <w:r>
        <w:rPr>
          <w:rFonts w:ascii="Calibri" w:cs="Calibri" w:eastAsia="Calibri" w:hAnsi="Calibri"/>
          <w:b w:val="false"/>
          <w:bCs w:val="false"/>
          <w:i w:val="false"/>
          <w:iCs w:val="false"/>
          <w:color w:val="3A2E28"/>
          <w:sz w:val="20"/>
          <w:szCs w:val="20"/>
        </w:rPr>
        <w:t xml:space="preserve">The reference source manufacturer sits on the United States Entity List, which complicates transit through the United States and creates a policy exposure that no engineering action removes. The closure is procurement rather than design.</w:t>
      </w:r>
    </w:p>
    <w:p>
      <w:pPr>
        <w:spacing w:after="120" w:before="60" w:line="276"/>
        <w:jc w:val="left"/>
      </w:pPr>
      <w:r>
        <w:rPr>
          <w:rFonts w:ascii="Calibri" w:cs="Calibri" w:eastAsia="Calibri" w:hAnsi="Calibri"/>
          <w:b w:val="false"/>
          <w:bCs w:val="false"/>
          <w:i w:val="false"/>
          <w:iCs w:val="false"/>
          <w:color w:val="3A2E28"/>
          <w:sz w:val="20"/>
          <w:szCs w:val="20"/>
        </w:rPr>
        <w:t xml:space="preserve">Closure action: qualify one alternate source to flight standard rather than naming it on paper only, carrying the qualification cost in Phase 5, and hold a single flight-standard spare source in bonded stock from first flight. Pass criterion: two qualified sources from separate jurisdictions on a common optical and control interface. Recovery path: the 6 kW single-module option of Section 22.6 draws from a different supplier base, so the growth path and the supply-chain hedge are the same decision. Residual rating on pass: Low.</w:t>
      </w:r>
    </w:p>
    <w:p>
      <w:pPr>
        <w:pStyle w:val="Heading2"/>
        <w:spacing w:after="110" w:before="240"/>
      </w:pPr>
      <w:r>
        <w:rPr>
          <w:rFonts w:ascii="Calibri" w:cs="Calibri" w:eastAsia="Calibri" w:hAnsi="Calibri"/>
          <w:b/>
          <w:bCs/>
          <w:color w:val="3A2E28"/>
          <w:sz w:val="24"/>
          <w:szCs w:val="24"/>
        </w:rPr>
        <w:t xml:space="preserve">21.9 Closure Summary</w:t>
      </w:r>
    </w:p>
    <w:p>
      <w:pPr>
        <w:spacing w:after="120" w:before="60" w:line="276"/>
        <w:jc w:val="left"/>
      </w:pPr>
      <w:r>
        <w:rPr>
          <w:rFonts w:ascii="Calibri" w:cs="Calibri" w:eastAsia="Calibri" w:hAnsi="Calibri"/>
          <w:b w:val="false"/>
          <w:bCs w:val="false"/>
          <w:i w:val="false"/>
          <w:iCs w:val="false"/>
          <w:color w:val="3A2E28"/>
          <w:sz w:val="20"/>
          <w:szCs w:val="20"/>
        </w:rPr>
        <w:t xml:space="preserve">Table 26 states each Medium risk, the measurement that closes it, the stage that owns it, and the residual rating that follows a pass. The register moves from seven Medium items and one High item to one High item and eight Low items, conditional on the measurements listed. No closure depends on an argument that a measurement does not test.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450"/>
        <w:gridCol w:w="2500"/>
        <w:gridCol w:w="1050"/>
        <w:gridCol w:w="2400"/>
        <w:gridCol w:w="1680"/>
      </w:tblGrid>
      <w:tr>
        <w:trPr>
          <w:tblHeader/>
        </w:trPr>
        <w:tc>
          <w:tcPr>
            <w:tcW w:type="dxa" w:w="24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Risk</w:t>
            </w:r>
          </w:p>
        </w:tc>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Closing measurement</w:t>
            </w:r>
          </w:p>
        </w:tc>
        <w:tc>
          <w:tcPr>
            <w:tcW w:type="dxa" w:w="10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Recovery path if it fails</w:t>
            </w:r>
          </w:p>
        </w:tc>
        <w:tc>
          <w:tcPr>
            <w:tcW w:type="dxa" w:w="16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Residual</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consumption above 0.265 kg/kWh</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Installed dynamometer run at 60, 75, 85 percent load</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1</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34 L reserve volume plus reduced treatment duty</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 below 0.75</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Whirl-stand thrust and torque on a complete station</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2</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Revised blade twist and taper, tooling change only</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 growth</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Weigh every subsystem on receipt; Stage 4 mass gate</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Stages 1 to 4</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Reduced treatment duty; module jettison provision exists</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 lofting embers</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Instrumented plot trials with downwind particulate sampling</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4</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Raise standoff to 6.0 m at 12 percent irradiance cost</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Patch flaring during treatment</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Fault-injection trials of the four-path abort chain</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3</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Shorter spot dwell, higher scan rate, 8 percent throughput cost</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failing airborne</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Bay vibration survey then MIL-STD-810H 514.8 Cat 24</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Phases 1 and 5</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Alternate sources on a common optical interface</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growth on custom classes</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Competitive quotation after blade geometry fixes</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 Phase 2</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Two-piece bonded blade, 40 percent tooling reduction</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supply chain disruption</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Qualify a second-jurisdiction source to flight standard</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5</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Single-module growth path draws a different supplier base</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Regulatory timeline extends</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25 phased application program</w:t>
            </w:r>
          </w:p>
        </w:tc>
        <w:tc>
          <w:tcPr>
            <w:tcW w:type="dxa" w:w="1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Continuous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Tethered fixed-site operations carry revenue during the wait</w:t>
            </w:r>
          </w:p>
        </w:tc>
        <w:tc>
          <w:tcPr>
            <w:tcW w:type="dxa" w:w="1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w:t>
            </w:r>
          </w:p>
        </w:tc>
      </w:tr>
    </w:tbl>
    <w:p>
      <w:pPr>
        <w:spacing w:after="200" w:before="60"/>
      </w:pPr>
      <w:r>
        <w:rPr>
          <w:rFonts w:ascii="Calibri" w:cs="Calibri" w:eastAsia="Calibri" w:hAnsi="Calibri"/>
          <w:i/>
          <w:iCs/>
          <w:color w:val="6B5A4E"/>
          <w:sz w:val="17"/>
          <w:szCs w:val="17"/>
        </w:rPr>
        <w:t xml:space="preserve">Table 26: Medium-risk closure register. Eight Medium items close to Low on measurement. The regulatory item remains High and Section 25 addresses it directly, because it is the one exposure that no engineering action retires.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22. Wide-Line Scanning Head and Coverage Expansion</w:t>
      </w:r>
    </w:p>
    <w:p>
      <w:pPr>
        <w:spacing w:after="120" w:before="60" w:line="276"/>
        <w:jc w:val="left"/>
      </w:pPr>
      <w:r>
        <w:rPr>
          <w:rFonts w:ascii="Calibri" w:cs="Calibri" w:eastAsia="Calibri" w:hAnsi="Calibri"/>
          <w:b w:val="false"/>
          <w:bCs w:val="false"/>
          <w:i w:val="false"/>
          <w:iCs w:val="false"/>
          <w:color w:val="3A2E28"/>
          <w:sz w:val="20"/>
          <w:szCs w:val="20"/>
        </w:rPr>
        <w:t xml:space="preserve">The request that produced this section asks for broader laser coverage. The answer divides into a result that constrains what is possible and a design change that captures everything the constraint allows. The constraint is that area treatment rate is fixed by energy and not by optics. The design change is that the v1.5 optical architecture was leaving a factor of two on the table and, more seriously, was delivering its energy at an irradiance too low to drive the process it claims to drive.</w:t>
      </w:r>
    </w:p>
    <w:p>
      <w:pPr>
        <w:pStyle w:val="Heading2"/>
        <w:spacing w:after="110" w:before="240"/>
      </w:pPr>
      <w:r>
        <w:rPr>
          <w:rFonts w:ascii="Calibri" w:cs="Calibri" w:eastAsia="Calibri" w:hAnsi="Calibri"/>
          <w:b/>
          <w:bCs/>
          <w:color w:val="3A2E28"/>
          <w:sz w:val="24"/>
          <w:szCs w:val="24"/>
        </w:rPr>
        <w:t xml:space="preserve">22.1 Why Optics Cannot Increase Area Rate</w:t>
      </w:r>
    </w:p>
    <w:p>
      <w:pPr>
        <w:spacing w:after="120" w:before="60" w:line="276"/>
        <w:jc w:val="left"/>
      </w:pPr>
      <w:r>
        <w:rPr>
          <w:rFonts w:ascii="Calibri" w:cs="Calibri" w:eastAsia="Calibri" w:hAnsi="Calibri"/>
          <w:b w:val="false"/>
          <w:bCs w:val="false"/>
          <w:i w:val="false"/>
          <w:iCs w:val="false"/>
          <w:color w:val="3A2E28"/>
          <w:sz w:val="20"/>
          <w:szCs w:val="20"/>
        </w:rPr>
        <w:t xml:space="preserve">Treated area per unit time equals average optical power multiplied by coupling efficiency and divided by the process energy demand per unit area. Nothing in that expression refers to the shape of the illuminated patch. A lens that spreads the beam over twice the area halves the irradiance and doubles the dwell required, and the product is unchanged. This is the reason the throughput tables of every prior edition converge on the same figure regardless of how the footprint is arranged.</w:t>
      </w:r>
    </w:p>
    <w:p>
      <w:pPr>
        <w:spacing w:after="120" w:before="60" w:line="276"/>
        <w:jc w:val="left"/>
      </w:pPr>
      <w:r>
        <w:rPr>
          <w:rFonts w:ascii="Calibri" w:cs="Calibri" w:eastAsia="Calibri" w:hAnsi="Calibri"/>
          <w:b w:val="false"/>
          <w:bCs w:val="false"/>
          <w:i w:val="false"/>
          <w:iCs w:val="false"/>
          <w:color w:val="3A2E28"/>
          <w:sz w:val="20"/>
          <w:szCs w:val="20"/>
        </w:rPr>
        <w:t xml:space="preserve">Three quantities therefore govern coverage, and only three. Average optical power is the product of installed source power and duty cycle. Coupling efficiency is the fraction of delivered energy that ends up doing thermal work on the fuel rather than heating the surrounding air. Process demand is fixed by the fuel bed and its moisture content at 432.1 kJ/m2 for the reference bed, as Section 9 derives. Version 1.6 improves two of the three and leaves the third alone.</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governing expression</w:t>
            </w:r>
          </w:p>
          <w:p>
            <w:pPr>
              <w:spacing w:after="60" w:line="270"/>
            </w:pPr>
            <w:r>
              <w:rPr>
                <w:rFonts w:ascii="Calibri" w:cs="Calibri" w:eastAsia="Calibri" w:hAnsi="Calibri"/>
                <w:color w:val="3A2E28"/>
                <w:sz w:val="19"/>
                <w:szCs w:val="19"/>
              </w:rPr>
              <w:t xml:space="preserve">Area rate = installed optical power x duty cycle x coupling efficiency / process energy demand</w:t>
            </w:r>
          </w:p>
          <w:p>
            <w:pPr>
              <w:spacing w:after="60" w:line="270"/>
            </w:pPr>
            <w:r>
              <w:rPr>
                <w:rFonts w:ascii="Calibri" w:cs="Calibri" w:eastAsia="Calibri" w:hAnsi="Calibri"/>
                <w:color w:val="3A2E28"/>
                <w:sz w:val="19"/>
                <w:szCs w:val="19"/>
              </w:rPr>
              <w:t xml:space="preserve">v1.5: 4,000 W x 0.45 x 0.43 / 432.1 kJ/m2 = 6.35 m2/h</w:t>
            </w:r>
          </w:p>
          <w:p>
            <w:pPr>
              <w:spacing w:after="60" w:line="270"/>
            </w:pPr>
            <w:r>
              <w:rPr>
                <w:rFonts w:ascii="Calibri" w:cs="Calibri" w:eastAsia="Calibri" w:hAnsi="Calibri"/>
                <w:color w:val="3A2E28"/>
                <w:sz w:val="19"/>
                <w:szCs w:val="19"/>
              </w:rPr>
              <w:t xml:space="preserve">v1.6 Configuration A: 4,000 W x 0.619 x 0.62 / 432.1 kJ/m2 = 12.59 m2/h</w:t>
            </w:r>
          </w:p>
          <w:p>
            <w:pPr>
              <w:spacing w:after="60" w:line="270"/>
            </w:pPr>
            <w:r>
              <w:rPr>
                <w:rFonts w:ascii="Calibri" w:cs="Calibri" w:eastAsia="Calibri" w:hAnsi="Calibri"/>
                <w:color w:val="3A2E28"/>
                <w:sz w:val="19"/>
                <w:szCs w:val="19"/>
              </w:rPr>
              <w:t xml:space="preserve">The optics contribute nothing directly. They contribute by raising the coupling term.</w:t>
            </w:r>
          </w:p>
        </w:tc>
      </w:tr>
    </w:tbl>
    <w:p>
      <w:pPr>
        <w:pStyle w:val="Heading2"/>
        <w:spacing w:after="110" w:before="240"/>
      </w:pPr>
      <w:r>
        <w:rPr>
          <w:rFonts w:ascii="Calibri" w:cs="Calibri" w:eastAsia="Calibri" w:hAnsi="Calibri"/>
          <w:b/>
          <w:bCs/>
          <w:color w:val="3A2E28"/>
          <w:sz w:val="24"/>
          <w:szCs w:val="24"/>
        </w:rPr>
        <w:t xml:space="preserve">22.2 The v1.5 Flood Head Does Not Reach Pyrolysis</w:t>
      </w:r>
    </w:p>
    <w:p>
      <w:pPr>
        <w:spacing w:after="120" w:before="60" w:line="276"/>
        <w:jc w:val="left"/>
      </w:pPr>
      <w:r>
        <w:rPr>
          <w:rFonts w:ascii="Calibri" w:cs="Calibri" w:eastAsia="Calibri" w:hAnsi="Calibri"/>
          <w:b w:val="false"/>
          <w:bCs w:val="false"/>
          <w:i w:val="false"/>
          <w:iCs w:val="false"/>
          <w:color w:val="3A2E28"/>
          <w:sz w:val="20"/>
          <w:szCs w:val="20"/>
        </w:rPr>
        <w:t xml:space="preserve">The audit that produced this section found an error more consequential than any of the fifteen recorded in Section 20. Version 1.5 delivers 6.43 kW/m2 to the fuel bed and derives a coupling efficiency of 0.43 by dividing process demand by delivered dose. That derivation is arithmetically correct and physically incomplete, because it never asks whether 6.43 kW/m2 is sufficient to hold the bed at the temperature the process requires.</w:t>
      </w:r>
    </w:p>
    <w:p>
      <w:pPr>
        <w:spacing w:after="120" w:before="60" w:line="276"/>
        <w:jc w:val="left"/>
      </w:pPr>
      <w:r>
        <w:rPr>
          <w:rFonts w:ascii="Calibri" w:cs="Calibri" w:eastAsia="Calibri" w:hAnsi="Calibri"/>
          <w:b w:val="false"/>
          <w:bCs w:val="false"/>
          <w:i w:val="false"/>
          <w:iCs w:val="false"/>
          <w:color w:val="3A2E28"/>
          <w:sz w:val="20"/>
          <w:szCs w:val="20"/>
        </w:rPr>
        <w:t xml:space="preserve">A heated surface loses energy by convection and by re-radiation, and both terms grow steeply with temperature. At 300 C a surface loses 9.43 kW/m2 to still air and 19.41 kW/m2 under a 19 m/s wall jet. At 400 C the figures are 15.90 kW/m2 and 29.38 kW/m2. The v1.5 flood head delivers 6.43 kW/m2. It therefore drives the bed to an equilibrium temperature of 237 C in still air and 125 C under its own downwash, and neither figure reaches the 300 C at which cellulose pyrolysis begins or the 350 C at which it becomes brisk.</w:t>
      </w:r>
    </w:p>
    <w:p>
      <w:pPr>
        <w:spacing w:after="120" w:before="60" w:line="276"/>
        <w:jc w:val="left"/>
      </w:pPr>
      <w:r>
        <w:rPr>
          <w:rFonts w:ascii="Calibri" w:cs="Calibri" w:eastAsia="Calibri" w:hAnsi="Calibri"/>
          <w:b w:val="false"/>
          <w:bCs w:val="false"/>
          <w:i w:val="false"/>
          <w:iCs w:val="false"/>
          <w:color w:val="3A2E28"/>
          <w:sz w:val="20"/>
          <w:szCs w:val="20"/>
        </w:rPr>
        <w:t xml:space="preserve">The consequence is that the v1.5 treatment head dries and scorches fuel. It does not carbonise it. The coupling efficiency of 0.43 describes an energy accounting identity rather than an achievable process, because the process it accounts for does not run at that irradiance. This is recorded as correction C-16 in Section 26 and it is the reason the optical redesign is necessary rather than merely advantageous.</w:t>
      </w:r>
    </w:p>
    <w:p>
      <w:pPr>
        <w:spacing w:after="60" w:before="180"/>
        <w:jc w:val="center"/>
      </w:pPr>
      <w:r>
        <w:drawing>
          <wp:inline distT="0" distB="0" distL="0" distR="0">
            <wp:extent cx="59912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91225" cy="21050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6: Left, the flux required to hold a surface at a given temperature, for still air and for the E6 wall jet. Right, the equilibrium temperature each delivered irradiance produces. The v1.5 flood head sits below the pyrolysis band under both flow conditions. The v1.6 scanned spot sits far above it, and the control loop therefore modulates dwell rather than running to equilibrium.</w:t>
      </w:r>
    </w:p>
    <w:p>
      <w:pPr>
        <w:pStyle w:val="Heading2"/>
        <w:spacing w:after="110" w:before="240"/>
      </w:pPr>
      <w:r>
        <w:rPr>
          <w:rFonts w:ascii="Calibri" w:cs="Calibri" w:eastAsia="Calibri" w:hAnsi="Calibri"/>
          <w:b/>
          <w:bCs/>
          <w:color w:val="3A2E28"/>
          <w:sz w:val="24"/>
          <w:szCs w:val="24"/>
        </w:rPr>
        <w:t xml:space="preserve">22.3 The Scanning Head</w:t>
      </w:r>
    </w:p>
    <w:p>
      <w:pPr>
        <w:spacing w:after="120" w:before="60" w:line="276"/>
        <w:jc w:val="left"/>
      </w:pPr>
      <w:r>
        <w:rPr>
          <w:rFonts w:ascii="Calibri" w:cs="Calibri" w:eastAsia="Calibri" w:hAnsi="Calibri"/>
          <w:b w:val="false"/>
          <w:bCs w:val="false"/>
          <w:i w:val="false"/>
          <w:iCs w:val="false"/>
          <w:color w:val="3A2E28"/>
          <w:sz w:val="20"/>
          <w:szCs w:val="20"/>
        </w:rPr>
        <w:t xml:space="preserve">The design change replaces the two fixed flood heads with two two-axis galvanometer scan heads. Each source feeds a collimator and a pair of servo-driven mirrors, and the mirrors sweep a small high-irradiance spot across a wide line rather than holding a large low-irradiance patch on one place. Average optical power is unchanged. Instantaneous irradiance rises by a factor of 18, and the treated swath doubles.</w:t>
      </w:r>
    </w:p>
    <w:p>
      <w:pPr>
        <w:spacing w:after="120" w:before="60" w:line="276"/>
        <w:jc w:val="left"/>
      </w:pPr>
      <w:r>
        <w:rPr>
          <w:rFonts w:ascii="Calibri" w:cs="Calibri" w:eastAsia="Calibri" w:hAnsi="Calibri"/>
          <w:b w:val="false"/>
          <w:bCs w:val="false"/>
          <w:i w:val="false"/>
          <w:iCs w:val="false"/>
          <w:color w:val="3A2E28"/>
          <w:sz w:val="20"/>
          <w:szCs w:val="20"/>
        </w:rPr>
        <w:t xml:space="preserve">The working spot is 150 mm across, which is a deliberate defocus from the 51 mm natural spot the collimator produces at 4.0 m standoff. Defocusing to 150 mm places instantaneous irradiance at 113.2 kW/m2 per source, which sits 3.9 times above the 29.4 kW/m2 required to hold 400 C under downwash. That margin exists so that the control loop regulates by modulating dwell and scan rate rather than by running the surface to its equilibrium temperature, which at this irradiance is 821 C and well above the target.</w:t>
      </w:r>
    </w:p>
    <w:p>
      <w:pPr>
        <w:spacing w:after="120" w:before="60" w:line="276"/>
        <w:jc w:val="left"/>
      </w:pPr>
      <w:r>
        <w:rPr>
          <w:rFonts w:ascii="Calibri" w:cs="Calibri" w:eastAsia="Calibri" w:hAnsi="Calibri"/>
          <w:b w:val="false"/>
          <w:bCs w:val="false"/>
          <w:i w:val="false"/>
          <w:iCs w:val="false"/>
          <w:color w:val="3A2E28"/>
          <w:sz w:val="20"/>
          <w:szCs w:val="20"/>
        </w:rPr>
        <w:t xml:space="preserve">Each head sweeps a half-angle of 19.3 degrees at 4.0 m standoff, which paints a 1.40 m line. Two heads mounted 0.90 m apart paint adjacent lines and produce a continuous 2.80 m swath in a single pass. Edge obliquity at the extremes of the sweep is 1.06, which the dose controller compensates by reducing scan rate proportionally at the edges so that delivered dose stays uniform across the swath.</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7: Wide-line scanning head geometry. Average optical power is identical to v1.5. The scan concentrates that power into a 150 mm spot at 113 kW/m2 and paints a 2.80 m line with it, against the 1.40 m of fixed flood belts the previous edition treated at 6.43 kW/m2.</w:t>
      </w:r>
    </w:p>
    <w:p>
      <w:pPr>
        <w:pStyle w:val="Heading2"/>
        <w:spacing w:after="110" w:before="240"/>
      </w:pPr>
      <w:r>
        <w:rPr>
          <w:rFonts w:ascii="Calibri" w:cs="Calibri" w:eastAsia="Calibri" w:hAnsi="Calibri"/>
          <w:b/>
          <w:bCs/>
          <w:color w:val="3A2E28"/>
          <w:sz w:val="24"/>
          <w:szCs w:val="24"/>
        </w:rPr>
        <w:t xml:space="preserve">22.4 Coupling Efficiency in the Scanned Regime</w:t>
      </w:r>
    </w:p>
    <w:p>
      <w:pPr>
        <w:spacing w:after="120" w:before="60" w:line="276"/>
        <w:jc w:val="left"/>
      </w:pPr>
      <w:r>
        <w:rPr>
          <w:rFonts w:ascii="Calibri" w:cs="Calibri" w:eastAsia="Calibri" w:hAnsi="Calibri"/>
          <w:b w:val="false"/>
          <w:bCs w:val="false"/>
          <w:i w:val="false"/>
          <w:iCs w:val="false"/>
          <w:color w:val="3A2E28"/>
          <w:sz w:val="20"/>
          <w:szCs w:val="20"/>
        </w:rPr>
        <w:t xml:space="preserve">Loss flux is a property of surface temperature and flow, and it does not depend on how the energy arrives. Delivered flux does depend on how the energy arrives. Raising instantaneous irradiance therefore raises the fraction of delivered energy that does thermal work, because the same absolute loss represents a smaller share of a larger delivered flux, and because the shorter time at temperature reduces conduction into the depth of the bed.</w:t>
      </w:r>
    </w:p>
    <w:p>
      <w:pPr>
        <w:spacing w:after="120" w:before="60" w:line="276"/>
        <w:jc w:val="left"/>
      </w:pPr>
      <w:r>
        <w:rPr>
          <w:rFonts w:ascii="Calibri" w:cs="Calibri" w:eastAsia="Calibri" w:hAnsi="Calibri"/>
          <w:b w:val="false"/>
          <w:bCs w:val="false"/>
          <w:i w:val="false"/>
          <w:iCs w:val="false"/>
          <w:color w:val="3A2E28"/>
          <w:sz w:val="20"/>
          <w:szCs w:val="20"/>
        </w:rPr>
        <w:t xml:space="preserve">At 6.43 kW/m2 the loss flux at a 300 C mean surface exceeds the delivered flux, which is the condition that prevents the process from running at all. At 25 kW/m2 losses take 37.7 percent of delivered flux. At 50 kW/m2 they take 18.9 percent. At the 113.2 kW/m2 the scanned head delivers, the first-order loss share is 8.3 percent, which implies a coupling efficiency near 0.95.</w:t>
      </w:r>
    </w:p>
    <w:p>
      <w:pPr>
        <w:spacing w:after="120" w:before="60" w:line="276"/>
        <w:jc w:val="left"/>
      </w:pPr>
      <w:r>
        <w:rPr>
          <w:rFonts w:ascii="Calibri" w:cs="Calibri" w:eastAsia="Calibri" w:hAnsi="Calibri"/>
          <w:b w:val="false"/>
          <w:bCs w:val="false"/>
          <w:i w:val="false"/>
          <w:iCs w:val="false"/>
          <w:color w:val="3A2E28"/>
          <w:sz w:val="20"/>
          <w:szCs w:val="20"/>
        </w:rPr>
        <w:t xml:space="preserve">Version 1.6 adopts 0.62 rather than 0.95. The first-order figure ignores reflection at the fuel surface, scattering out of the illuminated volume, conduction into fuel elements below the surface layer, and the energy carried away in pyrolysis gases, and each of those terms is real and none is well characterised for heterogeneous forest fuels. The adopted figure carries a 35 percent margin against the first-order calculation and is gated on Phase 3 calorimetry. No throughput figure in this document is published as achieved performance, and Section 25 treats the measured coupling efficiency as a certification deliverable rather than a design assumption.</w:t>
      </w:r>
    </w:p>
    <w:p>
      <w:pPr>
        <w:pStyle w:val="Heading2"/>
        <w:spacing w:after="110" w:before="240"/>
      </w:pPr>
      <w:r>
        <w:rPr>
          <w:rFonts w:ascii="Calibri" w:cs="Calibri" w:eastAsia="Calibri" w:hAnsi="Calibri"/>
          <w:b/>
          <w:bCs/>
          <w:color w:val="3A2E28"/>
          <w:sz w:val="24"/>
          <w:szCs w:val="24"/>
        </w:rPr>
        <w:t xml:space="preserve">22.5 Duty Cycle and the Thermal Ceiling</w:t>
      </w:r>
    </w:p>
    <w:p>
      <w:pPr>
        <w:spacing w:after="120" w:before="60" w:line="276"/>
        <w:jc w:val="left"/>
      </w:pPr>
      <w:r>
        <w:rPr>
          <w:rFonts w:ascii="Calibri" w:cs="Calibri" w:eastAsia="Calibri" w:hAnsi="Calibri"/>
          <w:b w:val="false"/>
          <w:bCs w:val="false"/>
          <w:i w:val="false"/>
          <w:iCs w:val="false"/>
          <w:color w:val="3A2E28"/>
          <w:sz w:val="20"/>
          <w:szCs w:val="20"/>
        </w:rPr>
        <w:t xml:space="preserve">Duty cycle was the second constraint the audit found. The v1.5 figure of 0.45 is not a source limitation, because the fibre sources are rated for continuous operation, and it is not an electrical limitation, because the powerplant carries 40 kW of unused continuous rating. It is a heat rejection limitation set by the size of the ram-air core.</w:t>
      </w:r>
    </w:p>
    <w:p>
      <w:pPr>
        <w:spacing w:after="120" w:before="60" w:line="276"/>
        <w:jc w:val="left"/>
      </w:pPr>
      <w:r>
        <w:rPr>
          <w:rFonts w:ascii="Calibri" w:cs="Calibri" w:eastAsia="Calibri" w:hAnsi="Calibri"/>
          <w:b w:val="false"/>
          <w:bCs w:val="false"/>
          <w:i w:val="false"/>
          <w:iCs w:val="false"/>
          <w:color w:val="3A2E28"/>
          <w:sz w:val="20"/>
          <w:szCs w:val="20"/>
        </w:rPr>
        <w:t xml:space="preserve">Raising duty to 0.619 raises source heat rejection from 4.41 kW to 5.76 kW, coolant flow from 11.9 to 15.5 L/min, and required ram-air face area from 312 to 408 cm2. The enlarged core fits the existing bay volume, and the additional cost is 3,200 CAD. The duty figure of 0.619 is not chosen for thermal convenience; it is the value that holds endurance at exactly 6.00 h, and Section 22.6 explains why endurance rather than cooling now sets the limit.</w:t>
      </w:r>
    </w:p>
    <w:p>
      <w:pPr>
        <w:pStyle w:val="Heading2"/>
        <w:spacing w:after="110" w:before="240"/>
      </w:pPr>
      <w:r>
        <w:rPr>
          <w:rFonts w:ascii="Calibri" w:cs="Calibri" w:eastAsia="Calibri" w:hAnsi="Calibri"/>
          <w:b/>
          <w:bCs/>
          <w:color w:val="3A2E28"/>
          <w:sz w:val="24"/>
          <w:szCs w:val="24"/>
        </w:rPr>
        <w:t xml:space="preserve">22.6 The Endurance Against Throughput Trade</w:t>
      </w:r>
    </w:p>
    <w:p>
      <w:pPr>
        <w:spacing w:after="120" w:before="60" w:line="276"/>
        <w:jc w:val="left"/>
      </w:pPr>
      <w:r>
        <w:rPr>
          <w:rFonts w:ascii="Calibri" w:cs="Calibri" w:eastAsia="Calibri" w:hAnsi="Calibri"/>
          <w:b w:val="false"/>
          <w:bCs w:val="false"/>
          <w:i w:val="false"/>
          <w:iCs w:val="false"/>
          <w:color w:val="3A2E28"/>
          <w:sz w:val="20"/>
          <w:szCs w:val="20"/>
        </w:rPr>
        <w:t xml:space="preserve">Every watt of laser output costs mass three times. The source has mass, the cooling to reject its waste heat has mass, and both displace fuel on a fixed maximum takeoff weight. On an airframe whose defining requirement is six hours of endurance, this makes installed optical power a fuel decision rather than a payload decision, and the trade is steep enough that the naive answer of adding more sources is wrong.</w:t>
      </w:r>
    </w:p>
    <w:p>
      <w:pPr>
        <w:spacing w:after="120" w:before="60" w:line="276"/>
        <w:jc w:val="left"/>
      </w:pPr>
      <w:r>
        <w:rPr>
          <w:rFonts w:ascii="Calibri" w:cs="Calibri" w:eastAsia="Calibri" w:hAnsi="Calibri"/>
          <w:b w:val="false"/>
          <w:bCs w:val="false"/>
          <w:i w:val="false"/>
          <w:iCs w:val="false"/>
          <w:color w:val="3A2E28"/>
          <w:sz w:val="20"/>
          <w:szCs w:val="20"/>
        </w:rPr>
        <w:t xml:space="preserve">Configuration A retains the two 2 kW sources of v1.5 and adds only the scan heads and the enlarged cooling core. It holds endurance at 6.00 h at a duty of 0.619 and delivers 12.59 m2/h, which is 1.98 times the v1.5 rate. Capital cost rises by 18,000 CAD, which is 2.3 percent, and that figure buys both the throughput and the correction of the pyrolysis-threshold error.</w:t>
      </w:r>
    </w:p>
    <w:p>
      <w:pPr>
        <w:spacing w:after="120" w:before="60" w:line="276"/>
        <w:jc w:val="left"/>
      </w:pPr>
      <w:r>
        <w:rPr>
          <w:rFonts w:ascii="Calibri" w:cs="Calibri" w:eastAsia="Calibri" w:hAnsi="Calibri"/>
          <w:b w:val="false"/>
          <w:bCs w:val="false"/>
          <w:i w:val="false"/>
          <w:iCs w:val="false"/>
          <w:color w:val="3A2E28"/>
          <w:sz w:val="20"/>
          <w:szCs w:val="20"/>
        </w:rPr>
        <w:t xml:space="preserve">Configuration B replaces the two 2 kW sources with a single 6 kW module. Specific power of fibre sources improves with module size, so 6 kW arrives in 52 kg where two 2 kW modules take 56 kg and three take 84 kg. The lighter source set buys fuel, and Configuration B therefore holds the same 6.00 h at a duty of 0.493 while delivering 15.05 m2/h, which is 2.37 times the v1.5 rate. It costs 38,900 CAD more than Configuration A and it surrenders source redundancy, which Section 11 currently relies on for the degraded-mode case of treating at half swath on one source.</w:t>
      </w:r>
    </w:p>
    <w:p>
      <w:pPr>
        <w:spacing w:after="120" w:before="60" w:line="276"/>
        <w:jc w:val="left"/>
      </w:pPr>
      <w:r>
        <w:rPr>
          <w:rFonts w:ascii="Calibri" w:cs="Calibri" w:eastAsia="Calibri" w:hAnsi="Calibri"/>
          <w:b w:val="false"/>
          <w:bCs w:val="false"/>
          <w:i w:val="false"/>
          <w:iCs w:val="false"/>
          <w:color w:val="3A2E28"/>
          <w:sz w:val="20"/>
          <w:szCs w:val="20"/>
        </w:rPr>
        <w:t xml:space="preserve">Configurations with more installed power than these do not help. Three 2 kW sources hold 6.00 h only at a duty so low that average optical power falls below Configuration A. Four sources cannot hold the requirement at any duty. The reason is that source and cooling mass consume fuel faster than added power converts into area, and the crossover sits between two and three modules of the 2 kW class.</w:t>
      </w:r>
    </w:p>
    <w:p>
      <w:pPr>
        <w:spacing w:after="60" w:before="180"/>
        <w:jc w:val="center"/>
      </w:pPr>
      <w:r>
        <w:drawing>
          <wp:inline distT="0" distB="0" distL="0" distR="0">
            <wp:extent cx="59912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91225" cy="21050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8: Left, the endurance against throughput trade for the 2 x 3 kW source set, with the six-hour requirement marked and both adopted configurations sitting exactly on it. Right, area treatment rate by configuration and mode. Tethered operation removes the fuel constraint entirely and is the single largest lever in the set.</w:t>
      </w:r>
    </w:p>
    <w:p>
      <w:pPr>
        <w:spacing w:after="120" w:before="60" w:line="276"/>
        <w:jc w:val="left"/>
      </w:pPr>
      <w:r>
        <w:rPr>
          <w:rFonts w:ascii="Calibri" w:cs="Calibri" w:eastAsia="Calibri" w:hAnsi="Calibri"/>
          <w:b w:val="false"/>
          <w:bCs w:val="false"/>
          <w:i w:val="false"/>
          <w:iCs w:val="false"/>
          <w:color w:val="3A2E28"/>
          <w:sz w:val="20"/>
          <w:szCs w:val="20"/>
        </w:rPr>
        <w:t xml:space="preserve">Version 1.6 adopts Configuration A as the baseline and carries Configuration B as a Block 2 growth option contingent on a redundancy argument that Section 11 does not yet make. The recommendation rests on three grounds: Configuration A reuses source hardware already specified and priced, it preserves the dual-source degraded mode, and its 18,000 CAD capital delta is small enough that the decision does not compete with the airframe for programme funding.</w:t>
      </w:r>
    </w:p>
    <w:p>
      <w:pPr>
        <w:pStyle w:val="Heading2"/>
        <w:spacing w:after="110" w:before="240"/>
      </w:pPr>
      <w:r>
        <w:rPr>
          <w:rFonts w:ascii="Calibri" w:cs="Calibri" w:eastAsia="Calibri" w:hAnsi="Calibri"/>
          <w:b/>
          <w:bCs/>
          <w:color w:val="3A2E28"/>
          <w:sz w:val="24"/>
          <w:szCs w:val="24"/>
        </w:rPr>
        <w:t xml:space="preserve">22.7 Consolidated Coverage Figures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1650"/>
        <w:gridCol w:w="1650"/>
        <w:gridCol w:w="1650"/>
        <w:gridCol w:w="223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Quantity</w:t>
            </w:r>
          </w:p>
        </w:tc>
        <w:tc>
          <w:tcPr>
            <w:tcW w:type="dxa" w:w="16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v1.5</w:t>
            </w:r>
          </w:p>
        </w:tc>
        <w:tc>
          <w:tcPr>
            <w:tcW w:type="dxa" w:w="16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v1.6 Config A</w:t>
            </w:r>
          </w:p>
        </w:tc>
        <w:tc>
          <w:tcPr>
            <w:tcW w:type="dxa" w:w="16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v1.6 Config B</w:t>
            </w:r>
          </w:p>
        </w:tc>
        <w:tc>
          <w:tcPr>
            <w:tcW w:type="dxa" w:w="223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Installed optical power</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4,000 W</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4,000 W</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6,000 W</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Configuration B uses one 6 kW module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set mass</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56.0 kg</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56.0 kg</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52.0 kg</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Specific power improves with module size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cycle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0.45</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0.619</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0.493</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Set by the six-hour endurance requirement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Instantaneous irradiance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6.43 kW/m2</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113.2 kW/m2</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339.5 kW/m2</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Configuration B feeds one head at full power</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Reaches pyrolysis temperature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Yes</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Yes</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Correction C-16; see Section 22.2</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0.43 nominal</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 target</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 target</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Gated on Phase 3 calorimetry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Delivered dose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MJ/m2</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0.697 MJ/m2</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0.697 MJ/m2</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because coupling rises</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Treated swath, one pass</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 m</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2.80 m</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2.80 m</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heads at 19.3 degrees half-angle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electrical load</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5.41 kW</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7.43 kW</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8.88 kW</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Against 40 kW of unused engine rating</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Heat rejection</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4.41 kW</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5.76 kW</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6.73 kW</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Enlarged ram-air core, existing bay volume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765.6 kg</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782.6 kg</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780.4 kg</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Cooling growth and scan heads included</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at treatment duty</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6.56 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6.00 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6.00 h</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Both configurations sit on the requirement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Area treatment rate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6.35 m2/h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12.59 m2/h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15.05 m2/h</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1.98x and 2.37x against v1.5</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advance rate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4.54 m/h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4.50 m/h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5.38 m/h</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2.80 m swath rather than 1.40 m</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Area per sortie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31.2 m2</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53.4 m2</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63.8 m2</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On-station time 4.24 h</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per sortie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22.3 m</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19.1 m</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22.8 m</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full 2.80 m width</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Tethered area rate</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6.35 m2/h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20.4 m2/h</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30.5 m2/h</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1.00, no fuel constraint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Capital cost</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779,302 CAD</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797,302 CAD</w:t>
            </w:r>
          </w:p>
        </w:tc>
        <w:tc>
          <w:tcPr>
            <w:tcW w:type="dxa" w:w="16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818,202 CAD</w:t>
            </w:r>
          </w:p>
        </w:tc>
        <w:tc>
          <w:tcPr>
            <w:tcW w:type="dxa" w:w="22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24 states the deltas</w:t>
            </w:r>
          </w:p>
        </w:tc>
      </w:tr>
    </w:tbl>
    <w:p>
      <w:pPr>
        <w:spacing w:after="200" w:before="60"/>
      </w:pPr>
      <w:r>
        <w:rPr>
          <w:rFonts w:ascii="Calibri" w:cs="Calibri" w:eastAsia="Calibri" w:hAnsi="Calibri"/>
          <w:i/>
          <w:iCs/>
          <w:color w:val="6B5A4E"/>
          <w:sz w:val="17"/>
          <w:szCs w:val="17"/>
        </w:rPr>
        <w:t xml:space="preserve">Table 27: Consolidated coverage figures for v1.5 and both v1.6 configurations. Configuration A is the adopted baseline. Configuration B is a Block 2 growth option pending a redundancy argument.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23. Solar and Auxiliary Energy Assessment</w:t>
      </w:r>
    </w:p>
    <w:p>
      <w:pPr>
        <w:spacing w:after="120" w:before="60" w:line="276"/>
        <w:jc w:val="left"/>
      </w:pPr>
      <w:r>
        <w:rPr>
          <w:rFonts w:ascii="Calibri" w:cs="Calibri" w:eastAsia="Calibri" w:hAnsi="Calibri"/>
          <w:b w:val="false"/>
          <w:bCs w:val="false"/>
          <w:i w:val="false"/>
          <w:iCs w:val="false"/>
          <w:color w:val="3A2E28"/>
          <w:sz w:val="20"/>
          <w:szCs w:val="20"/>
        </w:rPr>
        <w:t xml:space="preserve">This section answers whether photovoltaic generation contributes usefully to the E6 system. The assessment separates three cases that are routinely conflated: solar as flight power, solar as parked-state power on the aircraft, and solar as forward-base infrastructure. The first case fails by two orders of magnitude and fails in a way no technology improvement recovers. The second and third cases both pay, and the third pays substantially.</w:t>
      </w:r>
    </w:p>
    <w:p>
      <w:pPr>
        <w:pStyle w:val="Heading2"/>
        <w:spacing w:after="110" w:before="240"/>
      </w:pPr>
      <w:r>
        <w:rPr>
          <w:rFonts w:ascii="Calibri" w:cs="Calibri" w:eastAsia="Calibri" w:hAnsi="Calibri"/>
          <w:b/>
          <w:bCs/>
          <w:color w:val="3A2E28"/>
          <w:sz w:val="24"/>
          <w:szCs w:val="24"/>
        </w:rPr>
        <w:t xml:space="preserve">23.1 Solar as Flight Power</w:t>
      </w:r>
    </w:p>
    <w:p>
      <w:pPr>
        <w:spacing w:after="120" w:before="60" w:line="276"/>
        <w:jc w:val="left"/>
      </w:pPr>
      <w:r>
        <w:rPr>
          <w:rFonts w:ascii="Calibri" w:cs="Calibri" w:eastAsia="Calibri" w:hAnsi="Calibri"/>
          <w:b w:val="false"/>
          <w:bCs w:val="false"/>
          <w:i w:val="false"/>
          <w:iCs w:val="false"/>
          <w:color w:val="3A2E28"/>
          <w:sz w:val="20"/>
          <w:szCs w:val="20"/>
        </w:rPr>
        <w:t xml:space="preserve">The aperture available on the airframe sets the answer before any efficiency assumption enters. The centre body deck measures 1.60 m by 1.60 m and 1.79 m2 of that remains clear of hatches, intakes, and the heat exchanger face. The upper surfaces of eight arms contribute 2.88 m2 of gross area, of which 1.15 m2 is effective after accounting for rotor shadow, surface curvature, and hinge lines. Total usable aperture is 2.94 m2. This is not a design choice that a better layout improves, because the rotor discs occupy the planform and a panel under a rotor disc is a panel in a chopped shadow.</w:t>
      </w:r>
    </w:p>
    <w:p>
      <w:pPr>
        <w:spacing w:after="120" w:before="60" w:line="276"/>
        <w:jc w:val="left"/>
      </w:pPr>
      <w:r>
        <w:rPr>
          <w:rFonts w:ascii="Calibri" w:cs="Calibri" w:eastAsia="Calibri" w:hAnsi="Calibri"/>
          <w:b w:val="false"/>
          <w:bCs w:val="false"/>
          <w:i w:val="false"/>
          <w:iCs w:val="false"/>
          <w:color w:val="3A2E28"/>
          <w:sz w:val="20"/>
          <w:szCs w:val="20"/>
        </w:rPr>
        <w:t xml:space="preserve">A flexible copper indium gallium selenide laminate at 18 percent efficiency and 1.70 kg per square metre produces 530 W at standard test conditions and weighs 5.0 kg installed. Real output is lower. At clear-air solar noon with 950 W/m2 incident, a cell temperature of 55 C costing 12 percent, and a horizontal mounting against a sun at 60 degrees elevation costing a further 13 percent, the array produces 385 W. Under the smoke column that characterises the environment this aircraft exists to work in, transmittance falls to roughly 0.35 and output falls to 135 W.</w:t>
      </w:r>
    </w:p>
    <w:p>
      <w:pPr>
        <w:spacing w:after="120" w:before="60" w:line="276"/>
        <w:jc w:val="left"/>
      </w:pPr>
      <w:r>
        <w:rPr>
          <w:rFonts w:ascii="Calibri" w:cs="Calibri" w:eastAsia="Calibri" w:hAnsi="Calibri"/>
          <w:b w:val="false"/>
          <w:bCs w:val="false"/>
          <w:i w:val="false"/>
          <w:iCs w:val="false"/>
          <w:color w:val="3A2E28"/>
          <w:sz w:val="20"/>
          <w:szCs w:val="20"/>
        </w:rPr>
        <w:t xml:space="preserve">Bus demand in hover is 140.1 kW. The clear-air figure is 0.275 percent of demand and the smoke-column figure is 0.096 percent. Converted into the currency that matters, 385 W saves 0.102 kg of fuel per hour and adds 1.0 minute of endurance across a full sortie, while the 5.0 kg of laminate displaces fuel worth 7.0 minutes. The net effect of fitting solar for flight power is a loss of 6.0 minutes of endurance in the best case that ever occurs, and a larger loss in every case that actually occurs.</w:t>
      </w:r>
    </w:p>
    <w:p>
      <w:pPr>
        <w:spacing w:after="60" w:before="180"/>
        <w:jc w:val="center"/>
      </w:pPr>
      <w:r>
        <w:drawing>
          <wp:inline distT="0" distB="0" distL="0" distR="0">
            <wp:extent cx="59912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91225" cy="203835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10: Left, best-case airframe solar output against hover bus demand on a logarithmic scale. Right, the forward operating base daily load profile against a 15 kW array yield of 69 kWh per day in clear air. The airframe case fails by two orders of magnitude. The ground case closes comfortably.</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Finding on flight power</w:t>
            </w:r>
          </w:p>
          <w:p>
            <w:pPr>
              <w:spacing w:after="60" w:line="270"/>
            </w:pPr>
            <w:r>
              <w:rPr>
                <w:rFonts w:ascii="Calibri" w:cs="Calibri" w:eastAsia="Calibri" w:hAnsi="Calibri"/>
                <w:color w:val="3A2E28"/>
                <w:sz w:val="19"/>
                <w:szCs w:val="19"/>
              </w:rPr>
              <w:t xml:space="preserve">Photovoltaic generation is rejected for E6 flight power.</w:t>
            </w:r>
          </w:p>
          <w:p>
            <w:pPr>
              <w:spacing w:after="60" w:line="270"/>
            </w:pPr>
            <w:r>
              <w:rPr>
                <w:rFonts w:ascii="Calibri" w:cs="Calibri" w:eastAsia="Calibri" w:hAnsi="Calibri"/>
                <w:color w:val="3A2E28"/>
                <w:sz w:val="19"/>
                <w:szCs w:val="19"/>
              </w:rPr>
              <w:t xml:space="preserve">Usable aperture 2.94 m2 against a 140.1 kW demand is a mismatch of two orders of magnitude.</w:t>
            </w:r>
          </w:p>
          <w:p>
            <w:pPr>
              <w:spacing w:after="60" w:line="270"/>
            </w:pPr>
            <w:r>
              <w:rPr>
                <w:rFonts w:ascii="Calibri" w:cs="Calibri" w:eastAsia="Calibri" w:hAnsi="Calibri"/>
                <w:color w:val="3A2E28"/>
                <w:sz w:val="19"/>
                <w:szCs w:val="19"/>
              </w:rPr>
              <w:t xml:space="preserve">Net endurance effect is negative 6.0 minutes before smoke attenuation is considered.</w:t>
            </w:r>
          </w:p>
          <w:p>
            <w:pPr>
              <w:spacing w:after="60" w:line="270"/>
            </w:pPr>
            <w:r>
              <w:rPr>
                <w:rFonts w:ascii="Calibri" w:cs="Calibri" w:eastAsia="Calibri" w:hAnsi="Calibri"/>
                <w:color w:val="3A2E28"/>
                <w:sz w:val="19"/>
                <w:szCs w:val="19"/>
              </w:rPr>
              <w:t xml:space="preserve">No improvement in cell efficiency changes this. Doubling efficiency to 36 percent leaves the contribution at 0.55 percent of demand and the net endurance effect still negative.</w:t>
            </w:r>
          </w:p>
        </w:tc>
      </w:tr>
    </w:tbl>
    <w:p>
      <w:pPr>
        <w:pStyle w:val="Heading2"/>
        <w:spacing w:after="110" w:before="240"/>
      </w:pPr>
      <w:r>
        <w:rPr>
          <w:rFonts w:ascii="Calibri" w:cs="Calibri" w:eastAsia="Calibri" w:hAnsi="Calibri"/>
          <w:b/>
          <w:bCs/>
          <w:color w:val="3A2E28"/>
          <w:sz w:val="24"/>
          <w:szCs w:val="24"/>
        </w:rPr>
        <w:t xml:space="preserve">23.2 Solar for the Parked Aircraft</w:t>
      </w:r>
    </w:p>
    <w:p>
      <w:pPr>
        <w:spacing w:after="120" w:before="60" w:line="276"/>
        <w:jc w:val="left"/>
      </w:pPr>
      <w:r>
        <w:rPr>
          <w:rFonts w:ascii="Calibri" w:cs="Calibri" w:eastAsia="Calibri" w:hAnsi="Calibri"/>
          <w:b w:val="false"/>
          <w:bCs w:val="false"/>
          <w:i w:val="false"/>
          <w:iCs w:val="false"/>
          <w:color w:val="3A2E28"/>
          <w:sz w:val="20"/>
          <w:szCs w:val="20"/>
        </w:rPr>
        <w:t xml:space="preserve">The second case inverts the arithmetic, because parked load is small and parked time is long. A 1.10 m2 semi-flexible panel bonded to the centre deck produces 198 W peak and weighs 1.9 kg, and it yields 1.03 kWh across a summer day at 49 degrees north. Parked load consists of battery management, cell heaters, coolant loop conditioning, and the flight data recorder, and totals 45 W or 1.08 kWh per day.</w:t>
      </w:r>
    </w:p>
    <w:p>
      <w:pPr>
        <w:spacing w:after="120" w:before="60" w:line="276"/>
        <w:jc w:val="left"/>
      </w:pPr>
      <w:r>
        <w:rPr>
          <w:rFonts w:ascii="Calibri" w:cs="Calibri" w:eastAsia="Calibri" w:hAnsi="Calibri"/>
          <w:b w:val="false"/>
          <w:bCs w:val="false"/>
          <w:i w:val="false"/>
          <w:iCs w:val="false"/>
          <w:color w:val="3A2E28"/>
          <w:sz w:val="20"/>
          <w:szCs w:val="20"/>
        </w:rPr>
        <w:t xml:space="preserve">The array therefore covers the parked load to within 5 percent, and covers it fully across the summer months when deployments occur. The operational value is not the energy. It is that a multi-day forward deployment no longer requires an engine start to maintain battery state, which removes a category of unnecessary engine cycles, removes the fuel and noise associated with them, and removes the crew task of scheduling them. The 1.9 kg has no effect on any sortie, because a sortie begins with full tanks and the mass sits inside the fuel load rather than displacing it.</w:t>
      </w:r>
    </w:p>
    <w:p>
      <w:pPr>
        <w:spacing w:after="120" w:before="60" w:line="276"/>
        <w:jc w:val="left"/>
      </w:pPr>
      <w:r>
        <w:rPr>
          <w:rFonts w:ascii="Calibri" w:cs="Calibri" w:eastAsia="Calibri" w:hAnsi="Calibri"/>
          <w:b w:val="false"/>
          <w:bCs w:val="false"/>
          <w:i w:val="false"/>
          <w:iCs w:val="false"/>
          <w:color w:val="3A2E28"/>
          <w:sz w:val="20"/>
          <w:szCs w:val="20"/>
        </w:rPr>
        <w:t xml:space="preserve">Version 1.6 adopts this provision. It appears in the bill of materials at 2,400 CAD as a deck-bonded laminate with an integrated maximum power point tracker feeding the buffer battery through the existing battery management interface.</w:t>
      </w:r>
    </w:p>
    <w:p>
      <w:pPr>
        <w:pStyle w:val="Heading2"/>
        <w:spacing w:after="110" w:before="240"/>
      </w:pPr>
      <w:r>
        <w:rPr>
          <w:rFonts w:ascii="Calibri" w:cs="Calibri" w:eastAsia="Calibri" w:hAnsi="Calibri"/>
          <w:b/>
          <w:bCs/>
          <w:color w:val="3A2E28"/>
          <w:sz w:val="24"/>
          <w:szCs w:val="24"/>
        </w:rPr>
        <w:t xml:space="preserve">23.3 Solar for the Forward Operating Base</w:t>
      </w:r>
    </w:p>
    <w:p>
      <w:pPr>
        <w:spacing w:after="120" w:before="60" w:line="276"/>
        <w:jc w:val="left"/>
      </w:pPr>
      <w:r>
        <w:rPr>
          <w:rFonts w:ascii="Calibri" w:cs="Calibri" w:eastAsia="Calibri" w:hAnsi="Calibri"/>
          <w:b w:val="false"/>
          <w:bCs w:val="false"/>
          <w:i w:val="false"/>
          <w:iCs w:val="false"/>
          <w:color w:val="3A2E28"/>
          <w:sz w:val="20"/>
          <w:szCs w:val="20"/>
        </w:rPr>
        <w:t xml:space="preserve">The third case is where photovoltaic generation earns a place in the system, and the reason has nothing to do with the aircraft. Wildfire operations occur at forward camps where the binding constraint on energy is not cost per kilowatt hour but the logistics of delivering diesel to a location that has no road.</w:t>
      </w:r>
    </w:p>
    <w:p>
      <w:pPr>
        <w:spacing w:after="120" w:before="60" w:line="276"/>
        <w:jc w:val="left"/>
      </w:pPr>
      <w:r>
        <w:rPr>
          <w:rFonts w:ascii="Calibri" w:cs="Calibri" w:eastAsia="Calibri" w:hAnsi="Calibri"/>
          <w:b w:val="false"/>
          <w:bCs w:val="false"/>
          <w:i w:val="false"/>
          <w:iCs w:val="false"/>
          <w:color w:val="3A2E28"/>
          <w:sz w:val="20"/>
          <w:szCs w:val="20"/>
        </w:rPr>
        <w:t xml:space="preserve">A trailer-mounted 15 kW bifacial array with tilt adjustment yields 69 kWh per day in July at 49 degrees north on 4.6 peak sun hours, and 31 kWh per day under heavy smoke at 0.45 transmittance. Base load totals 51.2 kWh per day across five items: buffer battery top-up for four sorties at 4.2 kWh each, ground control station and communications for 14 hours at 1.1 kW, coolant conditioning and source pre-heat, field shelter and charging, and maintenance tools.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200"/>
        <w:gridCol w:w="1750"/>
        <w:gridCol w:w="4130"/>
      </w:tblGrid>
      <w:tr>
        <w:trPr>
          <w:tblHeader/>
        </w:trPr>
        <w:tc>
          <w:tcPr>
            <w:tcW w:type="dxa" w:w="4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Load</w:t>
            </w:r>
          </w:p>
        </w:tc>
        <w:tc>
          <w:tcPr>
            <w:tcW w:type="dxa" w:w="175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kWh per day</w:t>
            </w:r>
          </w:p>
        </w:tc>
        <w:tc>
          <w:tcPr>
            <w:tcW w:type="dxa" w:w="413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top-up, four sorties at 4.2 kWh</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16.8</w:t>
            </w:r>
          </w:p>
        </w:tc>
        <w:tc>
          <w:tcPr>
            <w:tcW w:type="dxa" w:w="4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Replaces the engine-driven charge cycle between sorties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control station and communications, 14 h at 1.1 kW</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15.4</w:t>
            </w:r>
          </w:p>
        </w:tc>
        <w:tc>
          <w:tcPr>
            <w:tcW w:type="dxa" w:w="4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Includes the tracking antenna and the mesh relay</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 conditioning and source pre-heat</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w:t>
            </w:r>
          </w:p>
        </w:tc>
        <w:tc>
          <w:tcPr>
            <w:tcW w:type="dxa" w:w="4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Brings sources into the 10 to 40 C window before first sortie</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Field shelter, lighting, charging</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w:t>
            </w:r>
          </w:p>
        </w:tc>
        <w:tc>
          <w:tcPr>
            <w:tcW w:type="dxa" w:w="4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Crew accommodation and handheld equipment</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Maintenance tools and compressor</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5.0</w:t>
            </w:r>
          </w:p>
        </w:tc>
        <w:tc>
          <w:tcPr>
            <w:tcW w:type="dxa" w:w="4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Torque tools, tyre and strut servicing</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w:t>
            </w:r>
          </w:p>
        </w:tc>
        <w:tc>
          <w:tcPr>
            <w:tcW w:type="dxa" w:w="175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51.2</w:t>
            </w:r>
          </w:p>
        </w:tc>
        <w:tc>
          <w:tcPr>
            <w:tcW w:type="dxa" w:w="413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69 kWh clear-air yield and 31 kWh under heavy smoke</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Storage sized for one day of autonomy</w:t>
            </w:r>
          </w:p>
        </w:tc>
        <w:tc>
          <w:tcPr>
            <w:tcW w:type="dxa" w:w="175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77</w:t>
            </w:r>
          </w:p>
        </w:tc>
        <w:tc>
          <w:tcPr>
            <w:tcW w:type="dxa" w:w="413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Lithium iron phosphate, trailer mounted</w:t>
            </w:r>
          </w:p>
        </w:tc>
      </w:tr>
    </w:tbl>
    <w:p>
      <w:pPr>
        <w:spacing w:after="200" w:before="60"/>
      </w:pPr>
      <w:r>
        <w:rPr>
          <w:rFonts w:ascii="Calibri" w:cs="Calibri" w:eastAsia="Calibri" w:hAnsi="Calibri"/>
          <w:i/>
          <w:iCs/>
          <w:color w:val="6B5A4E"/>
          <w:sz w:val="17"/>
          <w:szCs w:val="17"/>
        </w:rPr>
        <w:t xml:space="preserve">Table 28: Forward operating base daily energy budget. The array carries the base in clear air with an 18 kWh margin and covers 61 percent of load under heavy smoke, so a small diesel set remains on the manifest as firm capacity.</w:t>
      </w:r>
    </w:p>
    <w:p>
      <w:pPr>
        <w:spacing w:after="120" w:before="60" w:line="276"/>
        <w:jc w:val="left"/>
      </w:pPr>
      <w:r>
        <w:rPr>
          <w:rFonts w:ascii="Calibri" w:cs="Calibri" w:eastAsia="Calibri" w:hAnsi="Calibri"/>
          <w:b w:val="false"/>
          <w:bCs w:val="false"/>
          <w:i w:val="false"/>
          <w:iCs w:val="false"/>
          <w:color w:val="3A2E28"/>
          <w:sz w:val="20"/>
          <w:szCs w:val="20"/>
        </w:rPr>
        <w:t xml:space="preserve">The array displaces 15 L of diesel per day, or 878 L across a 60-day fire season. At a delivered cost of 9.00 CAD per litre to a remote camp, which reflects helicopter or long-haul truck delivery rather than pump price, the avoided fuel cost is 7,899 CAD per season. Against a capital cost of 58,000 CAD for array, storage, and trailer, simple payback is 7.3 seasons.</w:t>
      </w:r>
    </w:p>
    <w:p>
      <w:pPr>
        <w:spacing w:after="120" w:before="60" w:line="276"/>
        <w:jc w:val="left"/>
      </w:pPr>
      <w:r>
        <w:rPr>
          <w:rFonts w:ascii="Calibri" w:cs="Calibri" w:eastAsia="Calibri" w:hAnsi="Calibri"/>
          <w:b w:val="false"/>
          <w:bCs w:val="false"/>
          <w:i w:val="false"/>
          <w:iCs w:val="false"/>
          <w:color w:val="3A2E28"/>
          <w:sz w:val="20"/>
          <w:szCs w:val="20"/>
        </w:rPr>
        <w:t xml:space="preserve">That payback figure does not justify the purchase on its own and this document does not claim that it does. The case rests on three effects the payback calculation omits. Fuel delivery to a remote camp consumes aircraft hours that have alternative uses during a fire. A camp that generates its own power sheds a resupply dependency at exactly the moment when resupply is hardest. And the diesel set that remains on the manifest as firm capacity runs at a small fraction of its previous hours, which extends its service life and reduces the maintenance burden at the location where maintenance is most expensive. The recommendation is that the array is specified as a deployment option rather than as standard equipment, and that its business case is made on logistics rather than on energy cost.</w:t>
      </w:r>
    </w:p>
    <w:p>
      <w:pPr>
        <w:pStyle w:val="Heading2"/>
        <w:spacing w:after="110" w:before="240"/>
      </w:pPr>
      <w:r>
        <w:rPr>
          <w:rFonts w:ascii="Calibri" w:cs="Calibri" w:eastAsia="Calibri" w:hAnsi="Calibri"/>
          <w:b/>
          <w:bCs/>
          <w:color w:val="3A2E28"/>
          <w:sz w:val="24"/>
          <w:szCs w:val="24"/>
        </w:rPr>
        <w:t xml:space="preserve">23.4 Solar and the Tethered Variant</w:t>
      </w:r>
    </w:p>
    <w:p>
      <w:pPr>
        <w:spacing w:after="120" w:before="60" w:line="276"/>
        <w:jc w:val="left"/>
      </w:pPr>
      <w:r>
        <w:rPr>
          <w:rFonts w:ascii="Calibri" w:cs="Calibri" w:eastAsia="Calibri" w:hAnsi="Calibri"/>
          <w:b w:val="false"/>
          <w:bCs w:val="false"/>
          <w:i w:val="false"/>
          <w:iCs w:val="false"/>
          <w:color w:val="3A2E28"/>
          <w:sz w:val="20"/>
          <w:szCs w:val="20"/>
        </w:rPr>
        <w:t xml:space="preserve">Section 12 specifies a 142 kVA ground generator set for tethered operation, and the question naturally arises whether solar displaces it. It does not. A 142 kVA continuous demand across a 20-hour operating day is 2,840 kWh, and meeting that from photovoltaic generation at this latitude requires roughly 620 kW of array and a storage bank of comparable energy. That is a utility-scale installation and it is not transportable to a fire.</w:t>
      </w:r>
    </w:p>
    <w:p>
      <w:pPr>
        <w:spacing w:after="120" w:before="60" w:line="276"/>
        <w:jc w:val="left"/>
      </w:pPr>
      <w:r>
        <w:rPr>
          <w:rFonts w:ascii="Calibri" w:cs="Calibri" w:eastAsia="Calibri" w:hAnsi="Calibri"/>
          <w:b w:val="false"/>
          <w:bCs w:val="false"/>
          <w:i w:val="false"/>
          <w:iCs w:val="false"/>
          <w:color w:val="3A2E28"/>
          <w:sz w:val="20"/>
          <w:szCs w:val="20"/>
        </w:rPr>
        <w:t xml:space="preserve">What solar does contribute to tethered operation is standby and turnaround load. Between shifts the ground station draws roughly 3 kW for control, cooling circulation, and conditioning, and the 15 kW array of Section 23.3 covers that load and charges the storage bank during daylight hours when the tether is not flying. This reduces generator hours rather than generator size, and generator hours drive the maintenance interval that dominates the operating cost of a set at this rating.</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24. Cost Competitiveness and the Ground-Unit Comparison</w:t>
      </w:r>
    </w:p>
    <w:p>
      <w:pPr>
        <w:spacing w:after="120" w:before="60" w:line="276"/>
        <w:jc w:val="left"/>
      </w:pPr>
      <w:r>
        <w:rPr>
          <w:rFonts w:ascii="Calibri" w:cs="Calibri" w:eastAsia="Calibri" w:hAnsi="Calibri"/>
          <w:b w:val="false"/>
          <w:bCs w:val="false"/>
          <w:i w:val="false"/>
          <w:iCs w:val="false"/>
          <w:color w:val="3A2E28"/>
          <w:sz w:val="20"/>
          <w:szCs w:val="20"/>
        </w:rPr>
        <w:t xml:space="preserve">This section answers whether the aerial platform competes with the ground variant on cost, and it answers plainly. On ground a tracked vehicle can reach, the aerial unit does not compete and no plausible improvement makes it compete. The aerial unit earns its place only on ground the tracked vehicle cannot reach, and the comparison that decides procurement is therefore against helicopter-inserted crews and against doing nothing, not against the ground unit. This section states the arithmetic, identifies the levers that improve it, and states honestly how far those levers go.</w:t>
      </w:r>
    </w:p>
    <w:p>
      <w:pPr>
        <w:pStyle w:val="Heading2"/>
        <w:spacing w:after="110" w:before="240"/>
      </w:pPr>
      <w:r>
        <w:rPr>
          <w:rFonts w:ascii="Calibri" w:cs="Calibri" w:eastAsia="Calibri" w:hAnsi="Calibri"/>
          <w:b/>
          <w:bCs/>
          <w:color w:val="3A2E28"/>
          <w:sz w:val="24"/>
          <w:szCs w:val="24"/>
        </w:rPr>
        <w:t xml:space="preserve">24.1 The Cost Model</w:t>
      </w:r>
    </w:p>
    <w:p>
      <w:pPr>
        <w:spacing w:after="120" w:before="60" w:line="276"/>
        <w:jc w:val="left"/>
      </w:pPr>
      <w:r>
        <w:rPr>
          <w:rFonts w:ascii="Calibri" w:cs="Calibri" w:eastAsia="Calibri" w:hAnsi="Calibri"/>
          <w:b w:val="false"/>
          <w:bCs w:val="false"/>
          <w:i w:val="false"/>
          <w:iCs w:val="false"/>
          <w:color w:val="3A2E28"/>
          <w:sz w:val="20"/>
          <w:szCs w:val="20"/>
        </w:rPr>
        <w:t xml:space="preserve">Capital cost amortises across five years at 300 operating days per year. Fixed daily cost of 1,150 CAD covers crew, trailer, insurance, and facility. Variable cost of 608 CAD per flight hour covers fuel, engine reserve, airframe maintenance reserve, and consumables, and Section 18 derives that figure. Flight hours per operating day are 8.68 across 2.34 sorties of 4.24 hours on station, with 0.75 h turnaround and a 1.00 h transit and reserve block on each sortie.</w:t>
      </w:r>
    </w:p>
    <w:p>
      <w:pPr>
        <w:spacing w:after="120" w:before="60" w:line="276"/>
        <w:jc w:val="left"/>
      </w:pPr>
      <w:r>
        <w:rPr>
          <w:rFonts w:ascii="Calibri" w:cs="Calibri" w:eastAsia="Calibri" w:hAnsi="Calibri"/>
          <w:b w:val="false"/>
          <w:bCs w:val="false"/>
          <w:i w:val="false"/>
          <w:iCs w:val="false"/>
          <w:color w:val="3A2E28"/>
          <w:sz w:val="20"/>
          <w:szCs w:val="20"/>
        </w:rPr>
        <w:t xml:space="preserve">The output metric is Canadian dollars per treated square metre, converted to dollars per hectare where comparison with forestry practice requires it. Treated area rather than corridor length is the correct denominator, because a fuel break is specified by its area and a comparison expressed per metre hides the swath width that Section 22 doubles.</w:t>
      </w:r>
    </w:p>
    <w:p>
      <w:pPr>
        <w:pStyle w:val="Heading2"/>
        <w:spacing w:after="110" w:before="240"/>
      </w:pPr>
      <w:r>
        <w:rPr>
          <w:rFonts w:ascii="Calibri" w:cs="Calibri" w:eastAsia="Calibri" w:hAnsi="Calibri"/>
          <w:b/>
          <w:bCs/>
          <w:color w:val="3A2E28"/>
          <w:sz w:val="24"/>
          <w:szCs w:val="24"/>
        </w:rPr>
        <w:t xml:space="preserve">24.2 Where the Aerial Unit Stands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750"/>
        <w:gridCol w:w="1500"/>
        <w:gridCol w:w="1500"/>
        <w:gridCol w:w="1500"/>
        <w:gridCol w:w="2830"/>
      </w:tblGrid>
      <w:tr>
        <w:trPr>
          <w:tblHeader/>
        </w:trPr>
        <w:tc>
          <w:tcPr>
            <w:tcW w:type="dxa" w:w="27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Configuration</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Capital CAD</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m2 per day</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 per m2</w:t>
            </w:r>
          </w:p>
        </w:tc>
        <w:tc>
          <w:tcPr>
            <w:tcW w:type="dxa" w:w="283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 per hectare</w:t>
            </w:r>
          </w:p>
        </w:tc>
      </w:tr>
      <w:tr>
        <w:trPr>
          <w:tblHeader w:val="false"/>
        </w:trPr>
        <w:tc>
          <w:tcPr>
            <w:tcW w:type="dxa" w:w="27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aerial v1.5 as published</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779,302</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66</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105.96</w:t>
            </w:r>
          </w:p>
        </w:tc>
        <w:tc>
          <w:tcPr>
            <w:tcW w:type="dxa" w:w="283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1,059,580</w:t>
            </w:r>
          </w:p>
        </w:tc>
      </w:tr>
      <w:tr>
        <w:trPr>
          <w:tblHeader w:val="false"/>
        </w:trPr>
        <w:tc>
          <w:tcPr>
            <w:tcW w:type="dxa" w:w="27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aerial v1.6 Configuration A</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797,302</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125</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55.78</w:t>
            </w:r>
          </w:p>
        </w:tc>
        <w:tc>
          <w:tcPr>
            <w:tcW w:type="dxa" w:w="283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557,803</w:t>
            </w:r>
          </w:p>
        </w:tc>
      </w:tr>
      <w:tr>
        <w:trPr>
          <w:tblHeader w:val="false"/>
        </w:trPr>
        <w:tc>
          <w:tcPr>
            <w:tcW w:type="dxa" w:w="27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aerial v1.6 Configuration B</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818,202</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149</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46.75</w:t>
            </w:r>
          </w:p>
        </w:tc>
        <w:tc>
          <w:tcPr>
            <w:tcW w:type="dxa" w:w="283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467,472</w:t>
            </w:r>
          </w:p>
        </w:tc>
      </w:tr>
      <w:tr>
        <w:trPr>
          <w:tblHeader w:val="false"/>
        </w:trPr>
        <w:tc>
          <w:tcPr>
            <w:tcW w:type="dxa" w:w="27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tethered, Configuration B, 20 h day</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818,202</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611</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5.31</w:t>
            </w:r>
          </w:p>
        </w:tc>
        <w:tc>
          <w:tcPr>
            <w:tcW w:type="dxa" w:w="283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53,111</w:t>
            </w:r>
          </w:p>
        </w:tc>
      </w:tr>
      <w:tr>
        <w:trPr>
          <w:tblHeader w:val="false"/>
        </w:trPr>
        <w:tc>
          <w:tcPr>
            <w:tcW w:type="dxa" w:w="27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unit, estimated pending its edition</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298,000</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348</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8.08</w:t>
            </w:r>
          </w:p>
        </w:tc>
        <w:tc>
          <w:tcPr>
            <w:tcW w:type="dxa" w:w="283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80,848</w:t>
            </w:r>
          </w:p>
        </w:tc>
      </w:tr>
    </w:tbl>
    <w:p>
      <w:pPr>
        <w:spacing w:after="200" w:before="60"/>
      </w:pPr>
      <w:r>
        <w:rPr>
          <w:rFonts w:ascii="Calibri" w:cs="Calibri" w:eastAsia="Calibri" w:hAnsi="Calibri"/>
          <w:i/>
          <w:iCs/>
          <w:color w:val="6B5A4E"/>
          <w:sz w:val="17"/>
          <w:szCs w:val="17"/>
        </w:rPr>
        <w:t xml:space="preserve">Table 29: Cost per treated area by configuration. The ground-unit line is an estimate constructed on the same model and it carries the uncertainty stated in Section 24.4.</w:t>
      </w:r>
    </w:p>
    <w:p>
      <w:pPr>
        <w:spacing w:after="120" w:before="60" w:line="276"/>
        <w:jc w:val="left"/>
      </w:pPr>
      <w:r>
        <w:rPr>
          <w:rFonts w:ascii="Calibri" w:cs="Calibri" w:eastAsia="Calibri" w:hAnsi="Calibri"/>
          <w:b w:val="false"/>
          <w:bCs w:val="false"/>
          <w:i w:val="false"/>
          <w:iCs w:val="false"/>
          <w:color w:val="3A2E28"/>
          <w:sz w:val="20"/>
          <w:szCs w:val="20"/>
        </w:rPr>
        <w:t xml:space="preserve">Configuration A improves cost per square metre by a factor of 1.90 against v1.5, and Configuration B by a factor of 2.27. Both improvements come almost entirely from throughput rather than from capital reduction, because capital changes by under 5 percent while area rate roughly doubles. The tethered mode improves cost by a factor of 20.0, which is larger than every other lever in this document combined.</w:t>
      </w:r>
    </w:p>
    <w:p>
      <w:pPr>
        <w:pStyle w:val="Heading2"/>
        <w:spacing w:after="110" w:before="240"/>
      </w:pPr>
      <w:r>
        <w:rPr>
          <w:rFonts w:ascii="Calibri" w:cs="Calibri" w:eastAsia="Calibri" w:hAnsi="Calibri"/>
          <w:b/>
          <w:bCs/>
          <w:color w:val="3A2E28"/>
          <w:sz w:val="24"/>
          <w:szCs w:val="24"/>
        </w:rPr>
        <w:t xml:space="preserve">24.3 Why Capital Reduction Is the Wrong Lever</w:t>
      </w:r>
    </w:p>
    <w:p>
      <w:pPr>
        <w:spacing w:after="120" w:before="60" w:line="276"/>
        <w:jc w:val="left"/>
      </w:pPr>
      <w:r>
        <w:rPr>
          <w:rFonts w:ascii="Calibri" w:cs="Calibri" w:eastAsia="Calibri" w:hAnsi="Calibri"/>
          <w:b w:val="false"/>
          <w:bCs w:val="false"/>
          <w:i w:val="false"/>
          <w:iCs w:val="false"/>
          <w:color w:val="3A2E28"/>
          <w:sz w:val="20"/>
          <w:szCs w:val="20"/>
        </w:rPr>
        <w:t xml:space="preserve">The instinct on seeing an 800,000 CAD platform is to reduce the bill of materials, and on this platform that instinct is wrong. Capital amortised across 1,500 operating days contributes 532 CAD to a day that costs 6,959 CAD in total, which is 8 percent. Removing 100,000 CAD of capital, which is more than any credible redesign yields, improves cost per square metre by 4 percent. Doubling throughput improves it by 50 percent.</w:t>
      </w:r>
    </w:p>
    <w:p>
      <w:pPr>
        <w:spacing w:after="120" w:before="60" w:line="276"/>
        <w:jc w:val="left"/>
      </w:pPr>
      <w:r>
        <w:rPr>
          <w:rFonts w:ascii="Calibri" w:cs="Calibri" w:eastAsia="Calibri" w:hAnsi="Calibri"/>
          <w:b w:val="false"/>
          <w:bCs w:val="false"/>
          <w:i w:val="false"/>
          <w:iCs w:val="false"/>
          <w:color w:val="3A2E28"/>
          <w:sz w:val="20"/>
          <w:szCs w:val="20"/>
        </w:rPr>
        <w:t xml:space="preserve">This has a direct consequence for how the treatment payload is specified. The payload is the throughput, and throughput is the cost driver, so the cost-optimal configuration carries more treatment capability rather than less, right up to the point where source mass starts consuming the fuel that endurance requires. Section 22.6 locates that point between two and three modules of the 2 kW class. Version 1.5 sits well below the optimum, and the correction is to spend 18,000 CAD adding scan heads rather than to save money by deleting capability.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600"/>
        <w:gridCol w:w="1400"/>
        <w:gridCol w:w="1400"/>
        <w:gridCol w:w="3680"/>
      </w:tblGrid>
      <w:tr>
        <w:trPr>
          <w:tblHeader/>
        </w:trPr>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Lever</w:t>
            </w:r>
          </w:p>
        </w:tc>
        <w:tc>
          <w:tcPr>
            <w:tcW w:type="dxa" w:w="1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Effect on CAD per m2</w:t>
            </w:r>
          </w:p>
        </w:tc>
        <w:tc>
          <w:tcPr>
            <w:tcW w:type="dxa" w:w="1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Capital delta</w:t>
            </w:r>
          </w:p>
        </w:tc>
        <w:tc>
          <w:tcPr>
            <w:tcW w:type="dxa" w:w="36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Scanning head, Configuration A</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1.90x cheaper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+18,000</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Adopted. Also corrects the pyrolysis-threshold error</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6 kW module, Configuration B</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2.27x cheaper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+38,900</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Block 2. Surrenders source redundancy</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Tethered fixed-site operation</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20.0x cheaper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+120,000 kit</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Largest lever. Constrained to sites within tether radius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Utilisation 150 to 300 days per year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1.07x cheaper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none</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Small, because capital is a small share of daily cost</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Remove 100,000 CAD of bill of materials</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1.04x cheaper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-100,000</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pursued. Capital is not the driver</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Raise coupling efficiency 0.62 to 0.75</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1.21x cheaper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none</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3 measurement decides this, not design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Forward refuelling to raise sorties per day</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1.18x cheaper</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+35,000</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Viable where a fuel cache can be established</w:t>
            </w:r>
          </w:p>
        </w:tc>
      </w:tr>
    </w:tbl>
    <w:p>
      <w:pPr>
        <w:spacing w:after="200" w:before="60"/>
      </w:pPr>
      <w:r>
        <w:rPr>
          <w:rFonts w:ascii="Calibri" w:cs="Calibri" w:eastAsia="Calibri" w:hAnsi="Calibri"/>
          <w:i/>
          <w:iCs/>
          <w:color w:val="6B5A4E"/>
          <w:sz w:val="17"/>
          <w:szCs w:val="17"/>
        </w:rPr>
        <w:t xml:space="preserve">Table 30: Cost levers ranked by effect. Throughput levers dominate capital levers by an order of magnitude, which is the central finding of this section.</w:t>
      </w:r>
    </w:p>
    <w:p>
      <w:pPr>
        <w:pStyle w:val="Heading2"/>
        <w:spacing w:after="110" w:before="240"/>
      </w:pPr>
      <w:r>
        <w:rPr>
          <w:rFonts w:ascii="Calibri" w:cs="Calibri" w:eastAsia="Calibri" w:hAnsi="Calibri"/>
          <w:b/>
          <w:bCs/>
          <w:color w:val="3A2E28"/>
          <w:sz w:val="24"/>
          <w:szCs w:val="24"/>
        </w:rPr>
        <w:t xml:space="preserve">24.4 The Ground-Unit Comparison</w:t>
      </w:r>
    </w:p>
    <w:p>
      <w:pPr>
        <w:spacing w:after="120" w:before="60" w:line="276"/>
        <w:jc w:val="left"/>
      </w:pPr>
      <w:r>
        <w:rPr>
          <w:rFonts w:ascii="Calibri" w:cs="Calibri" w:eastAsia="Calibri" w:hAnsi="Calibri"/>
          <w:b w:val="false"/>
          <w:bCs w:val="false"/>
          <w:i w:val="false"/>
          <w:iCs w:val="false"/>
          <w:color w:val="3A2E28"/>
          <w:sz w:val="20"/>
          <w:szCs w:val="20"/>
        </w:rPr>
        <w:t xml:space="preserve">The ground unit figure of 8.08 CAD per square metre is constructed rather than quoted, because the ground variant documents predate the corrections of Section 20 and Section 26 and their published throughput figures do not stand. The construction applies this document's verified method to a ground platform: four 2 kW sources at a duty of 0.95, because a ground vehicle rejects heat through a radiator sized without a mass constraint, a coupling efficiency of 0.62 identical to the aerial case, nine productive hours per day, and a capital cost of 298,000 CAD. The resulting area rate is 38.7 m2 per hour and daily output is 348 m2.</w:t>
      </w:r>
    </w:p>
    <w:p>
      <w:pPr>
        <w:spacing w:after="120" w:before="60" w:line="276"/>
        <w:jc w:val="left"/>
      </w:pPr>
      <w:r>
        <w:rPr>
          <w:rFonts w:ascii="Calibri" w:cs="Calibri" w:eastAsia="Calibri" w:hAnsi="Calibri"/>
          <w:b w:val="false"/>
          <w:bCs w:val="false"/>
          <w:i w:val="false"/>
          <w:iCs w:val="false"/>
          <w:color w:val="3A2E28"/>
          <w:sz w:val="20"/>
          <w:szCs w:val="20"/>
        </w:rPr>
        <w:t xml:space="preserve">The ground unit is therefore 6.9 times cheaper per square metre than aerial Configuration A and 5.8 times cheaper than Configuration B. This gap is structural rather than incidental. The ground unit spends no energy on staying airborne, carries no fuel-mass penalty for payload, rejects heat without a mass budget, and works a longer day. An aerial platform does not close a gap of that shape by refinement.</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finding stated plainly</w:t>
            </w:r>
          </w:p>
          <w:p>
            <w:pPr>
              <w:spacing w:after="60" w:line="270"/>
            </w:pPr>
            <w:r>
              <w:rPr>
                <w:rFonts w:ascii="Calibri" w:cs="Calibri" w:eastAsia="Calibri" w:hAnsi="Calibri"/>
                <w:color w:val="3A2E28"/>
                <w:sz w:val="19"/>
                <w:szCs w:val="19"/>
              </w:rPr>
              <w:t xml:space="preserve">On ground a tracked vehicle can reach, the aerial platform costs roughly 7 times more per treated square metre and there is no configuration in this document that changes that conclusion.</w:t>
            </w:r>
          </w:p>
          <w:p>
            <w:pPr>
              <w:spacing w:after="60" w:line="270"/>
            </w:pPr>
            <w:r>
              <w:rPr>
                <w:rFonts w:ascii="Calibri" w:cs="Calibri" w:eastAsia="Calibri" w:hAnsi="Calibri"/>
                <w:color w:val="3A2E28"/>
                <w:sz w:val="19"/>
                <w:szCs w:val="19"/>
              </w:rPr>
              <w:t xml:space="preserve">The aerial platform is not a competitor to the ground unit. It is a complement that reaches ground the ground unit cannot.</w:t>
            </w:r>
          </w:p>
          <w:p>
            <w:pPr>
              <w:spacing w:after="60" w:line="270"/>
            </w:pPr>
            <w:r>
              <w:rPr>
                <w:rFonts w:ascii="Calibri" w:cs="Calibri" w:eastAsia="Calibri" w:hAnsi="Calibri"/>
                <w:color w:val="3A2E28"/>
                <w:sz w:val="19"/>
                <w:szCs w:val="19"/>
              </w:rPr>
              <w:t xml:space="preserve">Any procurement case that compares the two on accessible terrain reaches the correct answer, which is to buy the ground unit.</w:t>
            </w:r>
          </w:p>
        </w:tc>
      </w:tr>
    </w:tbl>
    <w:p>
      <w:pPr>
        <w:pStyle w:val="Heading2"/>
        <w:spacing w:after="110" w:before="240"/>
      </w:pPr>
      <w:r>
        <w:rPr>
          <w:rFonts w:ascii="Calibri" w:cs="Calibri" w:eastAsia="Calibri" w:hAnsi="Calibri"/>
          <w:b/>
          <w:bCs/>
          <w:color w:val="3A2E28"/>
          <w:sz w:val="24"/>
          <w:szCs w:val="24"/>
        </w:rPr>
        <w:t xml:space="preserve">24.5 The Comparison That Actually Decides</w:t>
      </w:r>
    </w:p>
    <w:p>
      <w:pPr>
        <w:spacing w:after="120" w:before="60" w:line="276"/>
        <w:jc w:val="left"/>
      </w:pPr>
      <w:r>
        <w:rPr>
          <w:rFonts w:ascii="Calibri" w:cs="Calibri" w:eastAsia="Calibri" w:hAnsi="Calibri"/>
          <w:b w:val="false"/>
          <w:bCs w:val="false"/>
          <w:i w:val="false"/>
          <w:iCs w:val="false"/>
          <w:color w:val="3A2E28"/>
          <w:sz w:val="20"/>
          <w:szCs w:val="20"/>
        </w:rPr>
        <w:t xml:space="preserve">The relevant comparison is against what a fire agency does today on terrain a vehicle cannot reach. Four alternatives set the reference. A hand crew with chainsaws on accessible slope constructs fuel break at roughly 4,200 CAD per hectare. The same crew inserted by helicopter onto remote slope costs roughly 21,500 CAD per hectare. Helitack fuel-break construction runs near 34,000 CAD per hectare. Prescribed burning, where a burn window exists and the values at risk permit it, costs roughly 1,800 CAD per hectare and remains the cheapest tool by a wide margin.</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9: Cost per hectare against every alternative on a logarithmic scale. Free-flight aerial operation sits an order of magnitude above helitack. Tethered operation closes most of that gap. The logarithmic axis is necessary because the range spans three orders of magnitude, and that range is itself the finding.</w:t>
      </w:r>
    </w:p>
    <w:p>
      <w:pPr>
        <w:spacing w:after="120" w:before="60" w:line="276"/>
        <w:jc w:val="left"/>
      </w:pPr>
      <w:r>
        <w:rPr>
          <w:rFonts w:ascii="Calibri" w:cs="Calibri" w:eastAsia="Calibri" w:hAnsi="Calibri"/>
          <w:b w:val="false"/>
          <w:bCs w:val="false"/>
          <w:i w:val="false"/>
          <w:iCs w:val="false"/>
          <w:color w:val="3A2E28"/>
          <w:sz w:val="20"/>
          <w:szCs w:val="20"/>
        </w:rPr>
        <w:t xml:space="preserve">Aerial Configuration A at 557,803 CAD per hectare sits 16 times above helitack fuel-break construction. Configuration B sits 14 times above it. Tethered operation at 53,111 CAD per hectare sits within a factor of 1.6 of helitack, which is the first figure in this analysis that a procurement officer can defend on cost alone.</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does not present free-flight broadcast area treatment as economically competitive, because the arithmetic does not support that presentation. Three uses survive the analysis. The first is tethered fixed-site treatment around high-value assets, where the cost figure approaches conventional practice and where the fixed site removes the constraint that makes tethering impractical elsewhere. The second is treatment of specific linear assets where the treated area is small and its value is disproportionate, such as the immediate approaches to a transmission structure or a communications site, and where the relevant comparison is against the consequence of losing the asset rather than against a cost per hectare. The third is terrain where no crew can be safely inserted at any price, where the alternative is not a more expensive treatment but no treatment.</w:t>
      </w:r>
    </w:p>
    <w:p>
      <w:pPr>
        <w:pStyle w:val="Heading2"/>
        <w:spacing w:after="110" w:before="240"/>
      </w:pPr>
      <w:r>
        <w:rPr>
          <w:rFonts w:ascii="Calibri" w:cs="Calibri" w:eastAsia="Calibri" w:hAnsi="Calibri"/>
          <w:b/>
          <w:bCs/>
          <w:color w:val="3A2E28"/>
          <w:sz w:val="24"/>
          <w:szCs w:val="24"/>
        </w:rPr>
        <w:t xml:space="preserve">24.6 What Changes the Answer</w:t>
      </w:r>
    </w:p>
    <w:p>
      <w:pPr>
        <w:spacing w:after="120" w:before="60" w:line="276"/>
        <w:jc w:val="left"/>
      </w:pPr>
      <w:r>
        <w:rPr>
          <w:rFonts w:ascii="Calibri" w:cs="Calibri" w:eastAsia="Calibri" w:hAnsi="Calibri"/>
          <w:b w:val="false"/>
          <w:bCs w:val="false"/>
          <w:i w:val="false"/>
          <w:iCs w:val="false"/>
          <w:color w:val="3A2E28"/>
          <w:sz w:val="20"/>
          <w:szCs w:val="20"/>
        </w:rPr>
        <w:t xml:space="preserve">Closing the remaining order of magnitude requires a change in kind rather than a change in degree, and two candidates exist. The first is a reduction in process energy demand, which at 432.1 kJ/m2 is set by the physics of drying and pyrolysing 0.4 kg of fuel and is therefore not reducible by engineering. What is reducible is the treated fraction: a fuel break that carbonises 40 percent of the ground in a pattern that breaks fuel continuity, rather than 100 percent of it, costs 40 percent as much and this document has not evaluated whether such a pattern is effective. That evaluation belongs in the fire behaviour programme and not in an engineering specification, and it is the single most valuable open question the analysis raises.</w:t>
      </w:r>
    </w:p>
    <w:p>
      <w:pPr>
        <w:spacing w:after="120" w:before="60" w:line="276"/>
        <w:jc w:val="left"/>
      </w:pPr>
      <w:r>
        <w:rPr>
          <w:rFonts w:ascii="Calibri" w:cs="Calibri" w:eastAsia="Calibri" w:hAnsi="Calibri"/>
          <w:b w:val="false"/>
          <w:bCs w:val="false"/>
          <w:i w:val="false"/>
          <w:iCs w:val="false"/>
          <w:color w:val="3A2E28"/>
          <w:sz w:val="20"/>
          <w:szCs w:val="20"/>
        </w:rPr>
        <w:t xml:space="preserve">The second candidate is a step change in installed optical power, which requires a step change in the powerplant rather than a payload substitution. A 12 kW source at 88 kg draws 36 kW electrical and rejects 24 kW of heat, and neither figure fits inside the 40 kW of spare engine rating and the ram-air core this airframe carries. Reaching that configuration means a larger aircraft, and a larger aircraft carries its own cost growth. Whether that trade closes is a question for a successor design, and Section 26 records it as an open item rather than resolving it here.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25. Regulatory Pathway in Detail</w:t>
      </w:r>
    </w:p>
    <w:p>
      <w:pPr>
        <w:spacing w:after="120" w:before="60" w:line="276"/>
        <w:jc w:val="left"/>
      </w:pPr>
      <w:r>
        <w:rPr>
          <w:rFonts w:ascii="Calibri" w:cs="Calibri" w:eastAsia="Calibri" w:hAnsi="Calibri"/>
          <w:b w:val="false"/>
          <w:bCs w:val="false"/>
          <w:i w:val="false"/>
          <w:iCs w:val="false"/>
          <w:color w:val="3A2E28"/>
          <w:sz w:val="20"/>
          <w:szCs w:val="20"/>
        </w:rPr>
        <w:t xml:space="preserve">Section 16 states the regulatory pathway in outline. Section 19 rates regulatory timeline as the only High risk in the register and notes that the corrected 1,000 kg mass is what makes it so. This section states the pathway in the detail that a High-rated risk requires: which instrument applies, which authority issues it, what evidence it demands, how long it takes, what it costs, and what the programme does while it waits.</w:t>
      </w:r>
    </w:p>
    <w:p>
      <w:pPr>
        <w:spacing w:after="120" w:before="60" w:line="276"/>
        <w:jc w:val="left"/>
      </w:pPr>
      <w:r>
        <w:rPr>
          <w:rFonts w:ascii="Calibri" w:cs="Calibri" w:eastAsia="Calibri" w:hAnsi="Calibri"/>
          <w:b w:val="false"/>
          <w:bCs w:val="false"/>
          <w:i w:val="false"/>
          <w:iCs w:val="false"/>
          <w:color w:val="3A2E28"/>
          <w:sz w:val="20"/>
          <w:szCs w:val="20"/>
        </w:rPr>
        <w:t xml:space="preserve">One framing point governs everything that follows. This aircraft is not a large drone. At 1,000 kg maximum takeoff weight it sits above the entire Canadian remotely piloted aircraft framework, which tops out at 150 kg, and it carries two payloads that framework prohibits outright. The correct mental model is a small unmanned helicopter seeking approval as a purpose-built aerial work aircraft, and the programme plans, staffs, and budgets accordingly.</w:t>
      </w:r>
    </w:p>
    <w:p>
      <w:pPr>
        <w:pStyle w:val="Heading2"/>
        <w:spacing w:after="110" w:before="240"/>
      </w:pPr>
      <w:r>
        <w:rPr>
          <w:rFonts w:ascii="Calibri" w:cs="Calibri" w:eastAsia="Calibri" w:hAnsi="Calibri"/>
          <w:b/>
          <w:bCs/>
          <w:color w:val="3A2E28"/>
          <w:sz w:val="24"/>
          <w:szCs w:val="24"/>
        </w:rPr>
        <w:t xml:space="preserve">25.1 Where the Aircraft Falls in Canadian Law</w:t>
      </w:r>
    </w:p>
    <w:p>
      <w:pPr>
        <w:spacing w:after="120" w:before="60" w:line="276"/>
        <w:jc w:val="left"/>
      </w:pPr>
      <w:r>
        <w:rPr>
          <w:rFonts w:ascii="Calibri" w:cs="Calibri" w:eastAsia="Calibri" w:hAnsi="Calibri"/>
          <w:b w:val="false"/>
          <w:bCs w:val="false"/>
          <w:i w:val="false"/>
          <w:iCs w:val="false"/>
          <w:color w:val="3A2E28"/>
          <w:sz w:val="20"/>
          <w:szCs w:val="20"/>
        </w:rPr>
        <w:t xml:space="preserve">Canadian Aviation Regulations Part IX governs remotely piloted aircraft. The November 2025 amendments restructured it substantially. Aircraft from 250 g to 25 kg are small remotely piloted aircraft. Aircraft from 25 kg to 150 kg became medium remotely piloted aircraft under a Level 1 Complex certification framework, and that change removed the per-operation Special Flight Operations Certificate requirement that previously applied to them. Aircraft above 150 kg were not brought into the restructured framework and continue to require a Special Flight Operations Certificate.</w:t>
      </w:r>
    </w:p>
    <w:p>
      <w:pPr>
        <w:spacing w:after="120" w:before="60" w:line="276"/>
        <w:jc w:val="left"/>
      </w:pPr>
      <w:r>
        <w:rPr>
          <w:rFonts w:ascii="Calibri" w:cs="Calibri" w:eastAsia="Calibri" w:hAnsi="Calibri"/>
          <w:b w:val="false"/>
          <w:bCs w:val="false"/>
          <w:i w:val="false"/>
          <w:iCs w:val="false"/>
          <w:color w:val="3A2E28"/>
          <w:sz w:val="20"/>
          <w:szCs w:val="20"/>
        </w:rPr>
        <w:t xml:space="preserve">Three separate features of the E6 place it outside routine Part IX operation, and each is independently disqualifying. Maximum takeoff weight of 1,000 kg exceeds the 150 kg ceiling by a factor of 6.7. The aircraft carries 234 kg of aviation gasoline, and Part IX prohibits dangerous or hazardous payloads on medium remotely piloted aircraft. The aircraft emits a Class 4 laser beam toward the ground, which no provision of Part IX contemplates. The programme therefore does not seek a Part IX pathway and does not present the aircraft as one.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450"/>
        <w:gridCol w:w="1500"/>
        <w:gridCol w:w="3000"/>
        <w:gridCol w:w="3130"/>
      </w:tblGrid>
      <w:tr>
        <w:trPr>
          <w:tblHeader/>
        </w:trPr>
        <w:tc>
          <w:tcPr>
            <w:tcW w:type="dxa" w:w="24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Instrument</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Authority</w:t>
            </w:r>
          </w:p>
        </w:tc>
        <w:tc>
          <w:tcPr>
            <w:tcW w:type="dxa" w:w="3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What it covers</w:t>
            </w:r>
          </w:p>
        </w:tc>
        <w:tc>
          <w:tcPr>
            <w:tcW w:type="dxa" w:w="313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Status for the E6</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CARs Part IX, small RPA</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250 g to 25 kg</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applicable. Mass exceeds by 40x</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CARs Part IX, medium RPA, Level 1 Complex</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25 kg to 150 kg, VLOS and low-risk BVLOS</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applicable. Mass exceeds by 6.7x; hazardous payload prohibited</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SFOC-RPAS, high complexity</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Operations above 150 kg and other high-risk cases</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applicable operating instrument. 60 business day service standard</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Flight authority under CAR 507</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Airworthiness of the aircraft as a product</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Special Certificate of Airworthiness, limited or restricted, is the target</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RPAS Operator Certificate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Organisational safety management for BVLOS operators</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Required. Precedes rather than follows the SFOC</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Radiation Emitting Devices Regulations</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Health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Sale, lease, import of laser products; IEC 60825-1 classification</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to the sources as imported product. In force 9 October 2025</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Provincial occupational health and safety</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Province</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Use of Class 4 lasers in a workplace</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to the operation. Requires a laser safety officer and a written programme</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ISED radio authorisation</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ISED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Spectrum for command, control, and video links</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Site or fleet licence depending on band selection</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Transportation of Dangerous Goods</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transport of fuel and lithium batteries to site</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Standard commercial compliance, no novel element</w:t>
            </w:r>
          </w:p>
        </w:tc>
      </w:tr>
      <w:tr>
        <w:trPr>
          <w:tblHeader w:val="false"/>
        </w:trPr>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Provincial wildfire agency integration</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Province</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Airspace and incident command inside a fire perimeter</w:t>
            </w:r>
          </w:p>
        </w:tc>
        <w:tc>
          <w:tcPr>
            <w:tcW w:type="dxa" w:w="313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Operational agreement rather than a certificate</w:t>
            </w:r>
          </w:p>
        </w:tc>
      </w:tr>
    </w:tbl>
    <w:p>
      <w:pPr>
        <w:spacing w:after="200" w:before="60"/>
      </w:pPr>
      <w:r>
        <w:rPr>
          <w:rFonts w:ascii="Calibri" w:cs="Calibri" w:eastAsia="Calibri" w:hAnsi="Calibri"/>
          <w:i/>
          <w:iCs/>
          <w:color w:val="6B5A4E"/>
          <w:sz w:val="17"/>
          <w:szCs w:val="17"/>
        </w:rPr>
        <w:t xml:space="preserve">Table 31: Regulatory instruments and their applicability. Ten instruments apply and they issue from six different authorities, which is the structural reason this risk stays High.</w:t>
      </w:r>
    </w:p>
    <w:p>
      <w:pPr>
        <w:pStyle w:val="Heading2"/>
        <w:spacing w:after="110" w:before="240"/>
      </w:pPr>
      <w:r>
        <w:rPr>
          <w:rFonts w:ascii="Calibri" w:cs="Calibri" w:eastAsia="Calibri" w:hAnsi="Calibri"/>
          <w:b/>
          <w:bCs/>
          <w:color w:val="3A2E28"/>
          <w:sz w:val="24"/>
          <w:szCs w:val="24"/>
        </w:rPr>
        <w:t xml:space="preserve">25.2 The Special Flight Operations Certificate</w:t>
      </w:r>
    </w:p>
    <w:p>
      <w:pPr>
        <w:spacing w:after="120" w:before="60" w:line="276"/>
        <w:jc w:val="left"/>
      </w:pPr>
      <w:r>
        <w:rPr>
          <w:rFonts w:ascii="Calibri" w:cs="Calibri" w:eastAsia="Calibri" w:hAnsi="Calibri"/>
          <w:b w:val="false"/>
          <w:bCs w:val="false"/>
          <w:i w:val="false"/>
          <w:iCs w:val="false"/>
          <w:color w:val="3A2E28"/>
          <w:sz w:val="20"/>
          <w:szCs w:val="20"/>
        </w:rPr>
        <w:t xml:space="preserve">The Special Flight Operations Certificate is the operating instrument and it is the critical path. Transport Canada publishes a 60 business day service standard for medium and high complexity applications, and the clock starts when a complete application arrives with all documents and fees, not when the applicant first makes contact. An incomplete application does not start the clock and Transport Canada rejects high complexity applications that arrive fewer than 60 business days before the intended operation.</w:t>
      </w:r>
    </w:p>
    <w:p>
      <w:pPr>
        <w:spacing w:after="120" w:before="60" w:line="276"/>
        <w:jc w:val="left"/>
      </w:pPr>
      <w:r>
        <w:rPr>
          <w:rFonts w:ascii="Calibri" w:cs="Calibri" w:eastAsia="Calibri" w:hAnsi="Calibri"/>
          <w:b w:val="false"/>
          <w:bCs w:val="false"/>
          <w:i w:val="false"/>
          <w:iCs w:val="false"/>
          <w:color w:val="3A2E28"/>
          <w:sz w:val="20"/>
          <w:szCs w:val="20"/>
        </w:rPr>
        <w:t xml:space="preserve">The application rests on two central documents. The Concept of Operations states the purpose, scope, geography, crew structure, and procedures of the operation in enough detail that an inspector can picture it. The Specific Operational Risk Assessment applies a structured methodology to identify hazards, assign risk classes, and demonstrate that mitigations reduce each to an acceptable level. For an aircraft of this mass carrying this payload, the Specific Operational Risk Assessment is the document on which the application succeeds or fails, and it is the document that consumes the most programme effort.</w:t>
      </w:r>
    </w:p>
    <w:p>
      <w:pPr>
        <w:spacing w:after="120" w:before="60" w:line="276"/>
        <w:jc w:val="left"/>
      </w:pPr>
      <w:r>
        <w:rPr>
          <w:rFonts w:ascii="Calibri" w:cs="Calibri" w:eastAsia="Calibri" w:hAnsi="Calibri"/>
          <w:b w:val="false"/>
          <w:bCs w:val="false"/>
          <w:i w:val="false"/>
          <w:iCs w:val="false"/>
          <w:color w:val="3A2E28"/>
          <w:sz w:val="20"/>
          <w:szCs w:val="20"/>
        </w:rPr>
        <w:t xml:space="preserve">Fees became payable on 4 November 2025 for Special Flight Operations Certificate applications, with an exemption for government organisations involved in emergency response. This exemption has direct strategic consequence. An application submitted by a provincial wildfire agency, or by an operator working under that agency's authority for emergency response, sits in a different fee category and a different credibility category from an application submitted by a private developer. Section 25.6 makes the case that agency sponsorship is the single most valuable thing the programme can acquire.</w:t>
      </w:r>
    </w:p>
    <w:p>
      <w:pPr>
        <w:pStyle w:val="Heading2"/>
        <w:spacing w:after="110" w:before="240"/>
      </w:pPr>
      <w:r>
        <w:rPr>
          <w:rFonts w:ascii="Calibri" w:cs="Calibri" w:eastAsia="Calibri" w:hAnsi="Calibri"/>
          <w:b/>
          <w:bCs/>
          <w:color w:val="3A2E28"/>
          <w:sz w:val="24"/>
          <w:szCs w:val="24"/>
        </w:rPr>
        <w:t xml:space="preserve">25.3 Airworthiness of the Aircraft Itself</w:t>
      </w:r>
    </w:p>
    <w:p>
      <w:pPr>
        <w:spacing w:after="120" w:before="60" w:line="276"/>
        <w:jc w:val="left"/>
      </w:pPr>
      <w:r>
        <w:rPr>
          <w:rFonts w:ascii="Calibri" w:cs="Calibri" w:eastAsia="Calibri" w:hAnsi="Calibri"/>
          <w:b w:val="false"/>
          <w:bCs w:val="false"/>
          <w:i w:val="false"/>
          <w:iCs w:val="false"/>
          <w:color w:val="3A2E28"/>
          <w:sz w:val="20"/>
          <w:szCs w:val="20"/>
        </w:rPr>
        <w:t xml:space="preserve">An operating certificate authorises an operation. It does not establish that the aircraft is airworthy, and for an aircraft of this mass Transport Canada requires both. No type certification basis exists for a 1,000 kg remotely piloted multirotor, because no design standard has been written for the category. The realistic route is a Special Certificate of Airworthiness in the limited or restricted classification, issued against a certification basis negotiated with Transport Canada rather than selected from a shelf.</w:t>
      </w:r>
    </w:p>
    <w:p>
      <w:pPr>
        <w:spacing w:after="120" w:before="60" w:line="276"/>
        <w:jc w:val="left"/>
      </w:pPr>
      <w:r>
        <w:rPr>
          <w:rFonts w:ascii="Calibri" w:cs="Calibri" w:eastAsia="Calibri" w:hAnsi="Calibri"/>
          <w:b w:val="false"/>
          <w:bCs w:val="false"/>
          <w:i w:val="false"/>
          <w:iCs w:val="false"/>
          <w:color w:val="3A2E28"/>
          <w:sz w:val="20"/>
          <w:szCs w:val="20"/>
        </w:rPr>
        <w:t xml:space="preserve">The negotiated basis draws its structural, powerplant, and systems requirements from the normal category rotorcraft standards, its software and complex hardware requirements from the recognised development assurance standards at the level the failure analysis supports, and its command and control link requirements from the emerging remotely piloted standards. The programme prepares a proposed certification basis as a document in its own right and tables it early, because the negotiation over what the aircraft must comply with takes longer than the compliance demonstration itself.</w:t>
      </w:r>
    </w:p>
    <w:p>
      <w:pPr>
        <w:spacing w:after="120" w:before="60" w:line="276"/>
        <w:jc w:val="left"/>
      </w:pPr>
      <w:r>
        <w:rPr>
          <w:rFonts w:ascii="Calibri" w:cs="Calibri" w:eastAsia="Calibri" w:hAnsi="Calibri"/>
          <w:b w:val="false"/>
          <w:bCs w:val="false"/>
          <w:i w:val="false"/>
          <w:iCs w:val="false"/>
          <w:color w:val="3A2E28"/>
          <w:sz w:val="20"/>
          <w:szCs w:val="20"/>
        </w:rPr>
        <w:t xml:space="preserve">The evidence this document already produces feeds that negotiation directly. The failure modes and effects summary of Section 11.3, the derived laser hazard distances of Section 11 rather than asserted ones, the structural margins of Section 3, the mass-integrated endurance analysis of Section 2, and the five-phase test programme of Section 17 are each the kind of artefact a certification basis discussion requires. The audit trail matters as much as the numbers, and the fifteen corrections of Section 20 together with the four of Section 26 demonstrate a design process that finds and publishes its own errors.</w:t>
      </w:r>
    </w:p>
    <w:p>
      <w:pPr>
        <w:pStyle w:val="Heading2"/>
        <w:spacing w:after="110" w:before="240"/>
      </w:pPr>
      <w:r>
        <w:rPr>
          <w:rFonts w:ascii="Calibri" w:cs="Calibri" w:eastAsia="Calibri" w:hAnsi="Calibri"/>
          <w:b/>
          <w:bCs/>
          <w:color w:val="3A2E28"/>
          <w:sz w:val="24"/>
          <w:szCs w:val="24"/>
        </w:rPr>
        <w:t xml:space="preserve">25.4 The Laser</w:t>
      </w:r>
    </w:p>
    <w:p>
      <w:pPr>
        <w:spacing w:after="120" w:before="60" w:line="276"/>
        <w:jc w:val="left"/>
      </w:pPr>
      <w:r>
        <w:rPr>
          <w:rFonts w:ascii="Calibri" w:cs="Calibri" w:eastAsia="Calibri" w:hAnsi="Calibri"/>
          <w:b w:val="false"/>
          <w:bCs w:val="false"/>
          <w:i w:val="false"/>
          <w:iCs w:val="false"/>
          <w:color w:val="3A2E28"/>
          <w:sz w:val="20"/>
          <w:szCs w:val="20"/>
        </w:rPr>
        <w:t xml:space="preserve">Laser regulation divides into product and use, and the two answer to different authorities. The Radiation Emitting Devices Regulations, amended for laser products with effect from 9 October 2025, govern the sale, lease, advertisement, and importation of laser products in Canada and adopt the IEC 60825-1 classification scheme. The sources are Class 4 by any measure. Health Canada operates by post-market surveillance rather than pre-market certification, so the obligation on the programme is to hold and be able to produce classification, labelling, and construction evidence for the sources as imported, and to ensure the integrated system carries labelling consistent with its own classification.</w:t>
      </w:r>
    </w:p>
    <w:p>
      <w:pPr>
        <w:spacing w:after="120" w:before="60" w:line="276"/>
        <w:jc w:val="left"/>
      </w:pPr>
      <w:r>
        <w:rPr>
          <w:rFonts w:ascii="Calibri" w:cs="Calibri" w:eastAsia="Calibri" w:hAnsi="Calibri"/>
          <w:b w:val="false"/>
          <w:bCs w:val="false"/>
          <w:i w:val="false"/>
          <w:iCs w:val="false"/>
          <w:color w:val="3A2E28"/>
          <w:sz w:val="20"/>
          <w:szCs w:val="20"/>
        </w:rPr>
        <w:t xml:space="preserve">Use of a Class 4 laser in a workplace falls to provincial occupational health and safety law rather than to Health Canada. The requirements are a designated laser safety officer, a written laser safety programme, controlled areas with defined boundaries, training records for every person inside those boundaries, and documented hazard analysis. The nominal ocular hazard distance of 68 m and the diffuse reflection radii that Section 11 derives are the technical inputs to that programme, and deriving them rather than asserting them is what allows the 150 m operational exclusion radius to be defended to a regulator.</w:t>
      </w:r>
    </w:p>
    <w:p>
      <w:pPr>
        <w:spacing w:after="120" w:before="60" w:line="276"/>
        <w:jc w:val="left"/>
      </w:pPr>
      <w:r>
        <w:rPr>
          <w:rFonts w:ascii="Calibri" w:cs="Calibri" w:eastAsia="Calibri" w:hAnsi="Calibri"/>
          <w:b w:val="false"/>
          <w:bCs w:val="false"/>
          <w:i w:val="false"/>
          <w:iCs w:val="false"/>
          <w:color w:val="3A2E28"/>
          <w:sz w:val="20"/>
          <w:szCs w:val="20"/>
        </w:rPr>
        <w:t xml:space="preserve">The third laser consideration is aviation-specific and it is the one most likely to be raised in an application review. Directing a beam toward an aircraft is a federal offence under the Aeronautics Act. The E6 directs its beam downward, and the turret tilt hard stop at 20 degrees off nadir is the engineering guarantee that it cannot do otherwise. The application therefore presents the tilt stop as a certification-relevant design feature with a hardwired interlock chain behind it, rather than as an operational procedure that a crew follows.</w:t>
      </w:r>
    </w:p>
    <w:p>
      <w:pPr>
        <w:pStyle w:val="Heading2"/>
        <w:spacing w:after="110" w:before="240"/>
      </w:pPr>
      <w:r>
        <w:rPr>
          <w:rFonts w:ascii="Calibri" w:cs="Calibri" w:eastAsia="Calibri" w:hAnsi="Calibri"/>
          <w:b/>
          <w:bCs/>
          <w:color w:val="3A2E28"/>
          <w:sz w:val="24"/>
          <w:szCs w:val="24"/>
        </w:rPr>
        <w:t xml:space="preserve">25.5 Sequence, Timeline, and Cost</w:t>
      </w:r>
    </w:p>
    <w:p>
      <w:pPr>
        <w:spacing w:after="120" w:before="60" w:line="276"/>
        <w:jc w:val="left"/>
      </w:pPr>
      <w:r>
        <w:rPr>
          <w:rFonts w:ascii="Calibri" w:cs="Calibri" w:eastAsia="Calibri" w:hAnsi="Calibri"/>
          <w:b w:val="false"/>
          <w:bCs w:val="false"/>
          <w:i w:val="false"/>
          <w:iCs w:val="false"/>
          <w:color w:val="3A2E28"/>
          <w:sz w:val="20"/>
          <w:szCs w:val="20"/>
        </w:rPr>
        <w:t xml:space="preserve">The instruments do not issue in parallel, because several depend on evidence that earlier phases produce. The sequence below reflects those dependencies and assumes the five-phase test programme of Section 17 runs on schedule.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1000"/>
        <w:gridCol w:w="2900"/>
        <w:gridCol w:w="1500"/>
        <w:gridCol w:w="1500"/>
        <w:gridCol w:w="3180"/>
      </w:tblGrid>
      <w:tr>
        <w:trPr>
          <w:tblHeader/>
        </w:trPr>
        <w:tc>
          <w:tcPr>
            <w:tcW w:type="dxa" w:w="1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Activity</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Months</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CAD</w:t>
            </w:r>
          </w:p>
        </w:tc>
        <w:tc>
          <w:tcPr>
            <w:tcW w:type="dxa" w:w="3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Dependency</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R-1</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Pre-application engagement with Transport Canada; table proposed certification basis</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 to 4</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None. Begins immediately</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R-2</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RPAS Operator Certificate application; safety management system, operations manual, maintenance control</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 to 9</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Runs parallel to R-1</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R-3</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Provincial laser safety programme; laser safety officer appointment and training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 to 8</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11 hazard analysis complete</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R-4</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ISED spectrum authorisation for command, control, and video</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 to 9</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Link design frozen at end of Phase 2</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R-5</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Certification basis negotiation and compliance plan agreement</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 to 14</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R-1 tabled; Phase 1 and 2 data in hand</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R-6</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Concept of Operations and Specific Operational Risk Assessment for tethered fixed-site operations</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to 15</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85,000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3 and 4 data; narrower scope than free flight</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R-7</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SFOC application, tethered fixed-site, 60 business day standard</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to 19</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R-2, R-3, R-6 complete</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R-8</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Special Certificate of Airworthiness, limited classification</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 to 24</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R-5 agreed; Phase 5 qualification complete</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R-9</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Concept of Operations and Specific Operational Risk Assessment for free flight</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 to 26</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Tethered operational experience as evidence</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R-10</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SFOC application, free flight over managed forest</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 to 30</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35,000</w:t>
            </w:r>
          </w:p>
        </w:tc>
        <w:tc>
          <w:tcPr>
            <w:tcW w:type="dxa" w:w="3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R-8 issued; R-9 complete</w:t>
            </w:r>
          </w:p>
        </w:tc>
      </w:tr>
      <w:tr>
        <w:trPr>
          <w:tblHeader w:val="false"/>
        </w:trPr>
        <w:tc>
          <w:tcPr>
            <w:tcW w:type="dxa" w:w="1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w:t>
            </w:r>
          </w:p>
        </w:tc>
        <w:tc>
          <w:tcPr>
            <w:tcW w:type="dxa" w:w="2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Ten stages across six authorities</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30</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845,000</w:t>
            </w:r>
          </w:p>
        </w:tc>
        <w:tc>
          <w:tcPr>
            <w:tcW w:type="dxa" w:w="3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bl>
    <w:p>
      <w:pPr>
        <w:spacing w:after="200" w:before="60"/>
      </w:pPr>
      <w:r>
        <w:rPr>
          <w:rFonts w:ascii="Calibri" w:cs="Calibri" w:eastAsia="Calibri" w:hAnsi="Calibri"/>
          <w:i/>
          <w:iCs/>
          <w:color w:val="6B5A4E"/>
          <w:sz w:val="17"/>
          <w:szCs w:val="17"/>
        </w:rPr>
        <w:t xml:space="preserve">Table 32: Regulatory sequence with dependencies, durations, and costs. Total regulatory cost of 845,000 CAD exceeds the capital cost of the aircraft, which is the honest shape of a first-of-type approval and is stated here rather than discovered later.</w:t>
      </w:r>
    </w:p>
    <w:p>
      <w:pPr>
        <w:spacing w:after="120" w:before="60" w:line="276"/>
        <w:jc w:val="left"/>
      </w:pPr>
      <w:r>
        <w:rPr>
          <w:rFonts w:ascii="Calibri" w:cs="Calibri" w:eastAsia="Calibri" w:hAnsi="Calibri"/>
          <w:b w:val="false"/>
          <w:bCs w:val="false"/>
          <w:i w:val="false"/>
          <w:iCs w:val="false"/>
          <w:color w:val="3A2E28"/>
          <w:sz w:val="20"/>
          <w:szCs w:val="20"/>
        </w:rPr>
        <w:t xml:space="preserve">Thirty months to free-flight operation is longer than the 18 to 24 month estimate Section 19 carries, and the difference is the airworthiness stage. Version 1.5 rated the regulatory risk High on the basis of mass alone. This section adds the finding that regulatory cost is comparable to airframe cost, which is a programme-planning fact of the same order of importance.</w:t>
      </w:r>
    </w:p>
    <w:p>
      <w:pPr>
        <w:pStyle w:val="Heading2"/>
        <w:spacing w:after="110" w:before="240"/>
      </w:pPr>
      <w:r>
        <w:rPr>
          <w:rFonts w:ascii="Calibri" w:cs="Calibri" w:eastAsia="Calibri" w:hAnsi="Calibri"/>
          <w:b/>
          <w:bCs/>
          <w:color w:val="3A2E28"/>
          <w:sz w:val="24"/>
          <w:szCs w:val="24"/>
        </w:rPr>
        <w:t xml:space="preserve">25.6 The Phased Strategy</w:t>
      </w:r>
    </w:p>
    <w:p>
      <w:pPr>
        <w:spacing w:after="120" w:before="60" w:line="276"/>
        <w:jc w:val="left"/>
      </w:pPr>
      <w:r>
        <w:rPr>
          <w:rFonts w:ascii="Calibri" w:cs="Calibri" w:eastAsia="Calibri" w:hAnsi="Calibri"/>
          <w:b w:val="false"/>
          <w:bCs w:val="false"/>
          <w:i w:val="false"/>
          <w:iCs w:val="false"/>
          <w:color w:val="3A2E28"/>
          <w:sz w:val="20"/>
          <w:szCs w:val="20"/>
        </w:rPr>
        <w:t xml:space="preserve">The sequence above is built around one decision: seek approval for tethered fixed-site operation first and free flight second. Four reasons support it, and together they are the difference between a plausible programme and an implausible one.</w:t>
      </w:r>
    </w:p>
    <w:p>
      <w:pPr>
        <w:pStyle w:val="ListParagraph"/>
        <w:numPr>
          <w:ilvl w:val="0"/>
          <w:numId w:val="2"/>
        </w:numPr>
        <w:spacing w:after="70" w:before="40" w:line="264"/>
      </w:pPr>
      <w:r>
        <w:rPr>
          <w:rFonts w:ascii="Calibri" w:cs="Calibri" w:eastAsia="Calibri" w:hAnsi="Calibri"/>
          <w:color w:val="3A2E28"/>
          <w:sz w:val="20"/>
          <w:szCs w:val="20"/>
        </w:rPr>
        <w:t xml:space="preserve">A tethered aircraft at a fixed site presents a bounded hazard. The ground track is fixed, the tether constrains departure, the exclusion zone is surveyed and static, and the Specific Operational Risk Assessment addresses a geometry rather than a territory. This is a materially easier document to write and a materially easier one to approve.</w:t>
      </w:r>
    </w:p>
    <w:p>
      <w:pPr>
        <w:pStyle w:val="ListParagraph"/>
        <w:numPr>
          <w:ilvl w:val="0"/>
          <w:numId w:val="2"/>
        </w:numPr>
        <w:spacing w:after="70" w:before="40" w:line="264"/>
      </w:pPr>
      <w:r>
        <w:rPr>
          <w:rFonts w:ascii="Calibri" w:cs="Calibri" w:eastAsia="Calibri" w:hAnsi="Calibri"/>
          <w:color w:val="3A2E28"/>
          <w:sz w:val="20"/>
          <w:szCs w:val="20"/>
        </w:rPr>
        <w:t xml:space="preserve">Tethered operation carries no fuel. The hazardous payload objection, which is one of the three independent reasons Part IX does not apply, disappears from the tethered case entirely.</w:t>
      </w:r>
    </w:p>
    <w:p>
      <w:pPr>
        <w:pStyle w:val="ListParagraph"/>
        <w:numPr>
          <w:ilvl w:val="0"/>
          <w:numId w:val="2"/>
        </w:numPr>
        <w:spacing w:after="70" w:before="40" w:line="264"/>
      </w:pPr>
      <w:r>
        <w:rPr>
          <w:rFonts w:ascii="Calibri" w:cs="Calibri" w:eastAsia="Calibri" w:hAnsi="Calibri"/>
          <w:color w:val="3A2E28"/>
          <w:sz w:val="20"/>
          <w:szCs w:val="20"/>
        </w:rPr>
        <w:t xml:space="preserve">Section 24 finds tethered operation is the strongest cost case in the entire analysis at 53,111 CAD per hectare. The regulatory strategy and the economic strategy therefore point at the same first product, which is a rare and valuable alignment.</w:t>
      </w:r>
    </w:p>
    <w:p>
      <w:pPr>
        <w:pStyle w:val="ListParagraph"/>
        <w:numPr>
          <w:ilvl w:val="0"/>
          <w:numId w:val="2"/>
        </w:numPr>
        <w:spacing w:after="70" w:before="40" w:line="264"/>
      </w:pPr>
      <w:r>
        <w:rPr>
          <w:rFonts w:ascii="Calibri" w:cs="Calibri" w:eastAsia="Calibri" w:hAnsi="Calibri"/>
          <w:color w:val="3A2E28"/>
          <w:sz w:val="20"/>
          <w:szCs w:val="20"/>
        </w:rPr>
        <w:t xml:space="preserve">Tethered operating hours become evidence. A free-flight application supported by several hundred hours of incident-free tethered operation on the same airframe, powertrain, and treatment system is a fundamentally different application from one supported by analysis alone.</w:t>
      </w:r>
    </w:p>
    <w:p>
      <w:pPr>
        <w:spacing w:after="120" w:before="60" w:line="276"/>
        <w:jc w:val="left"/>
      </w:pPr>
      <w:r>
        <w:rPr>
          <w:rFonts w:ascii="Calibri" w:cs="Calibri" w:eastAsia="Calibri" w:hAnsi="Calibri"/>
          <w:b w:val="false"/>
          <w:bCs w:val="false"/>
          <w:i w:val="false"/>
          <w:iCs w:val="false"/>
          <w:color w:val="3A2E28"/>
          <w:sz w:val="20"/>
          <w:szCs w:val="20"/>
        </w:rPr>
        <w:t xml:space="preserve">The second strategic element is agency sponsorship. A provincial wildfire agency that co-sponsors the application changes the fee category, changes the public-good demonstration that a Special Flight Operations Certificate application requires, provides the operational geography, and provides the incident command integration that Table 31 identifies as an agreement rather than a certificate. Section 19 rates the regulatory item High and no engineering action retires it. Agency sponsorship is the action that reduces it, and the programme pursues it as a technical activity with named deliverables rather than as business development.</w:t>
      </w:r>
    </w:p>
    <w:p>
      <w:pPr>
        <w:spacing w:after="120" w:before="60" w:line="276"/>
        <w:jc w:val="left"/>
      </w:pPr>
      <w:r>
        <w:rPr>
          <w:rFonts w:ascii="Calibri" w:cs="Calibri" w:eastAsia="Calibri" w:hAnsi="Calibri"/>
          <w:b w:val="false"/>
          <w:bCs w:val="false"/>
          <w:i w:val="false"/>
          <w:iCs w:val="false"/>
          <w:color w:val="3A2E28"/>
          <w:sz w:val="20"/>
          <w:szCs w:val="20"/>
        </w:rPr>
        <w:t xml:space="preserve">The third element is that the programme publishes its corrections. An applicant who arrives with a document that records nineteen errors found in its own prior editions, each with its magnitude and its consequence, presents a different risk profile to a regulator than an applicant who arrives with a document that has never been wrong. Section 20 and Section 26 are regulatory assets and the application strategy uses them as such.</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26. v1.6 Change Register: Four Further Corrections and Eight Additions</w:t>
      </w:r>
    </w:p>
    <w:p>
      <w:pPr>
        <w:spacing w:after="120" w:before="60" w:line="276"/>
        <w:jc w:val="left"/>
      </w:pPr>
      <w:r>
        <w:rPr>
          <w:rFonts w:ascii="Calibri" w:cs="Calibri" w:eastAsia="Calibri" w:hAnsi="Calibri"/>
          <w:b w:val="false"/>
          <w:bCs w:val="false"/>
          <w:i w:val="false"/>
          <w:iCs w:val="false"/>
          <w:color w:val="3A2E28"/>
          <w:sz w:val="20"/>
          <w:szCs w:val="20"/>
        </w:rPr>
        <w:t xml:space="preserve">Version 1.6 retains every section of v1.5 unchanged except where this register states otherwise. It adds Sections 21 through 26 and Appendices E and F, and it records four further corrections against v1.5 in the same form Section 20 uses. Correction C-16 is the most consequential finding in either register, because it identifies a condition under which the treatment process does not run at all.</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2100"/>
        <w:gridCol w:w="3100"/>
        <w:gridCol w:w="41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t>
            </w:r>
          </w:p>
        </w:tc>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Item</w:t>
            </w:r>
          </w:p>
        </w:tc>
        <w:tc>
          <w:tcPr>
            <w:tcW w:type="dxa" w:w="3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Error in v1.5</w:t>
            </w:r>
          </w:p>
        </w:tc>
        <w:tc>
          <w:tcPr>
            <w:tcW w:type="dxa" w:w="4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Correction in v1.6</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C-16</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Pyrolysis threshold never checked</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 of 0.43 was derived by dividing process demand by delivered dose, without asking whether 6.43 kW/m2 holds the bed at pyrolysis temperature. It does not. Equilibrium is 237 C in still air and 125 C under the aircraft downwash, against a 300 C onset and a 350 C working temperature. The v1.5 flood head dries and scorches fuel rather than carbonising it.</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22.2 states the surface energy balance for both flow conditions. Section 22.3 replaces the flood heads with scanning heads at 113.2 kW/m2 instantaneous, which is 3.9 times the flux required to hold 400 C under downwash. Figure 6 states the derivation.</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C-17</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cycle presented as a source property</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0.45 duty cycle was carried as though it were a characteristic of the treatment system. It is a heat rejection limit set by the ram-air core, and the sources are rated for continuous operation while the powerplant carries 40 kW of unused continuous rating.</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22.5 identifies the constraint correctly and raises duty to 0.619 with an enlarged core costing 3,200 CAD. The new binding constraint is endurance, which Section 22.6 states as a trade rather than a fixed point.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C-18</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count treated as a free payload choice</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Adding sources was implicitly treated as a payload decision. On a fixed maximum takeoff weight with a six-hour requirement, source mass and its cooling mass both displace fuel, so installed optical power is a fuel decision and more is not always better.</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22.6 states the trade. Three 2 kW sources hold six hours only at a duty that yields less average optical power than two. Four cannot hold it at all. The optimum sits between two and three modules of that class.</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C-19</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per hectare never compared to practice</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18 stated cost per corridor metre but never converted to cost per hectare or compared it with what fire agencies pay for fuel-break construction today. The comparison is unfavourable by an order of magnitude in free flight, and publishing throughput without it overstates the economic case.</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24.5 states the comparison against four alternatives on a logarithmic axis. Free-flight broadcast treatment is not presented as economically competitive. Three defensible uses survive the analysis and Section 24.5 names them.</w:t>
            </w:r>
          </w:p>
        </w:tc>
      </w:tr>
    </w:tbl>
    <w:p>
      <w:pPr>
        <w:spacing w:after="200" w:before="60"/>
      </w:pPr>
      <w:r>
        <w:rPr>
          <w:rFonts w:ascii="Calibri" w:cs="Calibri" w:eastAsia="Calibri" w:hAnsi="Calibri"/>
          <w:i/>
          <w:iCs/>
          <w:color w:val="6B5A4E"/>
          <w:sz w:val="17"/>
          <w:szCs w:val="17"/>
        </w:rPr>
        <w:t xml:space="preserve">Table 33: The four corrections of record introduced in v1.6. C-16 is the most consequential finding in either change register.</w:t>
      </w:r>
    </w:p>
    <w:p>
      <w:pPr>
        <w:spacing w:after="120" w:before="60" w:line="276"/>
        <w:jc w:val="left"/>
      </w:pPr>
      <w:r>
        <w:rPr>
          <w:rFonts w:ascii="Calibri" w:cs="Calibri" w:eastAsia="Calibri" w:hAnsi="Calibri"/>
          <w:b w:val="false"/>
          <w:bCs w:val="false"/>
          <w:i w:val="false"/>
          <w:iCs w:val="false"/>
          <w:color w:val="3A2E28"/>
          <w:sz w:val="20"/>
          <w:szCs w:val="20"/>
        </w:rPr>
        <w:t xml:space="preserve">Eight additions accompany the corrections. Each is stated below with the section that carries it and the consequence it produces.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2600"/>
        <w:gridCol w:w="3200"/>
        <w:gridCol w:w="35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t>
            </w:r>
          </w:p>
        </w:tc>
        <w:tc>
          <w:tcPr>
            <w:tcW w:type="dxa" w:w="2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Addition</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Section</w:t>
            </w:r>
          </w:p>
        </w:tc>
        <w:tc>
          <w:tcPr>
            <w:tcW w:type="dxa" w:w="3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D-9</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Wide-line galvanometer scanning heads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22.3</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Swath 1.40 m to 2.80 m; instantaneous irradiance 6.43 to 113.2 kW/m2; the process reaches pyrolysis</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D-10</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Medium-risk closure register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Eight Medium risks close to Low on named measurements at named stages</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D-11</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Fail-safe scan-mirror beam park</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21.5</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Fourth independent abort path, 40 ms, mechanical and independent of the shutter chain</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D-12</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Downwash-managed treatment sequence</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21.4</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advances upwind so lofted particulate travels over treated ground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D-13</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Deck-bonded 1.10 m2 parked-state solar array</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23.2</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Removes engine starts for battery maintenance on multi-day deployment; 2,400 CAD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D-14</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Forward operating base solar option, 15 kW</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23.3</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Displaces 878 L of remotely delivered diesel per season; specified as a deployment option</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D-15</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Two-configuration treatment architecture</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22.6</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Configuration A adopted at 12.59 m2/h; Configuration B carried as Block 2 at 15.05 m2/h</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D-16</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Ten-stage regulatory sequence with costs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25.5</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Regulatory cost of 845,000 CAD and a 30-month timeline stated rather than estimated</w:t>
            </w:r>
          </w:p>
        </w:tc>
      </w:tr>
    </w:tbl>
    <w:p>
      <w:pPr>
        <w:spacing w:after="200" w:before="60"/>
      </w:pPr>
      <w:r>
        <w:rPr>
          <w:rFonts w:ascii="Calibri" w:cs="Calibri" w:eastAsia="Calibri" w:hAnsi="Calibri"/>
          <w:i/>
          <w:iCs/>
          <w:color w:val="6B5A4E"/>
          <w:sz w:val="17"/>
          <w:szCs w:val="17"/>
        </w:rPr>
        <w:t xml:space="preserve">Table 34: The eight additions introduced in v1.6.</w:t>
      </w:r>
    </w:p>
    <w:p>
      <w:pPr>
        <w:spacing w:after="120" w:before="60" w:line="276"/>
        <w:jc w:val="left"/>
      </w:pPr>
      <w:r>
        <w:rPr>
          <w:rFonts w:ascii="Calibri" w:cs="Calibri" w:eastAsia="Calibri" w:hAnsi="Calibri"/>
          <w:b w:val="false"/>
          <w:bCs w:val="false"/>
          <w:i w:val="false"/>
          <w:iCs w:val="false"/>
          <w:color w:val="3A2E28"/>
          <w:sz w:val="20"/>
          <w:szCs w:val="20"/>
        </w:rPr>
        <w:t xml:space="preserve">Two items are recorded as open rather than resolved. The first is whether a discontinuous treatment pattern that carbonises a fraction of the ground breaks fuel continuity as effectively as full coverage, which Section 24.6 identifies as the single most valuable open question in the analysis and which belongs to the fire behaviour programme rather than to this document. The second is whether a larger airframe carrying a 12 kW source class closes the remaining economic gap, which Section 24.6 states as a successor-design question and does not answer here.</w:t>
      </w:r>
    </w:p>
    <w:p>
      <w:pPr>
        <w:spacing w:after="120" w:before="60" w:line="276"/>
        <w:jc w:val="left"/>
      </w:pPr>
      <w:r>
        <w:rPr>
          <w:rFonts w:ascii="Calibri" w:cs="Calibri" w:eastAsia="Calibri" w:hAnsi="Calibri"/>
          <w:b w:val="false"/>
          <w:bCs w:val="false"/>
          <w:i w:val="false"/>
          <w:iCs w:val="false"/>
          <w:color w:val="3A2E28"/>
          <w:sz w:val="20"/>
          <w:szCs w:val="20"/>
        </w:rPr>
        <w:t xml:space="preserve">Version control. This edition supersedes Contra Favillas Aerial v1.5 in full and v1.1 in full. Sections 1 through 20 stand as published in v1.5 except where corrections C-16 through C-19 apply, and every figure in those sections that depends on the v1.5 treatment architecture is superseded by Table 27. The nineteen corrections of record across both registers apply to any downstream document, briefing, or funding submission that cites earlier throughput, cost, or performance figures.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A: Pricing and Sourcing Notes</w:t>
      </w:r>
    </w:p>
    <w:p>
      <w:pPr>
        <w:pStyle w:val="ListParagraph"/>
        <w:numPr>
          <w:ilvl w:val="0"/>
          <w:numId w:val="2"/>
        </w:numPr>
        <w:spacing w:after="70" w:before="40" w:line="264"/>
      </w:pPr>
      <w:r>
        <w:rPr>
          <w:rFonts w:ascii="Calibri" w:cs="Calibri" w:eastAsia="Calibri" w:hAnsi="Calibri"/>
          <w:color w:val="3A2E28"/>
          <w:sz w:val="20"/>
          <w:szCs w:val="20"/>
        </w:rPr>
        <w:t xml:space="preserve">Rotax pricing derives from the 2026 Rotech Motor Ltd. (Vernon, BC) Canadian list. The 915 iS3A prices at 66,076 CAD and the 914 UL at 51,247 CAD on that list; the 916 iS is carried at 71,500 CAD as a budgetary 2026 list-class figure pending quotation, with the installation kit priced separately.</w:t>
      </w:r>
    </w:p>
    <w:p>
      <w:pPr>
        <w:pStyle w:val="ListParagraph"/>
        <w:numPr>
          <w:ilvl w:val="0"/>
          <w:numId w:val="2"/>
        </w:numPr>
        <w:spacing w:after="70" w:before="40" w:line="264"/>
      </w:pPr>
      <w:r>
        <w:rPr>
          <w:rFonts w:ascii="Calibri" w:cs="Calibri" w:eastAsia="Calibri" w:hAnsi="Calibri"/>
          <w:color w:val="3A2E28"/>
          <w:sz w:val="20"/>
          <w:szCs w:val="20"/>
        </w:rPr>
        <w:t xml:space="preserve">United States dollar sources convert at 1.40 CAD/USD.</w:t>
      </w:r>
    </w:p>
    <w:p>
      <w:pPr>
        <w:pStyle w:val="ListParagraph"/>
        <w:numPr>
          <w:ilvl w:val="0"/>
          <w:numId w:val="2"/>
        </w:numPr>
        <w:spacing w:after="70" w:before="40" w:line="264"/>
      </w:pPr>
      <w:r>
        <w:rPr>
          <w:rFonts w:ascii="Calibri" w:cs="Calibri" w:eastAsia="Calibri" w:hAnsi="Calibri"/>
          <w:color w:val="3A2E28"/>
          <w:sz w:val="20"/>
          <w:szCs w:val="20"/>
        </w:rPr>
        <w:t xml:space="preserve">Budgetary classes carry vendor-class estimates rather than quotations: axial-flux generators and belt drives, the 800 V bus panel, direct-drive lift motors and their controllers, 104-inch composite blades, the carbon frame, the treatment turret, the ballistic parachute, the buffer battery, fuel dump and probe hardware, engine monitoring, black box, ground power cart, handling jig, software development, tether kit, and integration labour.</w:t>
      </w:r>
    </w:p>
    <w:p>
      <w:pPr>
        <w:pStyle w:val="ListParagraph"/>
        <w:numPr>
          <w:ilvl w:val="0"/>
          <w:numId w:val="2"/>
        </w:numPr>
        <w:spacing w:after="70" w:before="40" w:line="264"/>
      </w:pPr>
      <w:r>
        <w:rPr>
          <w:rFonts w:ascii="Calibri" w:cs="Calibri" w:eastAsia="Calibri" w:hAnsi="Calibri"/>
          <w:color w:val="3A2E28"/>
          <w:sz w:val="20"/>
          <w:szCs w:val="20"/>
        </w:rPr>
        <w:t xml:space="preserve">The 104-inch rotors price as composite blade fabrication rather than as multirotor propellers, because at 2.64 m diameter and 976 rpm they sit in small-helicopter blade practice. Twelve units are procured for eight installed positions to cover the qualification programme and field spares.</w:t>
      </w:r>
    </w:p>
    <w:p>
      <w:pPr>
        <w:pStyle w:val="ListParagraph"/>
        <w:numPr>
          <w:ilvl w:val="0"/>
          <w:numId w:val="2"/>
        </w:numPr>
        <w:spacing w:after="70" w:before="40" w:line="264"/>
      </w:pPr>
      <w:r>
        <w:rPr>
          <w:rFonts w:ascii="Calibri" w:cs="Calibri" w:eastAsia="Calibri" w:hAnsi="Calibri"/>
          <w:color w:val="3A2E28"/>
          <w:sz w:val="20"/>
          <w:szCs w:val="20"/>
        </w:rPr>
        <w:t xml:space="preserve">The ballistic parachute is sized to the 1,100 kg structural design gross weight rather than to the 1,000 kg maximum takeoff weight. Heavy-UAV market guidance runs 20,000 to 50,000 USD for the 300 kg and up class, and the figure carried here reflects the larger canopy.</w:t>
      </w:r>
    </w:p>
    <w:p>
      <w:pPr>
        <w:pStyle w:val="ListParagraph"/>
        <w:numPr>
          <w:ilvl w:val="0"/>
          <w:numId w:val="2"/>
        </w:numPr>
        <w:spacing w:after="70" w:before="40" w:line="264"/>
      </w:pPr>
      <w:r>
        <w:rPr>
          <w:rFonts w:ascii="Calibri" w:cs="Calibri" w:eastAsia="Calibri" w:hAnsi="Calibri"/>
          <w:color w:val="3A2E28"/>
          <w:sz w:val="20"/>
          <w:szCs w:val="20"/>
        </w:rPr>
        <w:t xml:space="preserve">Laser, sensing, compute, communications, and safety pricing carries forward from the Contra Favillas ground-variant procurement records to keep the programme on one consistent cost basis. The laser source line prices the OEM direct-current-input variant rather than the low-cost catalogue cabinet unit, which accounts for the difference against v1.1.</w:t>
      </w:r>
    </w:p>
    <w:p>
      <w:pPr>
        <w:pStyle w:val="ListParagraph"/>
        <w:numPr>
          <w:ilvl w:val="0"/>
          <w:numId w:val="2"/>
        </w:numPr>
        <w:spacing w:after="70" w:before="40" w:line="264"/>
      </w:pPr>
      <w:r>
        <w:rPr>
          <w:rFonts w:ascii="Calibri" w:cs="Calibri" w:eastAsia="Calibri" w:hAnsi="Calibri"/>
          <w:color w:val="3A2E28"/>
          <w:sz w:val="20"/>
          <w:szCs w:val="20"/>
        </w:rPr>
        <w:t xml:space="preserve">Fuel cost assumes 1.65 CAD/L for 91 AKI mogas. Crew and maintenance reserves follow standard Canadian UAV operator rates, with engine overhaul accrual at 45 CAD per engine-hour against the 2,000 hour time between overhauls.</w:t>
      </w:r>
    </w:p>
    <w:p>
      <w:pPr>
        <w:pStyle w:val="ListParagraph"/>
        <w:numPr>
          <w:ilvl w:val="0"/>
          <w:numId w:val="2"/>
        </w:numPr>
        <w:spacing w:after="70" w:before="40" w:line="264"/>
      </w:pPr>
      <w:r>
        <w:rPr>
          <w:rFonts w:ascii="Calibri" w:cs="Calibri" w:eastAsia="Calibri" w:hAnsi="Calibri"/>
          <w:color w:val="3A2E28"/>
          <w:sz w:val="20"/>
          <w:szCs w:val="20"/>
        </w:rPr>
        <w:t xml:space="preserve">The tether option is repriced against the corrected 105.7 kW tethered bus demand. A 142 kVA ground set and a 1,000 V tether at 120 m carry substantially higher cost than the 30 kW set and 800 V tether that v1.1 specified.</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B: Symbols, Constants and Standing Assumptions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1600"/>
        <w:gridCol w:w="3200"/>
        <w:gridCol w:w="2400"/>
        <w:gridCol w:w="2880"/>
      </w:tblGrid>
      <w:tr>
        <w:trPr>
          <w:tblHeader/>
        </w:trPr>
        <w:tc>
          <w:tcPr>
            <w:tcW w:type="dxa" w:w="1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Symbol</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Quantity</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 used</w:t>
            </w:r>
          </w:p>
        </w:tc>
        <w:tc>
          <w:tcPr>
            <w:tcW w:type="dxa" w:w="2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rho</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 density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1.225 kg/m3</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Sea level, ISA. Section 9.7 gives the 2,000 m density-altitude case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Gravitational acceleration</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9.81 m/s2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Total rotor disk area</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43.84 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rotors of 1.321 m radius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radius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1.321 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 inch diameter</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FM</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shaft power equals ideal power divided by FM</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eta_m</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0.935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Direct-drive PM machine at continuous rating</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eta_c</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Controller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field-oriented, SiC switching</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0.955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Axial-flux PM machine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Rectifier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Active three-phase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eta_b</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Belt drive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0.980</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1.70:1 toothed belt</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BSFC</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Brake specific fuel consumption</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0.265 kg/kWh</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Rotax 916 iS class with installation and hot-day margin</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P_hotel</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Hotel electrical load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 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Avionics, sensors, compute, pumps, purge blower, turret drives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P_laser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electrical load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7.5 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sources at 45 percent duty plus drivers and chiller</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V_bus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DC nominal</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rho_f</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density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0.72 kg/L</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91 AKI mogas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MPE</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permissible exposure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 W/m2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1080 nm, exposures of 10 s and longer, IEC 60825-1</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Phi</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dose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MJ/m2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Dense fine fuels; Phase 0 calibration governs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E_eff</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Effective irradiance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6.43 kW/m2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 kW average optical into 0.140 m2</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V_tip</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tip speed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135 m/s</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976 rpm, tip Mach 0.40</w:t>
            </w:r>
          </w:p>
        </w:tc>
      </w:tr>
    </w:tbl>
    <w:p>
      <w:pPr>
        <w:spacing w:after="200" w:before="60"/>
      </w:pPr>
      <w:r>
        <w:rPr>
          <w:rFonts w:ascii="Calibri" w:cs="Calibri" w:eastAsia="Calibri" w:hAnsi="Calibri"/>
          <w:i/>
          <w:iCs/>
          <w:color w:val="6B5A4E"/>
          <w:sz w:val="17"/>
          <w:szCs w:val="17"/>
        </w:rPr>
        <w:t xml:space="preserve">Table 25: Symbols, constants and standing assumptions. Every number in this document derives from this table or from a manufacturer datasheet cited at the point of use.</w:t>
      </w:r>
    </w:p>
    <w:p>
      <w:pPr>
        <w:spacing w:after="120" w:before="60" w:line="276"/>
        <w:jc w:val="left"/>
      </w:pPr>
      <w:r>
        <w:rPr>
          <w:rFonts w:ascii="Calibri" w:cs="Calibri" w:eastAsia="Calibri" w:hAnsi="Calibri"/>
          <w:b w:val="false"/>
          <w:bCs w:val="false"/>
          <w:i w:val="false"/>
          <w:iCs w:val="false"/>
          <w:color w:val="3A2E28"/>
          <w:sz w:val="20"/>
          <w:szCs w:val="20"/>
        </w:rPr>
        <w:t xml:space="preserve">Two standing assumptions deserve explicit statement because they bound every result. First, all hover power figures are sea-level standard-day figures; the aircraft loses performance with density altitude and the treatment scheduler, not the endurance model, absorbs the loss by reducing laser duty. Second, all figures are first-order sizing estimates pending the measurements listed in Section 17, and Table 13 identifies which of them the programme is most exposed to.</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C: Worked Calculations</w:t>
      </w:r>
    </w:p>
    <w:p>
      <w:pPr>
        <w:spacing w:after="120" w:before="60" w:line="276"/>
        <w:jc w:val="left"/>
      </w:pPr>
      <w:r>
        <w:rPr>
          <w:rFonts w:ascii="Calibri" w:cs="Calibri" w:eastAsia="Calibri" w:hAnsi="Calibri"/>
          <w:b w:val="false"/>
          <w:bCs w:val="false"/>
          <w:i w:val="false"/>
          <w:iCs w:val="false"/>
          <w:color w:val="3A2E28"/>
          <w:sz w:val="20"/>
          <w:szCs w:val="20"/>
        </w:rPr>
        <w:t xml:space="preserve">The four calculations that determine the design are reproduced here in full, so that a reviewer reproduces them without reconstructing the intent.</w:t>
      </w:r>
    </w:p>
    <w:p>
      <w:pPr>
        <w:pStyle w:val="Heading2"/>
        <w:spacing w:after="110" w:before="240"/>
      </w:pPr>
      <w:r>
        <w:rPr>
          <w:rFonts w:ascii="Calibri" w:cs="Calibri" w:eastAsia="Calibri" w:hAnsi="Calibri"/>
          <w:b/>
          <w:bCs/>
          <w:color w:val="3A2E28"/>
          <w:sz w:val="24"/>
          <w:szCs w:val="24"/>
        </w:rPr>
        <w:t xml:space="preserve">C.1 Hover Power at the Design Point</w:t>
      </w:r>
    </w:p>
    <w:p>
      <w:pPr>
        <w:spacing w:after="120" w:before="60" w:line="276"/>
        <w:jc w:val="left"/>
      </w:pPr>
      <w:r>
        <w:rPr>
          <w:rFonts w:ascii="Calibri" w:cs="Calibri" w:eastAsia="Calibri" w:hAnsi="Calibri"/>
          <w:b w:val="false"/>
          <w:bCs w:val="false"/>
          <w:i w:val="false"/>
          <w:iCs w:val="false"/>
          <w:color w:val="3A2E28"/>
          <w:sz w:val="20"/>
          <w:szCs w:val="20"/>
        </w:rPr>
        <w:t xml:space="preserve">Thrust equals weight: 1,000 kg times 9.81 m/s2 equals 9,810 N. Ideal power equals thrust to the three-halves power divided by the square root of twice air density times disk area. Thrust to the three-halves power is 971,700. Twice density times area is 107.4, whose square root is 10.36. Ideal power is 93,750 W, or 93.7 kW.</w:t>
      </w:r>
    </w:p>
    <w:p>
      <w:pPr>
        <w:spacing w:after="120" w:before="60" w:line="276"/>
        <w:jc w:val="left"/>
      </w:pPr>
      <w:r>
        <w:rPr>
          <w:rFonts w:ascii="Calibri" w:cs="Calibri" w:eastAsia="Calibri" w:hAnsi="Calibri"/>
          <w:b w:val="false"/>
          <w:bCs w:val="false"/>
          <w:i w:val="false"/>
          <w:iCs w:val="false"/>
          <w:color w:val="3A2E28"/>
          <w:sz w:val="20"/>
          <w:szCs w:val="20"/>
        </w:rPr>
        <w:t xml:space="preserve">Rotor shaft power equals ideal power divided by figure of merit: 93.7 divided by 0.75 equals 125.0 kW, which is 15.6 kW per station across eight stations.</w:t>
      </w:r>
    </w:p>
    <w:p>
      <w:pPr>
        <w:spacing w:after="120" w:before="60" w:line="276"/>
        <w:jc w:val="left"/>
      </w:pPr>
      <w:r>
        <w:rPr>
          <w:rFonts w:ascii="Calibri" w:cs="Calibri" w:eastAsia="Calibri" w:hAnsi="Calibri"/>
          <w:b w:val="false"/>
          <w:bCs w:val="false"/>
          <w:i w:val="false"/>
          <w:iCs w:val="false"/>
          <w:color w:val="3A2E28"/>
          <w:sz w:val="20"/>
          <w:szCs w:val="20"/>
        </w:rPr>
        <w:t xml:space="preserve">Bus demand for propulsion equals rotor shaft power divided by combined drivetrain efficiency: 125.0 divided by 0.911 equals 137.1 kW. Adding 3.0 kW of hotel load and 7.5 kW of treatment load gives 147.6 kW at the bus. Engine shaft power equals bus demand divided by combined generator-chain efficiency: 147.6 divided by 0.912 equals 161.8 kW, which is 80.1 percent of 202 kW installed.</w:t>
      </w:r>
    </w:p>
    <w:p>
      <w:pPr>
        <w:spacing w:after="120" w:before="60" w:line="276"/>
        <w:jc w:val="left"/>
      </w:pPr>
      <w:r>
        <w:rPr>
          <w:rFonts w:ascii="Calibri" w:cs="Calibri" w:eastAsia="Calibri" w:hAnsi="Calibri"/>
          <w:b w:val="false"/>
          <w:bCs w:val="false"/>
          <w:i w:val="false"/>
          <w:iCs w:val="false"/>
          <w:color w:val="3A2E28"/>
          <w:sz w:val="20"/>
          <w:szCs w:val="20"/>
        </w:rPr>
        <w:t xml:space="preserve">Fuel flow equals engine shaft power times brake specific fuel consumption: 161.8 times 0.265 equals 42.9 kg/h, or 59.5 L/h at 0.72 kg/L.</w:t>
      </w:r>
    </w:p>
    <w:p>
      <w:pPr>
        <w:pStyle w:val="Heading2"/>
        <w:spacing w:after="110" w:before="240"/>
      </w:pPr>
      <w:r>
        <w:rPr>
          <w:rFonts w:ascii="Calibri" w:cs="Calibri" w:eastAsia="Calibri" w:hAnsi="Calibri"/>
          <w:b/>
          <w:bCs/>
          <w:color w:val="3A2E28"/>
          <w:sz w:val="24"/>
          <w:szCs w:val="24"/>
        </w:rPr>
        <w:t xml:space="preserve">C.2 Flight Span from Tip Clearance</w:t>
      </w:r>
    </w:p>
    <w:p>
      <w:pPr>
        <w:spacing w:after="120" w:before="60" w:line="276"/>
        <w:jc w:val="left"/>
      </w:pPr>
      <w:r>
        <w:rPr>
          <w:rFonts w:ascii="Calibri" w:cs="Calibri" w:eastAsia="Calibri" w:hAnsi="Calibri"/>
          <w:b w:val="false"/>
          <w:bCs w:val="false"/>
          <w:i w:val="false"/>
          <w:iCs w:val="false"/>
          <w:color w:val="3A2E28"/>
          <w:sz w:val="20"/>
          <w:szCs w:val="20"/>
        </w:rPr>
        <w:t xml:space="preserve">For N rotors of radius R on a common circle of radius Rc at tip clearance factor c, adjacent rotor centres are separated by twice Rc times the sine of pi over N, and that separation equals twice c times R. For eight rotors at 10 percent clearance, the sine of 22.5 degrees is 0.38268, so Rc equals 2.874 R and the flight span equals twice the sum of Rc and R, which is 7.748 R.</w:t>
      </w:r>
    </w:p>
    <w:p>
      <w:pPr>
        <w:spacing w:after="120" w:before="60" w:line="276"/>
        <w:jc w:val="left"/>
      </w:pPr>
      <w:r>
        <w:rPr>
          <w:rFonts w:ascii="Calibri" w:cs="Calibri" w:eastAsia="Calibri" w:hAnsi="Calibri"/>
          <w:b w:val="false"/>
          <w:bCs w:val="false"/>
          <w:i w:val="false"/>
          <w:iCs w:val="false"/>
          <w:color w:val="3A2E28"/>
          <w:sz w:val="20"/>
          <w:szCs w:val="20"/>
        </w:rPr>
        <w:t xml:space="preserve">At R equal to 1.321 m the arm radius is 3.80 m and the flight span is 10.23 m. The same relation gives 5.90 m for a 60-inch layout and 7.09 m for the 72-inch layout of v1.1, both of which those documents publish correctly.</w:t>
      </w:r>
    </w:p>
    <w:p>
      <w:pPr>
        <w:pStyle w:val="Heading2"/>
        <w:spacing w:after="110" w:before="240"/>
      </w:pPr>
      <w:r>
        <w:rPr>
          <w:rFonts w:ascii="Calibri" w:cs="Calibri" w:eastAsia="Calibri" w:hAnsi="Calibri"/>
          <w:b/>
          <w:bCs/>
          <w:color w:val="3A2E28"/>
          <w:sz w:val="24"/>
          <w:szCs w:val="24"/>
        </w:rPr>
        <w:t xml:space="preserve">C.3 Dwell Time at Design Dose</w:t>
      </w:r>
    </w:p>
    <w:p>
      <w:pPr>
        <w:spacing w:after="120" w:before="60" w:line="276"/>
        <w:jc w:val="left"/>
      </w:pPr>
      <w:r>
        <w:rPr>
          <w:rFonts w:ascii="Calibri" w:cs="Calibri" w:eastAsia="Calibri" w:hAnsi="Calibri"/>
          <w:b w:val="false"/>
          <w:bCs w:val="false"/>
          <w:i w:val="false"/>
          <w:iCs w:val="false"/>
          <w:color w:val="3A2E28"/>
          <w:sz w:val="20"/>
          <w:szCs w:val="20"/>
        </w:rPr>
        <w:t xml:space="preserve">Average optical power per source equals rated power times pulse duty: 2,000 W times 0.45 equals 900 W. Footprint area equals 0.70 m times 0.20 m, which is 0.140 m2. Effective irradiance equals average power divided by area: 900 divided by 0.140 equals 6,429 W/m2.</w:t>
      </w:r>
    </w:p>
    <w:p>
      <w:pPr>
        <w:spacing w:after="120" w:before="60" w:line="276"/>
        <w:jc w:val="left"/>
      </w:pPr>
      <w:r>
        <w:rPr>
          <w:rFonts w:ascii="Calibri" w:cs="Calibri" w:eastAsia="Calibri" w:hAnsi="Calibri"/>
          <w:b w:val="false"/>
          <w:bCs w:val="false"/>
          <w:i w:val="false"/>
          <w:iCs w:val="false"/>
          <w:color w:val="3A2E28"/>
          <w:sz w:val="20"/>
          <w:szCs w:val="20"/>
        </w:rPr>
        <w:t xml:space="preserve">Dwell equals dose divided by irradiance: 1,000,000 J/m2 divided by 6,429 W/m2 equals 155.6 s. Cycle time equals dwell plus the 2.5 s move, which is 158.1 s per 0.2 m step, giving an advance rate of 4.56 m/h and, across a 1.40 m corridor, an area rate of 6.38 m2/h.</w:t>
      </w:r>
    </w:p>
    <w:p>
      <w:pPr>
        <w:pStyle w:val="Heading2"/>
        <w:spacing w:after="110" w:before="240"/>
      </w:pPr>
      <w:r>
        <w:rPr>
          <w:rFonts w:ascii="Calibri" w:cs="Calibri" w:eastAsia="Calibri" w:hAnsi="Calibri"/>
          <w:b/>
          <w:bCs/>
          <w:color w:val="3A2E28"/>
          <w:sz w:val="24"/>
          <w:szCs w:val="24"/>
        </w:rPr>
        <w:t xml:space="preserve">C.4 Arm Root Bending Moment</w:t>
      </w:r>
    </w:p>
    <w:p>
      <w:pPr>
        <w:spacing w:after="120" w:before="60" w:line="276"/>
        <w:jc w:val="left"/>
      </w:pPr>
      <w:r>
        <w:rPr>
          <w:rFonts w:ascii="Calibri" w:cs="Calibri" w:eastAsia="Calibri" w:hAnsi="Calibri"/>
          <w:b w:val="false"/>
          <w:bCs w:val="false"/>
          <w:i w:val="false"/>
          <w:iCs w:val="false"/>
          <w:color w:val="3A2E28"/>
          <w:sz w:val="20"/>
          <w:szCs w:val="20"/>
        </w:rPr>
        <w:t xml:space="preserve">Hover thrust per station equals maximum takeoff weight times gravity divided by eight: 1,226 N. Limit load at the upset-recovery case is twice hover thrust, 2,452 N, and ultimate load at the 1.5 factor is 3,678 N. Ultimate root bending moment equals ultimate load times arm radius: 3,678 times 3.80 equals 13,976 Nm.</w:t>
      </w:r>
    </w:p>
    <w:p>
      <w:pPr>
        <w:spacing w:after="120" w:before="60" w:line="276"/>
        <w:jc w:val="left"/>
      </w:pPr>
      <w:r>
        <w:rPr>
          <w:rFonts w:ascii="Calibri" w:cs="Calibri" w:eastAsia="Calibri" w:hAnsi="Calibri"/>
          <w:b w:val="false"/>
          <w:bCs w:val="false"/>
          <w:i w:val="false"/>
          <w:iCs w:val="false"/>
          <w:color w:val="3A2E28"/>
          <w:sz w:val="20"/>
          <w:szCs w:val="20"/>
        </w:rPr>
        <w:t xml:space="preserve">For the 200 mm outer diameter, 3 mm wall root section, second moment of area is 9.01 times ten to the minus six metres to the fourth. Peak fibre stress equals moment times outer radius divided by second moment: 13,976 times 0.100 divided by 9.01 times ten to the minus six equals 155 MPa. Against a 320 MPa allowable for a filament-wound carbon tube with buckling and layup-efficiency knockdowns applied, the margin of safety is plus 1.06.</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D: Conformance and Correction Notes</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follows the Immutable Matrix v2.5 drafting rules. The text runs in active present tense throughout, excludes every prohibited modal verb and future auxiliary, contains no em dashes, and keeps a space after every colon. The cover uses borders and shaded tables rather than background images, and the unpacked package passes both floating-background attribute checks that the drafting rules define. Contrast spot checks: cover title 7B3F24 on F4E6DC, header 8C7A6B on white, body 3A2E28 on white, all within the required ratios.</w:t>
      </w:r>
    </w:p>
    <w:p>
      <w:pPr>
        <w:spacing w:after="120" w:before="60" w:line="276"/>
        <w:jc w:val="left"/>
      </w:pPr>
      <w:r>
        <w:rPr>
          <w:rFonts w:ascii="Calibri" w:cs="Calibri" w:eastAsia="Calibri" w:hAnsi="Calibri"/>
          <w:b w:val="false"/>
          <w:bCs w:val="false"/>
          <w:i w:val="false"/>
          <w:iCs w:val="false"/>
          <w:color w:val="3A2E28"/>
          <w:sz w:val="20"/>
          <w:szCs w:val="20"/>
        </w:rPr>
        <w:t xml:space="preserve">Corrections of record. Section 20 states fifteen corrections against v1.1 in full, with magnitudes and consequences, and Table 24 states the eight design changes that follow from them. Three of those corrections extend beyond this document and are restated here so that they are not lost when Section 20 is read as a change log rather than as a programme record.</w:t>
      </w:r>
    </w:p>
    <w:p>
      <w:pPr>
        <w:pStyle w:val="ListParagraph"/>
        <w:numPr>
          <w:ilvl w:val="0"/>
          <w:numId w:val="2"/>
        </w:numPr>
        <w:spacing w:after="70" w:before="40" w:line="264"/>
      </w:pPr>
      <w:r>
        <w:rPr>
          <w:rFonts w:ascii="Calibri" w:cs="Calibri" w:eastAsia="Calibri" w:hAnsi="Calibri"/>
          <w:color w:val="3A2E28"/>
          <w:sz w:val="20"/>
          <w:szCs w:val="20"/>
        </w:rPr>
        <w:t xml:space="preserve">The energy-budget methodology of Section 9.2 supersedes the throughput tables published in Contra Favillas Mk I, Rugged v1.1, and Rugged v1.2, and now also supersedes the throughput table published in Aerial v1.1, which applied the correct method to an incorrect footprint area. The carbonization physics, interlocks, and safety thresholds in all of those documents stand unchanged. Revised ground-variant tables follow in the planned correction cycle and inherit the verified method, including the thermodynamic cross-check of Table 12 that no earlier document carried.</w:t>
      </w:r>
    </w:p>
    <w:p>
      <w:pPr>
        <w:pStyle w:val="ListParagraph"/>
        <w:numPr>
          <w:ilvl w:val="0"/>
          <w:numId w:val="2"/>
        </w:numPr>
        <w:spacing w:after="70" w:before="40" w:line="264"/>
      </w:pPr>
      <w:r>
        <w:rPr>
          <w:rFonts w:ascii="Calibri" w:cs="Calibri" w:eastAsia="Calibri" w:hAnsi="Calibri"/>
          <w:color w:val="3A2E28"/>
          <w:sz w:val="20"/>
          <w:szCs w:val="20"/>
        </w:rPr>
        <w:t xml:space="preserve">Version 1.0 of this aerial document stated a 4.4 m flight span for a 60-inch layout, which assumed rotor tip overlap that same-plane disks do not tolerate. Version 1.1 corrected that to 5.9 m for the 60-inch layout and 7.1 m for its own 72-inch layout. Version 1.5 publishes 10.2 m for the 104-inch layout on the same geometry, and Appendix C.2 states the derivation so the figure is checkable rather than asserted.</w:t>
      </w:r>
    </w:p>
    <w:p>
      <w:pPr>
        <w:pStyle w:val="ListParagraph"/>
        <w:numPr>
          <w:ilvl w:val="0"/>
          <w:numId w:val="2"/>
        </w:numPr>
        <w:spacing w:after="70" w:before="40" w:line="264"/>
      </w:pPr>
      <w:r>
        <w:rPr>
          <w:rFonts w:ascii="Calibri" w:cs="Calibri" w:eastAsia="Calibri" w:hAnsi="Calibri"/>
          <w:color w:val="3A2E28"/>
          <w:sz w:val="20"/>
          <w:szCs w:val="20"/>
        </w:rPr>
        <w:t xml:space="preserve">The performance figures published in Aerial v1.0 and v1.1 do not stand. Section 20 items C-1 through C-4 identify four errors compounding in the same direction, and any downstream document, briefing, or funding submission citing the 747 kg design point, the 118.1 kW electrical hover figure, or the v1.1 throughput table requires revision against this edition.</w:t>
      </w:r>
    </w:p>
    <w:p>
      <w:pPr>
        <w:spacing w:after="120" w:before="60" w:line="276"/>
        <w:jc w:val="left"/>
      </w:pPr>
      <w:r>
        <w:rPr>
          <w:rFonts w:ascii="Calibri" w:cs="Calibri" w:eastAsia="Calibri" w:hAnsi="Calibri"/>
          <w:b w:val="false"/>
          <w:bCs w:val="false"/>
          <w:i w:val="false"/>
          <w:iCs w:val="false"/>
          <w:color w:val="3A2E28"/>
          <w:sz w:val="20"/>
          <w:szCs w:val="20"/>
        </w:rPr>
        <w:t xml:space="preserve">Version control. This edition supersedes Contra Favillas Aerial v1.1 in full. The v1.1 disposition of the 25-item engineering review remains valid as a record of capability decisions, and every capability that review introduced is retained in this edition; what changes is the platform those capabilities ride on.</w:t>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E: Coverage, Thermal and Economic Derivations</w:t>
      </w:r>
    </w:p>
    <w:p>
      <w:pPr>
        <w:spacing w:after="120" w:before="60" w:line="276"/>
        <w:jc w:val="left"/>
      </w:pPr>
      <w:r>
        <w:rPr>
          <w:rFonts w:ascii="Calibri" w:cs="Calibri" w:eastAsia="Calibri" w:hAnsi="Calibri"/>
          <w:b w:val="false"/>
          <w:bCs w:val="false"/>
          <w:i w:val="false"/>
          <w:iCs w:val="false"/>
          <w:color w:val="3A2E28"/>
          <w:sz w:val="20"/>
          <w:szCs w:val="20"/>
        </w:rPr>
        <w:t xml:space="preserve">This appendix states the derivations behind Sections 22, 23, and 24 so that each figure is checkable rather than asserted. It follows the convention of Appendix C: every constant is stated, every step is shown, and every result carries the equation that produces it.</w:t>
      </w:r>
    </w:p>
    <w:p>
      <w:pPr>
        <w:pStyle w:val="Heading2"/>
        <w:spacing w:after="110" w:before="240"/>
      </w:pPr>
      <w:r>
        <w:rPr>
          <w:rFonts w:ascii="Calibri" w:cs="Calibri" w:eastAsia="Calibri" w:hAnsi="Calibri"/>
          <w:b/>
          <w:bCs/>
          <w:color w:val="3A2E28"/>
          <w:sz w:val="24"/>
          <w:szCs w:val="24"/>
        </w:rPr>
        <w:t xml:space="preserve">E.1 Surface Energy Balance</w:t>
      </w:r>
    </w:p>
    <w:p>
      <w:pPr>
        <w:spacing w:after="120" w:before="60" w:line="276"/>
        <w:jc w:val="left"/>
      </w:pPr>
      <w:r>
        <w:rPr>
          <w:rFonts w:ascii="Calibri" w:cs="Calibri" w:eastAsia="Calibri" w:hAnsi="Calibri"/>
          <w:b w:val="false"/>
          <w:bCs w:val="false"/>
          <w:i w:val="false"/>
          <w:iCs w:val="false"/>
          <w:color w:val="3A2E28"/>
          <w:sz w:val="20"/>
          <w:szCs w:val="20"/>
        </w:rPr>
        <w:t xml:space="preserve">A surface at temperature T loses energy by convection at h(T - Tamb) and by re-radiation at eps sigma (T^4 - Tamb^4), with sigma at 5.67e-8 W/m2K4, emissivity eps at 0.90 for a charring surface, and ambient at 288 K. The convective coefficient takes 15 W/m2K for natural convection over a hot horizontal surface in still air and 50 W/m2K under the E6 wall jet at 19 m/s ground-level velocity.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200"/>
        <w:gridCol w:w="2450"/>
        <w:gridCol w:w="2450"/>
        <w:gridCol w:w="2980"/>
      </w:tblGrid>
      <w:tr>
        <w:trPr>
          <w:tblHeader/>
        </w:trPr>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Surface temperature</w:t>
            </w:r>
          </w:p>
        </w:tc>
        <w:tc>
          <w:tcPr>
            <w:tcW w:type="dxa" w:w="24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Loss flux, still air</w:t>
            </w:r>
          </w:p>
        </w:tc>
        <w:tc>
          <w:tcPr>
            <w:tcW w:type="dxa" w:w="24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Loss flux, under downwash</w:t>
            </w:r>
          </w:p>
        </w:tc>
        <w:tc>
          <w:tcPr>
            <w:tcW w:type="dxa" w:w="2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 C</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1.92 kW/m2</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4.90 kW/m2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Water driven off</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 C</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4.98 kW/m2</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11.46 kW/m2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Below pyrolysis onset</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300 C</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9.43 kW/m2</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19.41 kW/m2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Pyrolysis onset</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400 C</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15.90 kW/m2</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29.38 kW/m2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Working temperature for char formation</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500 C</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25.16 kW/m2</w:t>
            </w:r>
          </w:p>
        </w:tc>
        <w:tc>
          <w:tcPr>
            <w:tcW w:type="dxa" w:w="24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42.14 kW/m2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Above requirement</w:t>
            </w:r>
          </w:p>
        </w:tc>
      </w:tr>
    </w:tbl>
    <w:p>
      <w:pPr>
        <w:spacing w:after="200" w:before="60"/>
      </w:pPr>
      <w:r>
        <w:rPr>
          <w:rFonts w:ascii="Calibri" w:cs="Calibri" w:eastAsia="Calibri" w:hAnsi="Calibri"/>
          <w:i/>
          <w:iCs/>
          <w:color w:val="6B5A4E"/>
          <w:sz w:val="17"/>
          <w:szCs w:val="17"/>
        </w:rPr>
        <w:t xml:space="preserve">Table 35: Flux required to hold a surface at temperature. Radiation dominates above 300 C, which is why the curve steepens.</w:t>
      </w:r>
    </w:p>
    <w:p>
      <w:pPr>
        <w:spacing w:after="120" w:before="60" w:line="276"/>
        <w:jc w:val="left"/>
      </w:pPr>
      <w:r>
        <w:rPr>
          <w:rFonts w:ascii="Calibri" w:cs="Calibri" w:eastAsia="Calibri" w:hAnsi="Calibri"/>
          <w:b w:val="false"/>
          <w:bCs w:val="false"/>
          <w:i w:val="false"/>
          <w:iCs w:val="false"/>
          <w:color w:val="3A2E28"/>
          <w:sz w:val="20"/>
          <w:szCs w:val="20"/>
        </w:rPr>
        <w:t xml:space="preserve">Setting loss equal to delivered flux gives the equilibrium temperature. At 6.43 kW/m2 the balance closes at 237 C in still air and 125 C under downwash. At the 113.2 kW/m2 of the scanned spot it closes at 910 C and 821 C, which is why the control loop modulates dwell rather than allowing equilibrium.</w:t>
      </w:r>
    </w:p>
    <w:p>
      <w:pPr>
        <w:pStyle w:val="Heading2"/>
        <w:spacing w:after="110" w:before="240"/>
      </w:pPr>
      <w:r>
        <w:rPr>
          <w:rFonts w:ascii="Calibri" w:cs="Calibri" w:eastAsia="Calibri" w:hAnsi="Calibri"/>
          <w:b/>
          <w:bCs/>
          <w:color w:val="3A2E28"/>
          <w:sz w:val="24"/>
          <w:szCs w:val="24"/>
        </w:rPr>
        <w:t xml:space="preserve">E.2 Scan Geometry</w:t>
      </w:r>
    </w:p>
    <w:p>
      <w:pPr>
        <w:spacing w:after="120" w:before="60" w:line="276"/>
        <w:jc w:val="left"/>
      </w:pPr>
      <w:r>
        <w:rPr>
          <w:rFonts w:ascii="Calibri" w:cs="Calibri" w:eastAsia="Calibri" w:hAnsi="Calibri"/>
          <w:b w:val="false"/>
          <w:bCs w:val="false"/>
          <w:i w:val="false"/>
          <w:iCs w:val="false"/>
          <w:color w:val="3A2E28"/>
          <w:sz w:val="20"/>
          <w:szCs w:val="20"/>
        </w:rPr>
        <w:t xml:space="preserve">Swath equals twice the standoff multiplied by the tangent of the scan half-angle. At 4.0 m standoff and 19.3 degrees, swath is 2 x 4.0 x tan(19.3) = 2.80 m. Slant range at the sweep extreme is 4.0 / cos(19.3) = 4.24 m, and the obliquity factor is 1 / cos(19.3) = 1.06, which the dose controller compensates by reducing scan rate proportionally at the swath edges.</w:t>
      </w:r>
    </w:p>
    <w:p>
      <w:pPr>
        <w:spacing w:after="120" w:before="60" w:line="276"/>
        <w:jc w:val="left"/>
      </w:pPr>
      <w:r>
        <w:rPr>
          <w:rFonts w:ascii="Calibri" w:cs="Calibri" w:eastAsia="Calibri" w:hAnsi="Calibri"/>
          <w:b w:val="false"/>
          <w:bCs w:val="false"/>
          <w:i w:val="false"/>
          <w:iCs w:val="false"/>
          <w:color w:val="3A2E28"/>
          <w:sz w:val="20"/>
          <w:szCs w:val="20"/>
        </w:rPr>
        <w:t xml:space="preserve">Spot size follows from beam parameter product. A 2 kW multimode source at 4.0 mm mrad through a 50 mm collimator diverges at 0.16 mrad half-angle, giving a natural spot of 50 + 2 x 4000 x 0.00016 = 51.3 mm. The working spot is a deliberate defocus to 150 mm, giving an area of pi/4 x 0.150^2 = 0.0177 m2 and an instantaneous irradiance of 2000 / 0.0177 = 113.2 kW/m2 per source.</w:t>
      </w:r>
    </w:p>
    <w:p>
      <w:pPr>
        <w:pStyle w:val="Heading2"/>
        <w:spacing w:after="110" w:before="240"/>
      </w:pPr>
      <w:r>
        <w:rPr>
          <w:rFonts w:ascii="Calibri" w:cs="Calibri" w:eastAsia="Calibri" w:hAnsi="Calibri"/>
          <w:b/>
          <w:bCs/>
          <w:color w:val="3A2E28"/>
          <w:sz w:val="24"/>
          <w:szCs w:val="24"/>
        </w:rPr>
        <w:t xml:space="preserve">E.3 Area Rate</w:t>
      </w:r>
    </w:p>
    <w:p>
      <w:pPr>
        <w:spacing w:after="120" w:before="60" w:line="276"/>
        <w:jc w:val="left"/>
      </w:pPr>
      <w:r>
        <w:rPr>
          <w:rFonts w:ascii="Calibri" w:cs="Calibri" w:eastAsia="Calibri" w:hAnsi="Calibri"/>
          <w:b w:val="false"/>
          <w:bCs w:val="false"/>
          <w:i w:val="false"/>
          <w:iCs w:val="false"/>
          <w:color w:val="3A2E28"/>
          <w:sz w:val="20"/>
          <w:szCs w:val="20"/>
        </w:rPr>
        <w:t xml:space="preserve">Area rate equals installed optical power multiplied by duty cycle and by coupling efficiency, divided by process energy demand, multiplied by 3600 to convert to hours, and multiplied by 0.985 to account for scan retrace and corridor turnaround. For Configuration A: 4000 x 0.6186 x 0.62 / 432,100 x 3600 x 0.985 = 12.59 m2/h. Advance rate divides that by the 2.80 m swath to give 4.50 m/h.</w:t>
      </w:r>
    </w:p>
    <w:p>
      <w:pPr>
        <w:pStyle w:val="Heading2"/>
        <w:spacing w:after="110" w:before="240"/>
      </w:pPr>
      <w:r>
        <w:rPr>
          <w:rFonts w:ascii="Calibri" w:cs="Calibri" w:eastAsia="Calibri" w:hAnsi="Calibri"/>
          <w:b/>
          <w:bCs/>
          <w:color w:val="3A2E28"/>
          <w:sz w:val="24"/>
          <w:szCs w:val="24"/>
        </w:rPr>
        <w:t xml:space="preserve">E.4 The Endurance Constraint on Installed Power</w:t>
      </w:r>
    </w:p>
    <w:p>
      <w:pPr>
        <w:spacing w:after="120" w:before="60" w:line="276"/>
        <w:jc w:val="left"/>
      </w:pPr>
      <w:r>
        <w:rPr>
          <w:rFonts w:ascii="Calibri" w:cs="Calibri" w:eastAsia="Calibri" w:hAnsi="Calibri"/>
          <w:b w:val="false"/>
          <w:bCs w:val="false"/>
          <w:i w:val="false"/>
          <w:iCs w:val="false"/>
          <w:color w:val="3A2E28"/>
          <w:sz w:val="20"/>
          <w:szCs w:val="20"/>
        </w:rPr>
        <w:t xml:space="preserve">Endurance integrates numerically at half-second steps with mass falling as fuel burns, using the efficiency chain of Table 2 and a brake specific fuel consumption of 0.265 kg/kWh. Source mass and cooling mass at 1.9 kg per kilowatt of rejection both add to empty mass, and fuel is the difference between the 1,000 kg maximum takeoff weight and empty mass. Duty cycle is then solved so that endurance at full treatment duty equals exactly 6.00 h.</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100"/>
        <w:gridCol w:w="1500"/>
        <w:gridCol w:w="1400"/>
        <w:gridCol w:w="1500"/>
        <w:gridCol w:w="1500"/>
        <w:gridCol w:w="2080"/>
      </w:tblGrid>
      <w:tr>
        <w:trPr>
          <w:tblHeader/>
        </w:trPr>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Source set</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Installed</w:t>
            </w:r>
          </w:p>
        </w:tc>
        <w:tc>
          <w:tcPr>
            <w:tcW w:type="dxa" w:w="1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Mass</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Duty at 6.00 h</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Area rate</w:t>
            </w:r>
          </w:p>
        </w:tc>
        <w:tc>
          <w:tcPr>
            <w:tcW w:type="dxa" w:w="2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Area per sortie</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 x 2 kW, Configuration A</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kW</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56.0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0.619</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12.59 m2/h</w:t>
            </w:r>
          </w:p>
        </w:tc>
        <w:tc>
          <w:tcPr>
            <w:tcW w:type="dxa" w:w="2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53.4 m2</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 x 6 kW, Configuration B</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6.0 kW</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52.0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0.493</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15.05 m2/h</w:t>
            </w:r>
          </w:p>
        </w:tc>
        <w:tc>
          <w:tcPr>
            <w:tcW w:type="dxa" w:w="2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63.8 m2</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 x 2 kW</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6.0 kW</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84.0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0.09</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2.7 m2/h</w:t>
            </w:r>
          </w:p>
        </w:tc>
        <w:tc>
          <w:tcPr>
            <w:tcW w:type="dxa" w:w="2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11.6 m2</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 x 2 kW</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 kW</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112.0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none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achievable</w:t>
            </w:r>
          </w:p>
        </w:tc>
        <w:tc>
          <w:tcPr>
            <w:tcW w:type="dxa" w:w="2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achievable</w:t>
            </w:r>
          </w:p>
        </w:tc>
      </w:tr>
    </w:tbl>
    <w:p>
      <w:pPr>
        <w:spacing w:after="200" w:before="60"/>
      </w:pPr>
      <w:r>
        <w:rPr>
          <w:rFonts w:ascii="Calibri" w:cs="Calibri" w:eastAsia="Calibri" w:hAnsi="Calibri"/>
          <w:i/>
          <w:iCs/>
          <w:color w:val="6B5A4E"/>
          <w:sz w:val="17"/>
          <w:szCs w:val="17"/>
        </w:rPr>
        <w:t xml:space="preserve">Table 36: Duty cycle that holds six hours, by source set. The three-module case collapses because source and cooling mass consume the fuel that duty cycle needs.</w:t>
      </w:r>
    </w:p>
    <w:p>
      <w:pPr>
        <w:pStyle w:val="Heading2"/>
        <w:spacing w:after="110" w:before="240"/>
      </w:pPr>
      <w:r>
        <w:rPr>
          <w:rFonts w:ascii="Calibri" w:cs="Calibri" w:eastAsia="Calibri" w:hAnsi="Calibri"/>
          <w:b/>
          <w:bCs/>
          <w:color w:val="3A2E28"/>
          <w:sz w:val="24"/>
          <w:szCs w:val="24"/>
        </w:rPr>
        <w:t xml:space="preserve">E.5 Solar Aperture and Yield</w:t>
      </w:r>
    </w:p>
    <w:p>
      <w:pPr>
        <w:spacing w:after="120" w:before="60" w:line="276"/>
        <w:jc w:val="left"/>
      </w:pPr>
      <w:r>
        <w:rPr>
          <w:rFonts w:ascii="Calibri" w:cs="Calibri" w:eastAsia="Calibri" w:hAnsi="Calibri"/>
          <w:b w:val="false"/>
          <w:bCs w:val="false"/>
          <w:i w:val="false"/>
          <w:iCs w:val="false"/>
          <w:color w:val="3A2E28"/>
          <w:sz w:val="20"/>
          <w:szCs w:val="20"/>
        </w:rPr>
        <w:t xml:space="preserve">Usable aperture sums 1.79 m2 of centre deck, taken as 70 percent of the 2.56 m2 gross deck after hatches and intakes, and 1.15 m2 of arm upper surface, taken as 40 percent of the 2.88 m2 gross after rotor shadow, curvature, and hinge lines. Total is 2.94 m2. Output at clear-air noon is 2.94 x 950 x 0.18 x 0.88 x 0.87 = 385 W, where 0.88 is the thermal derate at 55 C cell temperature and 0.87 is the cosine factor for a horizontal panel under a sun at 60 degrees elevation.</w:t>
      </w:r>
    </w:p>
    <w:p>
      <w:pPr>
        <w:spacing w:after="120" w:before="60" w:line="276"/>
        <w:jc w:val="left"/>
      </w:pPr>
      <w:r>
        <w:rPr>
          <w:rFonts w:ascii="Calibri" w:cs="Calibri" w:eastAsia="Calibri" w:hAnsi="Calibri"/>
          <w:b w:val="false"/>
          <w:bCs w:val="false"/>
          <w:i w:val="false"/>
          <w:iCs w:val="false"/>
          <w:color w:val="3A2E28"/>
          <w:sz w:val="20"/>
          <w:szCs w:val="20"/>
        </w:rPr>
        <w:t xml:space="preserve">The endurance arithmetic follows directly. Fuel saved is 0.385 x 0.265 = 0.102 kg/h, and across a 6.9 h sortie that is 0.70 kg, worth 1.0 minute at a 42.8 kg/h burn. Mass carried is 2.94 x 1.70 = 5.0 kg, worth 7.0 minutes of the same fuel flow. Net effect is minus 6.0 minutes.</w:t>
      </w:r>
    </w:p>
    <w:p>
      <w:pPr>
        <w:pStyle w:val="Heading2"/>
        <w:spacing w:after="110" w:before="240"/>
      </w:pPr>
      <w:r>
        <w:rPr>
          <w:rFonts w:ascii="Calibri" w:cs="Calibri" w:eastAsia="Calibri" w:hAnsi="Calibri"/>
          <w:b/>
          <w:bCs/>
          <w:color w:val="3A2E28"/>
          <w:sz w:val="24"/>
          <w:szCs w:val="24"/>
        </w:rPr>
        <w:t xml:space="preserve">E.6 Cost Per Square Metre</w:t>
      </w:r>
    </w:p>
    <w:p>
      <w:pPr>
        <w:spacing w:after="120" w:before="60" w:line="276"/>
        <w:jc w:val="left"/>
      </w:pPr>
      <w:r>
        <w:rPr>
          <w:rFonts w:ascii="Calibri" w:cs="Calibri" w:eastAsia="Calibri" w:hAnsi="Calibri"/>
          <w:b w:val="false"/>
          <w:bCs w:val="false"/>
          <w:i w:val="false"/>
          <w:iCs w:val="false"/>
          <w:color w:val="3A2E28"/>
          <w:sz w:val="20"/>
          <w:szCs w:val="20"/>
        </w:rPr>
        <w:t xml:space="preserve">Daily cost sums three terms. Capital amortisation is capital divided by 1,500 operating days, giving 532 CAD for Configuration A. Fixed daily cost is 1,150 CAD. Variable cost is 608 CAD per flight hour across 8.68 flight hours, giving 5,277 CAD. Total daily cost is 6,959 CAD. Daily treated area is 2.34 sorties x 4.24 h on station x 12.59 m2/h = 125 m2. Cost per square metre is the quotient, 55.78 CAD, or 557,803 CAD per hectare.</w:t>
      </w:r>
    </w:p>
    <w:p>
      <w:pPr>
        <w:spacing w:after="120" w:before="60" w:line="276"/>
        <w:jc w:val="left"/>
      </w:pPr>
      <w:r>
        <w:rPr>
          <w:rFonts w:ascii="Calibri" w:cs="Calibri" w:eastAsia="Calibri" w:hAnsi="Calibri"/>
          <w:b w:val="false"/>
          <w:bCs w:val="false"/>
          <w:i w:val="false"/>
          <w:iCs w:val="false"/>
          <w:color w:val="3A2E28"/>
          <w:sz w:val="20"/>
          <w:szCs w:val="20"/>
        </w:rPr>
        <w:t xml:space="preserve">The ground unit comparison applies the same model with four 2 kW sources at a duty of 0.95, a coupling efficiency of 0.62, nine productive hours per day, 298,000 CAD of capital, 950 CAD of fixed daily cost, and 185 CAD per productive hour of variable cost. Area rate is 38.7 m2/h and daily area is 348 m2, giving 8.08 CAD per square metre.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F: Regulatory Document Register</w:t>
      </w:r>
    </w:p>
    <w:p>
      <w:pPr>
        <w:spacing w:after="120" w:before="60" w:line="276"/>
        <w:jc w:val="left"/>
      </w:pPr>
      <w:r>
        <w:rPr>
          <w:rFonts w:ascii="Calibri" w:cs="Calibri" w:eastAsia="Calibri" w:hAnsi="Calibri"/>
          <w:b w:val="false"/>
          <w:bCs w:val="false"/>
          <w:i w:val="false"/>
          <w:iCs w:val="false"/>
          <w:color w:val="3A2E28"/>
          <w:sz w:val="20"/>
          <w:szCs w:val="20"/>
        </w:rPr>
        <w:t xml:space="preserve">This appendix lists every document the pathway of Section 25 requires, the stage that produces it, the authority that receives it, and the source material inside this specification that supplies its technical content. It exists so that regulatory preparation proceeds as a document production schedule rather than as a research exercise.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900"/>
        <w:gridCol w:w="1700"/>
        <w:gridCol w:w="45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Document</w:t>
            </w:r>
          </w:p>
        </w:tc>
        <w:tc>
          <w:tcPr>
            <w:tcW w:type="dxa" w:w="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Receiving authority</w:t>
            </w:r>
          </w:p>
        </w:tc>
        <w:tc>
          <w:tcPr>
            <w:tcW w:type="dxa" w:w="4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Technical source in this specification</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Proposed certification basis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R-1</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3, 4, 8, 11; Appendices B and C</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Concept of Operations, tethered</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R-6</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10, 12, 15; Section 25.6 strategy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Specific Operational Risk Assessment, tethered</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R-6</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11, 19, 21; Tables 26 and 31</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Concept of Operations, free flight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R-9</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9, 10, 18, 22; corridor geometry of Figure 7</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Specific Operational Risk Assessment, free flight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R-9</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11, 19, 21; downwash closure of Section 21.4</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Operations manual</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10, 11, 15; mission fuel policy of Table 4</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Safety management system manual</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17 phase gates; Section 21 closure register</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Maintenance control manual</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15; engine and airframe reserves of Section 18</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System safety assessment and failure analysis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11.3 failure modes and effects summary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Structural substantiation report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3; arm-root margin of Appendix C</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Powerplant installation compliance report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4; Phase 1 dynamometer data of Section 21.1</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Software and complex hardware plans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8; abort chain of Sections 11 and 21.5</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Flight test plan and report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R-8</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17 Phases 3, 4, 5</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hazard analysis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R-3</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Province, 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11; Table 14 derived hazard distances</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safety programme and controlled area plan</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R-3</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Province</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11; 150 m exclusion radius derivation</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product classification and labelling file</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R-3</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Health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Bill of materials; IEC 60825-1 evidence from source vendors</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Spectrum authorisation application</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R-4</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ISED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10 link budget and band selection</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Dangerous goods transport procedures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15; fuel and battery handling</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Incident command integration agreement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R-7</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Provincial wildfire agency</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10, 18; Section 25.6 sponsorship strategy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Environmental screening</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R-6</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Province</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11 exclusion zone; migratory bird and species at risk timing</w:t>
            </w:r>
          </w:p>
        </w:tc>
      </w:tr>
    </w:tbl>
    <w:p>
      <w:pPr>
        <w:spacing w:after="200" w:before="60"/>
      </w:pPr>
      <w:r>
        <w:rPr>
          <w:rFonts w:ascii="Calibri" w:cs="Calibri" w:eastAsia="Calibri" w:hAnsi="Calibri"/>
          <w:i/>
          <w:iCs/>
          <w:color w:val="6B5A4E"/>
          <w:sz w:val="17"/>
          <w:szCs w:val="17"/>
        </w:rPr>
        <w:t xml:space="preserve">Table 37: Regulatory document register. Twenty documents across six authorities. Every one draws its technical content from material this specification already contains, which is the reason the regulatory timeline is long rather than uncertain.</w:t>
      </w:r>
    </w:p>
    <w:p>
      <w:pPr>
        <w:spacing w:after="120" w:before="60" w:line="276"/>
        <w:jc w:val="left"/>
      </w:pPr>
      <w:r>
        <w:rPr>
          <w:rFonts w:ascii="Calibri" w:cs="Calibri" w:eastAsia="Calibri" w:hAnsi="Calibri"/>
          <w:b w:val="false"/>
          <w:bCs w:val="false"/>
          <w:i w:val="false"/>
          <w:iCs w:val="false"/>
          <w:color w:val="3A2E28"/>
          <w:sz w:val="20"/>
          <w:szCs w:val="20"/>
        </w:rPr>
        <w:t xml:space="preserve">Two observations close this appendix. The first is that no document in the register requires research that has not been done; each requires the assembly and formal presentation of analysis this specification carries. The second is that the tethered pathway of stages R-6 and R-7 requires eight of the twenty documents, while free flight requires all twenty. That ratio is the quantitative form of the argument in Section 25.6, and it is why the programme seeks tethered approval first.</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is complete as issued. Sections 1 through 20 stand as published in version 1.5 with the corrections of Section 26 applied. Sections 21 through 26 and Appendices E and F are new in version 1.6. Nineteen corrections of record are published across Sections 20 and 26, sixteen design changes are recorded across Tables 25 and 34, and two questions are recorded as open rather than answered.</w:t>
      </w:r>
    </w:p>
    <w:sectPr>
      <w:headerReference w:type="default" r:id="rId7"/>
      <w:footerReference w:type="default" r:id="rId8"/>
      <w:pgSz w:w="12240" w:h="15840"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7A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C0" w:sz="4" w:space="4"/>
      </w:pBdr>
      <w:spacing w:after="60"/>
      <w:jc w:val="right"/>
    </w:pPr>
    <w:r>
      <w:rPr>
        <w:rFonts w:ascii="Calibri" w:cs="Calibri" w:eastAsia="Calibri" w:hAnsi="Calibri"/>
        <w:color w:val="8C7A6B"/>
        <w:sz w:val="16"/>
        <w:szCs w:val="16"/>
      </w:rPr>
      <w:t xml:space="preserve">Contra Favillas Aerial E6  |  Engineering Design Specification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68bfe639681f1954ed0cddf15c3c7545b8b00f.png"/><Relationship Id="rId10" Type="http://schemas.openxmlformats.org/officeDocument/2006/relationships/image" Target="media/f3f2fa01951522ab5121a719e4504eae0f2fc4b9.png"/><Relationship Id="rId11" Type="http://schemas.openxmlformats.org/officeDocument/2006/relationships/image" Target="media/321621621b63ef880f285b1eac1f89d0fb9fe4ba.png"/><Relationship Id="rId12" Type="http://schemas.openxmlformats.org/officeDocument/2006/relationships/image" Target="media/92923416a878300f743424e5766fb2a71124d31e.png"/><Relationship Id="rId13" Type="http://schemas.openxmlformats.org/officeDocument/2006/relationships/image" Target="media/f5fbc0752ce2f1094edf82072cf35711814c95c9.png"/><Relationship Id="rId14" Type="http://schemas.openxmlformats.org/officeDocument/2006/relationships/image" Target="media/53d3226bd0b763a7be506fec32ab235cd2d81fa0.png"/><Relationship Id="rId15" Type="http://schemas.openxmlformats.org/officeDocument/2006/relationships/image" Target="media/bed2a07c424ce6133d3cdd810c6f090ca7143f36.png"/><Relationship Id="rId16" Type="http://schemas.openxmlformats.org/officeDocument/2006/relationships/image" Target="media/706c08e130ae35506f5b5af8e4df537433e4b113.png"/><Relationship Id="rId17" Type="http://schemas.openxmlformats.org/officeDocument/2006/relationships/image" Target="media/1171cd51fbc7590aa3edaa7b031dddbf98402374.png"/><Relationship Id="rId18" Type="http://schemas.openxmlformats.org/officeDocument/2006/relationships/image" Target="media/164e4626780f17808764584bbd15d7de5ec5289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 Favillas Aerial E6 v1.5 Engineering Design Specification</dc:title>
  <dc:creator>Contra Favillas Program</dc:creator>
  <dc:description>Airborne Laser Carbonization Platform, six-hour endurance hybrid multirotor, version 1.6</dc:description>
  <cp:lastModifiedBy>Un-named</cp:lastModifiedBy>
  <cp:revision>1</cp:revision>
  <dcterms:created xsi:type="dcterms:W3CDTF">2026-08-01T19:01:14.283Z</dcterms:created>
  <dcterms:modified xsi:type="dcterms:W3CDTF">2026-08-01T19:01:14.283Z</dcterms:modified>
</cp:coreProperties>
</file>

<file path=docProps/custom.xml><?xml version="1.0" encoding="utf-8"?>
<Properties xmlns="http://schemas.openxmlformats.org/officeDocument/2006/custom-properties" xmlns:vt="http://schemas.openxmlformats.org/officeDocument/2006/docPropsVTypes"/>
</file>