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tbl>
      <w:tblPr>
        <w:tblW w:type="dxa" w:w="10080"/>
        <w:tblBorders>
          <w:top w:val="single" w:color="7B3F24" w:sz="12"/>
          <w:left w:val="single" w:color="7B3F24" w:sz="12"/>
          <w:bottom w:val="single" w:color="7B3F24" w:sz="12"/>
          <w:right w:val="single" w:color="7B3F24" w:sz="12"/>
          <w:insideH w:val="none"/>
          <w:insideV w:val="none"/>
        </w:tblBorders>
      </w:tblPr>
      <w:tblGrid>
        <w:gridCol w:w="10080"/>
      </w:tblGrid>
      <w:tr>
        <w:tc>
          <w:tcPr>
            <w:tcW w:type="dxa" w:w="10080"/>
            <w:shd w:fill="F4E6DC" w:color="auto" w:val="clear"/>
            <w:tcMar>
              <w:top w:type="dxa" w:w="420"/>
              <w:left w:type="dxa" w:w="300"/>
              <w:bottom w:type="dxa" w:w="420"/>
              <w:right w:type="dxa" w:w="300"/>
            </w:tcMar>
          </w:tcPr>
          <w:p>
            <w:pPr>
              <w:spacing w:after="120"/>
              <w:jc w:val="center"/>
            </w:pPr>
            <w:r>
              <w:rPr>
                <w:rFonts w:ascii="Calibri" w:cs="Calibri" w:eastAsia="Calibri" w:hAnsi="Calibri"/>
                <w:b/>
                <w:bCs/>
                <w:color w:val="7B3F24"/>
                <w:sz w:val="52"/>
                <w:szCs w:val="52"/>
              </w:rPr>
              <w:t xml:space="preserve">CONTRA FAVILLAS</w:t>
            </w:r>
          </w:p>
          <w:p>
            <w:pPr>
              <w:spacing w:after="110"/>
              <w:jc w:val="center"/>
            </w:pPr>
            <w:r>
              <w:rPr>
                <w:rFonts w:ascii="Calibri" w:cs="Calibri" w:eastAsia="Calibri" w:hAnsi="Calibri"/>
                <w:b/>
                <w:bCs/>
                <w:color w:val="7B3F24"/>
                <w:sz w:val="44"/>
                <w:szCs w:val="44"/>
              </w:rPr>
              <w:t xml:space="preserve">BELL VARIANT</w:t>
            </w:r>
          </w:p>
          <w:p>
            <w:pPr>
              <w:spacing w:after="100"/>
              <w:jc w:val="center"/>
            </w:pPr>
            <w:r>
              <w:rPr>
                <w:rFonts w:ascii="Calibri" w:cs="Calibri" w:eastAsia="Calibri" w:hAnsi="Calibri"/>
                <w:color w:val="3A2E28"/>
                <w:sz w:val="26"/>
                <w:szCs w:val="26"/>
              </w:rPr>
              <w:t xml:space="preserve">Rotorcraft Laser Carbonization System, Bell 407GXi Installation</w:t>
            </w:r>
          </w:p>
          <w:p>
            <w:pPr>
              <w:spacing w:after="0"/>
              <w:jc w:val="center"/>
            </w:pPr>
            <w:r>
              <w:rPr>
                <w:rFonts w:ascii="Calibri" w:cs="Calibri" w:eastAsia="Calibri" w:hAnsi="Calibri"/>
                <w:i/>
                <w:iCs/>
                <w:color w:val="6B5A4E"/>
                <w:sz w:val="23"/>
                <w:szCs w:val="23"/>
              </w:rPr>
              <w:t xml:space="preserve">Wide-Swath Fuel Break Edition</w:t>
            </w:r>
          </w:p>
        </w:tc>
      </w:tr>
    </w:tbl>
    <w:p>
      <w:pPr>
        <w:spacing w:after="100" w:before="500"/>
        <w:jc w:val="center"/>
      </w:pPr>
      <w:r>
        <w:rPr>
          <w:rFonts w:ascii="Calibri" w:cs="Calibri" w:eastAsia="Calibri" w:hAnsi="Calibri"/>
          <w:b/>
          <w:bCs/>
          <w:color w:val="3A2E28"/>
          <w:sz w:val="30"/>
          <w:szCs w:val="30"/>
        </w:rPr>
        <w:t xml:space="preserve">Engineering Design Specification</w:t>
      </w:r>
    </w:p>
    <w:p>
      <w:pPr>
        <w:spacing w:after="320"/>
        <w:jc w:val="center"/>
      </w:pPr>
      <w:r>
        <w:rPr>
          <w:rFonts w:ascii="Calibri" w:cs="Calibri" w:eastAsia="Calibri" w:hAnsi="Calibri"/>
          <w:color w:val="8C7A6B"/>
          <w:sz w:val="22"/>
          <w:szCs w:val="22"/>
        </w:rPr>
        <w:t xml:space="preserve">Version 1.0  |  Rotorcraft Variant  |  August 2026</w:t>
      </w:r>
    </w:p>
    <w:p>
      <w:pPr>
        <w:spacing w:after="80"/>
        <w:jc w:val="center"/>
      </w:pPr>
      <w:r>
        <w:rPr>
          <w:rFonts w:ascii="Calibri" w:cs="Calibri" w:eastAsia="Calibri" w:hAnsi="Calibri"/>
          <w:i/>
          <w:iCs/>
          <w:color w:val="6B5A4E"/>
          <w:sz w:val="19"/>
          <w:szCs w:val="19"/>
        </w:rPr>
        <w:t xml:space="preserve">The Contra Favillas Aerial treatment architecture grafted onto a certified light single helicopter:</w:t>
      </w:r>
    </w:p>
    <w:p>
      <w:pPr>
        <w:spacing w:after="80"/>
        <w:jc w:val="center"/>
      </w:pPr>
      <w:r>
        <w:rPr>
          <w:rFonts w:ascii="Calibri" w:cs="Calibri" w:eastAsia="Calibri" w:hAnsi="Calibri"/>
          <w:i/>
          <w:iCs/>
          <w:color w:val="6B5A4E"/>
          <w:sz w:val="19"/>
          <w:szCs w:val="19"/>
        </w:rPr>
        <w:t xml:space="preserve">26 kW installed optical power, 14.0 m treated swath, 20 m standoff, supplemental type certificate pathway</w:t>
      </w:r>
    </w:p>
    <w:p>
      <w:pPr>
        <w:spacing w:after="0" w:before="480"/>
        <w:jc w:val="center"/>
      </w:pPr>
      <w:r>
        <w:rPr>
          <w:rFonts w:ascii="Calibri" w:cs="Calibri" w:eastAsia="Calibri" w:hAnsi="Calibri"/>
          <w:b/>
          <w:bCs/>
          <w:color w:val="7B3F24"/>
          <w:sz w:val="19"/>
          <w:szCs w:val="19"/>
        </w:rPr>
        <w:t xml:space="preserve">Inherits the nineteen corrections of record published in Contra Favillas Aerial v1.6.</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Table of Contents</w:t>
      </w:r>
    </w:p>
    <w:p>
      <w:pPr>
        <w:spacing w:after="30" w:before="150" w:line="264"/>
      </w:pPr>
      <w:r>
        <w:rPr>
          <w:rFonts w:ascii="Calibri" w:cs="Calibri" w:eastAsia="Calibri" w:hAnsi="Calibri"/>
          <w:b/>
          <w:bCs/>
          <w:color w:val="7B3F24"/>
          <w:sz w:val="19"/>
          <w:szCs w:val="19"/>
        </w:rPr>
        <w:t xml:space="preserve"/>
      </w:r>
      <w:r>
        <w:rPr>
          <w:rFonts w:ascii="Calibri" w:cs="Calibri" w:eastAsia="Calibri" w:hAnsi="Calibri"/>
          <w:b/>
          <w:bCs/>
          <w:color w:val="7B3F24"/>
          <w:sz w:val="19"/>
          <w:szCs w:val="19"/>
        </w:rPr>
        <w:t xml:space="preserve">PART I. BASIS OF DESIGN</w:t>
      </w:r>
    </w:p>
    <w:p>
      <w:pPr>
        <w:spacing w:after="30" w:before="30" w:line="264"/>
      </w:pPr>
      <w:r>
        <w:rPr>
          <w:rFonts w:ascii="Calibri" w:cs="Calibri" w:eastAsia="Calibri" w:hAnsi="Calibri"/>
          <w:b/>
          <w:bCs/>
          <w:color w:val="7B3F24"/>
          <w:sz w:val="19"/>
          <w:szCs w:val="19"/>
        </w:rPr>
        <w:t xml:space="preserve">1.  </w:t>
      </w:r>
      <w:r>
        <w:rPr>
          <w:rFonts w:ascii="Calibri" w:cs="Calibri" w:eastAsia="Calibri" w:hAnsi="Calibri"/>
          <w:b w:val="false"/>
          <w:bCs w:val="false"/>
          <w:color w:val="3A2E28"/>
          <w:sz w:val="19"/>
          <w:szCs w:val="19"/>
        </w:rPr>
        <w:t xml:space="preserve">Overview and Design Intent</w:t>
      </w:r>
    </w:p>
    <w:p>
      <w:pPr>
        <w:spacing w:after="30" w:before="30" w:line="264"/>
      </w:pPr>
      <w:r>
        <w:rPr>
          <w:rFonts w:ascii="Calibri" w:cs="Calibri" w:eastAsia="Calibri" w:hAnsi="Calibri"/>
          <w:b/>
          <w:bCs/>
          <w:color w:val="7B3F24"/>
          <w:sz w:val="19"/>
          <w:szCs w:val="19"/>
        </w:rPr>
        <w:t xml:space="preserve">2.  </w:t>
      </w:r>
      <w:r>
        <w:rPr>
          <w:rFonts w:ascii="Calibri" w:cs="Calibri" w:eastAsia="Calibri" w:hAnsi="Calibri"/>
          <w:b w:val="false"/>
          <w:bCs w:val="false"/>
          <w:color w:val="3A2E28"/>
          <w:sz w:val="19"/>
          <w:szCs w:val="19"/>
        </w:rPr>
        <w:t xml:space="preserve">Why a Certified Helicopter</w:t>
      </w:r>
    </w:p>
    <w:p>
      <w:pPr>
        <w:spacing w:after="30" w:before="30" w:line="264"/>
      </w:pPr>
      <w:r>
        <w:rPr>
          <w:rFonts w:ascii="Calibri" w:cs="Calibri" w:eastAsia="Calibri" w:hAnsi="Calibri"/>
          <w:b/>
          <w:bCs/>
          <w:color w:val="7B3F24"/>
          <w:sz w:val="19"/>
          <w:szCs w:val="19"/>
        </w:rPr>
        <w:t xml:space="preserve">3.  </w:t>
      </w:r>
      <w:r>
        <w:rPr>
          <w:rFonts w:ascii="Calibri" w:cs="Calibri" w:eastAsia="Calibri" w:hAnsi="Calibri"/>
          <w:b w:val="false"/>
          <w:bCs w:val="false"/>
          <w:color w:val="3A2E28"/>
          <w:sz w:val="19"/>
          <w:szCs w:val="19"/>
        </w:rPr>
        <w:t xml:space="preserve">The Bell 407GXi Baseline</w:t>
      </w:r>
    </w:p>
    <w:p>
      <w:pPr>
        <w:spacing w:after="30" w:before="30" w:line="264"/>
      </w:pPr>
      <w:r>
        <w:rPr>
          <w:rFonts w:ascii="Calibri" w:cs="Calibri" w:eastAsia="Calibri" w:hAnsi="Calibri"/>
          <w:b/>
          <w:bCs/>
          <w:color w:val="7B3F24"/>
          <w:sz w:val="19"/>
          <w:szCs w:val="19"/>
        </w:rPr>
        <w:t xml:space="preserve">4.  </w:t>
      </w:r>
      <w:r>
        <w:rPr>
          <w:rFonts w:ascii="Calibri" w:cs="Calibri" w:eastAsia="Calibri" w:hAnsi="Calibri"/>
          <w:b w:val="false"/>
          <w:bCs w:val="false"/>
          <w:color w:val="3A2E28"/>
          <w:sz w:val="19"/>
          <w:szCs w:val="19"/>
        </w:rPr>
        <w:t xml:space="preserve">Design Conditions</w:t>
      </w:r>
    </w:p>
    <w:p>
      <w:pPr>
        <w:spacing w:after="30" w:before="30" w:line="264"/>
      </w:pPr>
      <w:r>
        <w:rPr>
          <w:rFonts w:ascii="Calibri" w:cs="Calibri" w:eastAsia="Calibri" w:hAnsi="Calibri"/>
          <w:b/>
          <w:bCs/>
          <w:color w:val="7B3F24"/>
          <w:sz w:val="19"/>
          <w:szCs w:val="19"/>
        </w:rPr>
        <w:t xml:space="preserve">5.  </w:t>
      </w:r>
      <w:r>
        <w:rPr>
          <w:rFonts w:ascii="Calibri" w:cs="Calibri" w:eastAsia="Calibri" w:hAnsi="Calibri"/>
          <w:b w:val="false"/>
          <w:bCs w:val="false"/>
          <w:color w:val="3A2E28"/>
          <w:sz w:val="19"/>
          <w:szCs w:val="19"/>
        </w:rPr>
        <w:t xml:space="preserve">The Transmission Power Budget</w:t>
      </w:r>
    </w:p>
    <w:p>
      <w:pPr>
        <w:spacing w:after="30" w:before="150" w:line="264"/>
      </w:pPr>
      <w:r>
        <w:rPr>
          <w:rFonts w:ascii="Calibri" w:cs="Calibri" w:eastAsia="Calibri" w:hAnsi="Calibri"/>
          <w:b/>
          <w:bCs/>
          <w:color w:val="7B3F24"/>
          <w:sz w:val="19"/>
          <w:szCs w:val="19"/>
        </w:rPr>
        <w:t xml:space="preserve"/>
      </w:r>
      <w:r>
        <w:rPr>
          <w:rFonts w:ascii="Calibri" w:cs="Calibri" w:eastAsia="Calibri" w:hAnsi="Calibri"/>
          <w:b/>
          <w:bCs/>
          <w:color w:val="7B3F24"/>
          <w:sz w:val="19"/>
          <w:szCs w:val="19"/>
        </w:rPr>
        <w:t xml:space="preserve">PART II. AIRCRAFT INTEGRATION</w:t>
      </w:r>
    </w:p>
    <w:p>
      <w:pPr>
        <w:spacing w:after="30" w:before="30" w:line="264"/>
      </w:pPr>
      <w:r>
        <w:rPr>
          <w:rFonts w:ascii="Calibri" w:cs="Calibri" w:eastAsia="Calibri" w:hAnsi="Calibri"/>
          <w:b/>
          <w:bCs/>
          <w:color w:val="7B3F24"/>
          <w:sz w:val="19"/>
          <w:szCs w:val="19"/>
        </w:rPr>
        <w:t xml:space="preserve">6.  </w:t>
      </w:r>
      <w:r>
        <w:rPr>
          <w:rFonts w:ascii="Calibri" w:cs="Calibri" w:eastAsia="Calibri" w:hAnsi="Calibri"/>
          <w:b w:val="false"/>
          <w:bCs w:val="false"/>
          <w:color w:val="3A2E28"/>
          <w:sz w:val="19"/>
          <w:szCs w:val="19"/>
        </w:rPr>
        <w:t xml:space="preserve">Mass, Balance and the Weight Ladder</w:t>
      </w:r>
    </w:p>
    <w:p>
      <w:pPr>
        <w:spacing w:after="30" w:before="30" w:line="264"/>
      </w:pPr>
      <w:r>
        <w:rPr>
          <w:rFonts w:ascii="Calibri" w:cs="Calibri" w:eastAsia="Calibri" w:hAnsi="Calibri"/>
          <w:b/>
          <w:bCs/>
          <w:color w:val="7B3F24"/>
          <w:sz w:val="19"/>
          <w:szCs w:val="19"/>
        </w:rPr>
        <w:t xml:space="preserve">7.  </w:t>
      </w:r>
      <w:r>
        <w:rPr>
          <w:rFonts w:ascii="Calibri" w:cs="Calibri" w:eastAsia="Calibri" w:hAnsi="Calibri"/>
          <w:b w:val="false"/>
          <w:bCs w:val="false"/>
          <w:color w:val="3A2E28"/>
          <w:sz w:val="19"/>
          <w:szCs w:val="19"/>
        </w:rPr>
        <w:t xml:space="preserve">Power Extraction Architecture</w:t>
      </w:r>
    </w:p>
    <w:p>
      <w:pPr>
        <w:spacing w:after="30" w:before="30" w:line="264"/>
      </w:pPr>
      <w:r>
        <w:rPr>
          <w:rFonts w:ascii="Calibri" w:cs="Calibri" w:eastAsia="Calibri" w:hAnsi="Calibri"/>
          <w:b/>
          <w:bCs/>
          <w:color w:val="7B3F24"/>
          <w:sz w:val="19"/>
          <w:szCs w:val="19"/>
        </w:rPr>
        <w:t xml:space="preserve">8.  </w:t>
      </w:r>
      <w:r>
        <w:rPr>
          <w:rFonts w:ascii="Calibri" w:cs="Calibri" w:eastAsia="Calibri" w:hAnsi="Calibri"/>
          <w:b w:val="false"/>
          <w:bCs w:val="false"/>
          <w:color w:val="3A2E28"/>
          <w:sz w:val="19"/>
          <w:szCs w:val="19"/>
        </w:rPr>
        <w:t xml:space="preserve">Electrical System</w:t>
      </w:r>
    </w:p>
    <w:p>
      <w:pPr>
        <w:spacing w:after="30" w:before="30" w:line="264"/>
      </w:pPr>
      <w:r>
        <w:rPr>
          <w:rFonts w:ascii="Calibri" w:cs="Calibri" w:eastAsia="Calibri" w:hAnsi="Calibri"/>
          <w:b/>
          <w:bCs/>
          <w:color w:val="7B3F24"/>
          <w:sz w:val="19"/>
          <w:szCs w:val="19"/>
        </w:rPr>
        <w:t xml:space="preserve">9.  </w:t>
      </w:r>
      <w:r>
        <w:rPr>
          <w:rFonts w:ascii="Calibri" w:cs="Calibri" w:eastAsia="Calibri" w:hAnsi="Calibri"/>
          <w:b w:val="false"/>
          <w:bCs w:val="false"/>
          <w:color w:val="3A2E28"/>
          <w:sz w:val="19"/>
          <w:szCs w:val="19"/>
        </w:rPr>
        <w:t xml:space="preserve">Thermal Management</w:t>
      </w:r>
    </w:p>
    <w:p>
      <w:pPr>
        <w:spacing w:after="30" w:before="30" w:line="264"/>
      </w:pPr>
      <w:r>
        <w:rPr>
          <w:rFonts w:ascii="Calibri" w:cs="Calibri" w:eastAsia="Calibri" w:hAnsi="Calibri"/>
          <w:b/>
          <w:bCs/>
          <w:color w:val="7B3F24"/>
          <w:sz w:val="19"/>
          <w:szCs w:val="19"/>
        </w:rPr>
        <w:t xml:space="preserve">10.  </w:t>
      </w:r>
      <w:r>
        <w:rPr>
          <w:rFonts w:ascii="Calibri" w:cs="Calibri" w:eastAsia="Calibri" w:hAnsi="Calibri"/>
          <w:b w:val="false"/>
          <w:bCs w:val="false"/>
          <w:color w:val="3A2E28"/>
          <w:sz w:val="19"/>
          <w:szCs w:val="19"/>
        </w:rPr>
        <w:t xml:space="preserve">Structural Integration and the Belly Pod</w:t>
      </w:r>
    </w:p>
    <w:p>
      <w:pPr>
        <w:spacing w:after="30" w:before="150" w:line="264"/>
      </w:pPr>
      <w:r>
        <w:rPr>
          <w:rFonts w:ascii="Calibri" w:cs="Calibri" w:eastAsia="Calibri" w:hAnsi="Calibri"/>
          <w:b/>
          <w:bCs/>
          <w:color w:val="7B3F24"/>
          <w:sz w:val="19"/>
          <w:szCs w:val="19"/>
        </w:rPr>
        <w:t xml:space="preserve"/>
      </w:r>
      <w:r>
        <w:rPr>
          <w:rFonts w:ascii="Calibri" w:cs="Calibri" w:eastAsia="Calibri" w:hAnsi="Calibri"/>
          <w:b/>
          <w:bCs/>
          <w:color w:val="7B3F24"/>
          <w:sz w:val="19"/>
          <w:szCs w:val="19"/>
        </w:rPr>
        <w:t xml:space="preserve">PART III. TREATMENT SYSTEM</w:t>
      </w:r>
    </w:p>
    <w:p>
      <w:pPr>
        <w:spacing w:after="30" w:before="30" w:line="264"/>
      </w:pPr>
      <w:r>
        <w:rPr>
          <w:rFonts w:ascii="Calibri" w:cs="Calibri" w:eastAsia="Calibri" w:hAnsi="Calibri"/>
          <w:b/>
          <w:bCs/>
          <w:color w:val="7B3F24"/>
          <w:sz w:val="19"/>
          <w:szCs w:val="19"/>
        </w:rPr>
        <w:t xml:space="preserve">11.  </w:t>
      </w:r>
      <w:r>
        <w:rPr>
          <w:rFonts w:ascii="Calibri" w:cs="Calibri" w:eastAsia="Calibri" w:hAnsi="Calibri"/>
          <w:b w:val="false"/>
          <w:bCs w:val="false"/>
          <w:color w:val="3A2E28"/>
          <w:sz w:val="19"/>
          <w:szCs w:val="19"/>
        </w:rPr>
        <w:t xml:space="preserve">Laser Source Array</w:t>
      </w:r>
    </w:p>
    <w:p>
      <w:pPr>
        <w:spacing w:after="30" w:before="30" w:line="264"/>
      </w:pPr>
      <w:r>
        <w:rPr>
          <w:rFonts w:ascii="Calibri" w:cs="Calibri" w:eastAsia="Calibri" w:hAnsi="Calibri"/>
          <w:b/>
          <w:bCs/>
          <w:color w:val="7B3F24"/>
          <w:sz w:val="19"/>
          <w:szCs w:val="19"/>
        </w:rPr>
        <w:t xml:space="preserve">12.  </w:t>
      </w:r>
      <w:r>
        <w:rPr>
          <w:rFonts w:ascii="Calibri" w:cs="Calibri" w:eastAsia="Calibri" w:hAnsi="Calibri"/>
          <w:b w:val="false"/>
          <w:bCs w:val="false"/>
          <w:color w:val="3A2E28"/>
          <w:sz w:val="19"/>
          <w:szCs w:val="19"/>
        </w:rPr>
        <w:t xml:space="preserve">Wide-Area Scanning Head</w:t>
      </w:r>
    </w:p>
    <w:p>
      <w:pPr>
        <w:spacing w:after="30" w:before="30" w:line="264"/>
      </w:pPr>
      <w:r>
        <w:rPr>
          <w:rFonts w:ascii="Calibri" w:cs="Calibri" w:eastAsia="Calibri" w:hAnsi="Calibri"/>
          <w:b/>
          <w:bCs/>
          <w:color w:val="7B3F24"/>
          <w:sz w:val="19"/>
          <w:szCs w:val="19"/>
        </w:rPr>
        <w:t xml:space="preserve">13.  </w:t>
      </w:r>
      <w:r>
        <w:rPr>
          <w:rFonts w:ascii="Calibri" w:cs="Calibri" w:eastAsia="Calibri" w:hAnsi="Calibri"/>
          <w:b w:val="false"/>
          <w:bCs w:val="false"/>
          <w:color w:val="3A2E28"/>
          <w:sz w:val="19"/>
          <w:szCs w:val="19"/>
        </w:rPr>
        <w:t xml:space="preserve">Atmospheric Path and the Transmission Term</w:t>
      </w:r>
    </w:p>
    <w:p>
      <w:pPr>
        <w:spacing w:after="30" w:before="30" w:line="264"/>
      </w:pPr>
      <w:r>
        <w:rPr>
          <w:rFonts w:ascii="Calibri" w:cs="Calibri" w:eastAsia="Calibri" w:hAnsi="Calibri"/>
          <w:b/>
          <w:bCs/>
          <w:color w:val="7B3F24"/>
          <w:sz w:val="19"/>
          <w:szCs w:val="19"/>
        </w:rPr>
        <w:t xml:space="preserve">14.  </w:t>
      </w:r>
      <w:r>
        <w:rPr>
          <w:rFonts w:ascii="Calibri" w:cs="Calibri" w:eastAsia="Calibri" w:hAnsi="Calibri"/>
          <w:b w:val="false"/>
          <w:bCs w:val="false"/>
          <w:color w:val="3A2E28"/>
          <w:sz w:val="19"/>
          <w:szCs w:val="19"/>
        </w:rPr>
        <w:t xml:space="preserve">Treatment Logic and the Dose Budget</w:t>
      </w:r>
    </w:p>
    <w:p>
      <w:pPr>
        <w:spacing w:after="30" w:before="30" w:line="264"/>
      </w:pPr>
      <w:r>
        <w:rPr>
          <w:rFonts w:ascii="Calibri" w:cs="Calibri" w:eastAsia="Calibri" w:hAnsi="Calibri"/>
          <w:b/>
          <w:bCs/>
          <w:color w:val="7B3F24"/>
          <w:sz w:val="19"/>
          <w:szCs w:val="19"/>
        </w:rPr>
        <w:t xml:space="preserve">15.  </w:t>
      </w:r>
      <w:r>
        <w:rPr>
          <w:rFonts w:ascii="Calibri" w:cs="Calibri" w:eastAsia="Calibri" w:hAnsi="Calibri"/>
          <w:b w:val="false"/>
          <w:bCs w:val="false"/>
          <w:color w:val="3A2E28"/>
          <w:sz w:val="19"/>
          <w:szCs w:val="19"/>
        </w:rPr>
        <w:t xml:space="preserve">Sensing and Perception</w:t>
      </w:r>
    </w:p>
    <w:p>
      <w:pPr>
        <w:spacing w:after="30" w:before="30" w:line="264"/>
      </w:pPr>
      <w:r>
        <w:rPr>
          <w:rFonts w:ascii="Calibri" w:cs="Calibri" w:eastAsia="Calibri" w:hAnsi="Calibri"/>
          <w:b/>
          <w:bCs/>
          <w:color w:val="7B3F24"/>
          <w:sz w:val="19"/>
          <w:szCs w:val="19"/>
        </w:rPr>
        <w:t xml:space="preserve">16.  </w:t>
      </w:r>
      <w:r>
        <w:rPr>
          <w:rFonts w:ascii="Calibri" w:cs="Calibri" w:eastAsia="Calibri" w:hAnsi="Calibri"/>
          <w:b w:val="false"/>
          <w:bCs w:val="false"/>
          <w:color w:val="3A2E28"/>
          <w:sz w:val="19"/>
          <w:szCs w:val="19"/>
        </w:rPr>
        <w:t xml:space="preserve">Compute and Control</w:t>
      </w:r>
    </w:p>
    <w:p>
      <w:pPr>
        <w:spacing w:after="30" w:before="150" w:line="264"/>
      </w:pPr>
      <w:r>
        <w:rPr>
          <w:rFonts w:ascii="Calibri" w:cs="Calibri" w:eastAsia="Calibri" w:hAnsi="Calibri"/>
          <w:b/>
          <w:bCs/>
          <w:color w:val="7B3F24"/>
          <w:sz w:val="19"/>
          <w:szCs w:val="19"/>
        </w:rPr>
        <w:t xml:space="preserve"/>
      </w:r>
      <w:r>
        <w:rPr>
          <w:rFonts w:ascii="Calibri" w:cs="Calibri" w:eastAsia="Calibri" w:hAnsi="Calibri"/>
          <w:b/>
          <w:bCs/>
          <w:color w:val="7B3F24"/>
          <w:sz w:val="19"/>
          <w:szCs w:val="19"/>
        </w:rPr>
        <w:t xml:space="preserve">PART IV. OPERATIONS AND SAFETY</w:t>
      </w:r>
    </w:p>
    <w:p>
      <w:pPr>
        <w:spacing w:after="30" w:before="30" w:line="264"/>
      </w:pPr>
      <w:r>
        <w:rPr>
          <w:rFonts w:ascii="Calibri" w:cs="Calibri" w:eastAsia="Calibri" w:hAnsi="Calibri"/>
          <w:b/>
          <w:bCs/>
          <w:color w:val="7B3F24"/>
          <w:sz w:val="19"/>
          <w:szCs w:val="19"/>
        </w:rPr>
        <w:t xml:space="preserve">17.  </w:t>
      </w:r>
      <w:r>
        <w:rPr>
          <w:rFonts w:ascii="Calibri" w:cs="Calibri" w:eastAsia="Calibri" w:hAnsi="Calibri"/>
          <w:b w:val="false"/>
          <w:bCs w:val="false"/>
          <w:color w:val="3A2E28"/>
          <w:sz w:val="19"/>
          <w:szCs w:val="19"/>
        </w:rPr>
        <w:t xml:space="preserve">Mission Profile and Endurance</w:t>
      </w:r>
    </w:p>
    <w:p>
      <w:pPr>
        <w:spacing w:after="30" w:before="30" w:line="264"/>
      </w:pPr>
      <w:r>
        <w:rPr>
          <w:rFonts w:ascii="Calibri" w:cs="Calibri" w:eastAsia="Calibri" w:hAnsi="Calibri"/>
          <w:b/>
          <w:bCs/>
          <w:color w:val="7B3F24"/>
          <w:sz w:val="19"/>
          <w:szCs w:val="19"/>
        </w:rPr>
        <w:t xml:space="preserve">18.  </w:t>
      </w:r>
      <w:r>
        <w:rPr>
          <w:rFonts w:ascii="Calibri" w:cs="Calibri" w:eastAsia="Calibri" w:hAnsi="Calibri"/>
          <w:b w:val="false"/>
          <w:bCs w:val="false"/>
          <w:color w:val="3A2E28"/>
          <w:sz w:val="19"/>
          <w:szCs w:val="19"/>
        </w:rPr>
        <w:t xml:space="preserve">Crew Station and Workload</w:t>
      </w:r>
    </w:p>
    <w:p>
      <w:pPr>
        <w:spacing w:after="30" w:before="30" w:line="264"/>
      </w:pPr>
      <w:r>
        <w:rPr>
          <w:rFonts w:ascii="Calibri" w:cs="Calibri" w:eastAsia="Calibri" w:hAnsi="Calibri"/>
          <w:b/>
          <w:bCs/>
          <w:color w:val="7B3F24"/>
          <w:sz w:val="19"/>
          <w:szCs w:val="19"/>
        </w:rPr>
        <w:t xml:space="preserve">19.  </w:t>
      </w:r>
      <w:r>
        <w:rPr>
          <w:rFonts w:ascii="Calibri" w:cs="Calibri" w:eastAsia="Calibri" w:hAnsi="Calibri"/>
          <w:b w:val="false"/>
          <w:bCs w:val="false"/>
          <w:color w:val="3A2E28"/>
          <w:sz w:val="19"/>
          <w:szCs w:val="19"/>
        </w:rPr>
        <w:t xml:space="preserve">Safety Architecture</w:t>
      </w:r>
    </w:p>
    <w:p>
      <w:pPr>
        <w:spacing w:after="30" w:before="30" w:line="264"/>
      </w:pPr>
      <w:r>
        <w:rPr>
          <w:rFonts w:ascii="Calibri" w:cs="Calibri" w:eastAsia="Calibri" w:hAnsi="Calibri"/>
          <w:b/>
          <w:bCs/>
          <w:color w:val="7B3F24"/>
          <w:sz w:val="19"/>
          <w:szCs w:val="19"/>
        </w:rPr>
        <w:t xml:space="preserve">20.  </w:t>
      </w:r>
      <w:r>
        <w:rPr>
          <w:rFonts w:ascii="Calibri" w:cs="Calibri" w:eastAsia="Calibri" w:hAnsi="Calibri"/>
          <w:b w:val="false"/>
          <w:bCs w:val="false"/>
          <w:color w:val="3A2E28"/>
          <w:sz w:val="19"/>
          <w:szCs w:val="19"/>
        </w:rPr>
        <w:t xml:space="preserve">Laser Hazard Analysis and the Exclusion Zone</w:t>
      </w:r>
    </w:p>
    <w:p>
      <w:pPr>
        <w:spacing w:after="30" w:before="30" w:line="264"/>
      </w:pPr>
      <w:r>
        <w:rPr>
          <w:rFonts w:ascii="Calibri" w:cs="Calibri" w:eastAsia="Calibri" w:hAnsi="Calibri"/>
          <w:b/>
          <w:bCs/>
          <w:color w:val="7B3F24"/>
          <w:sz w:val="19"/>
          <w:szCs w:val="19"/>
        </w:rPr>
        <w:t xml:space="preserve">21.  </w:t>
      </w:r>
      <w:r>
        <w:rPr>
          <w:rFonts w:ascii="Calibri" w:cs="Calibri" w:eastAsia="Calibri" w:hAnsi="Calibri"/>
          <w:b w:val="false"/>
          <w:bCs w:val="false"/>
          <w:color w:val="3A2E28"/>
          <w:sz w:val="19"/>
          <w:szCs w:val="19"/>
        </w:rPr>
        <w:t xml:space="preserve">Downwash and Ember Management</w:t>
      </w:r>
    </w:p>
    <w:p>
      <w:pPr>
        <w:spacing w:after="30" w:before="30" w:line="264"/>
      </w:pPr>
      <w:r>
        <w:rPr>
          <w:rFonts w:ascii="Calibri" w:cs="Calibri" w:eastAsia="Calibri" w:hAnsi="Calibri"/>
          <w:b/>
          <w:bCs/>
          <w:color w:val="7B3F24"/>
          <w:sz w:val="19"/>
          <w:szCs w:val="19"/>
        </w:rPr>
        <w:t xml:space="preserve">22.  </w:t>
      </w:r>
      <w:r>
        <w:rPr>
          <w:rFonts w:ascii="Calibri" w:cs="Calibri" w:eastAsia="Calibri" w:hAnsi="Calibri"/>
          <w:b w:val="false"/>
          <w:bCs w:val="false"/>
          <w:color w:val="3A2E28"/>
          <w:sz w:val="19"/>
          <w:szCs w:val="19"/>
        </w:rPr>
        <w:t xml:space="preserve">Failure Modes and Effects</w:t>
      </w:r>
    </w:p>
    <w:p>
      <w:pPr>
        <w:spacing w:after="30" w:before="150" w:line="264"/>
      </w:pPr>
      <w:r>
        <w:rPr>
          <w:rFonts w:ascii="Calibri" w:cs="Calibri" w:eastAsia="Calibri" w:hAnsi="Calibri"/>
          <w:b/>
          <w:bCs/>
          <w:color w:val="7B3F24"/>
          <w:sz w:val="19"/>
          <w:szCs w:val="19"/>
        </w:rPr>
        <w:t xml:space="preserve"/>
      </w:r>
      <w:r>
        <w:rPr>
          <w:rFonts w:ascii="Calibri" w:cs="Calibri" w:eastAsia="Calibri" w:hAnsi="Calibri"/>
          <w:b/>
          <w:bCs/>
          <w:color w:val="7B3F24"/>
          <w:sz w:val="19"/>
          <w:szCs w:val="19"/>
        </w:rPr>
        <w:t xml:space="preserve">PART V. PROGRAM</w:t>
      </w:r>
    </w:p>
    <w:p>
      <w:pPr>
        <w:spacing w:after="30" w:before="30" w:line="264"/>
      </w:pPr>
      <w:r>
        <w:rPr>
          <w:rFonts w:ascii="Calibri" w:cs="Calibri" w:eastAsia="Calibri" w:hAnsi="Calibri"/>
          <w:b/>
          <w:bCs/>
          <w:color w:val="7B3F24"/>
          <w:sz w:val="19"/>
          <w:szCs w:val="19"/>
        </w:rPr>
        <w:t xml:space="preserve">23.  </w:t>
      </w:r>
      <w:r>
        <w:rPr>
          <w:rFonts w:ascii="Calibri" w:cs="Calibri" w:eastAsia="Calibri" w:hAnsi="Calibri"/>
          <w:b w:val="false"/>
          <w:bCs w:val="false"/>
          <w:color w:val="3A2E28"/>
          <w:sz w:val="19"/>
          <w:szCs w:val="19"/>
        </w:rPr>
        <w:t xml:space="preserve">Consolidated Bill of Materials</w:t>
      </w:r>
    </w:p>
    <w:p>
      <w:pPr>
        <w:spacing w:after="30" w:before="30" w:line="264"/>
      </w:pPr>
      <w:r>
        <w:rPr>
          <w:rFonts w:ascii="Calibri" w:cs="Calibri" w:eastAsia="Calibri" w:hAnsi="Calibri"/>
          <w:b/>
          <w:bCs/>
          <w:color w:val="7B3F24"/>
          <w:sz w:val="19"/>
          <w:szCs w:val="19"/>
        </w:rPr>
        <w:t xml:space="preserve">24.  </w:t>
      </w:r>
      <w:r>
        <w:rPr>
          <w:rFonts w:ascii="Calibri" w:cs="Calibri" w:eastAsia="Calibri" w:hAnsi="Calibri"/>
          <w:b w:val="false"/>
          <w:bCs w:val="false"/>
          <w:color w:val="3A2E28"/>
          <w:sz w:val="19"/>
          <w:szCs w:val="19"/>
        </w:rPr>
        <w:t xml:space="preserve">Cost Summary</w:t>
      </w:r>
    </w:p>
    <w:p>
      <w:pPr>
        <w:spacing w:after="30" w:before="30" w:line="264"/>
      </w:pPr>
      <w:r>
        <w:rPr>
          <w:rFonts w:ascii="Calibri" w:cs="Calibri" w:eastAsia="Calibri" w:hAnsi="Calibri"/>
          <w:b/>
          <w:bCs/>
          <w:color w:val="7B3F24"/>
          <w:sz w:val="19"/>
          <w:szCs w:val="19"/>
        </w:rPr>
        <w:t xml:space="preserve">25.  </w:t>
      </w:r>
      <w:r>
        <w:rPr>
          <w:rFonts w:ascii="Calibri" w:cs="Calibri" w:eastAsia="Calibri" w:hAnsi="Calibri"/>
          <w:b w:val="false"/>
          <w:bCs w:val="false"/>
          <w:color w:val="3A2E28"/>
          <w:sz w:val="19"/>
          <w:szCs w:val="19"/>
        </w:rPr>
        <w:t xml:space="preserve">Operational Economics</w:t>
      </w:r>
    </w:p>
    <w:p>
      <w:pPr>
        <w:spacing w:after="30" w:before="30" w:line="264"/>
      </w:pPr>
      <w:r>
        <w:rPr>
          <w:rFonts w:ascii="Calibri" w:cs="Calibri" w:eastAsia="Calibri" w:hAnsi="Calibri"/>
          <w:b/>
          <w:bCs/>
          <w:color w:val="7B3F24"/>
          <w:sz w:val="19"/>
          <w:szCs w:val="19"/>
        </w:rPr>
        <w:t xml:space="preserve">26.  </w:t>
      </w:r>
      <w:r>
        <w:rPr>
          <w:rFonts w:ascii="Calibri" w:cs="Calibri" w:eastAsia="Calibri" w:hAnsi="Calibri"/>
          <w:b w:val="false"/>
          <w:bCs w:val="false"/>
          <w:color w:val="3A2E28"/>
          <w:sz w:val="19"/>
          <w:szCs w:val="19"/>
        </w:rPr>
        <w:t xml:space="preserve">Position in the Contra Favillas Family</w:t>
      </w:r>
    </w:p>
    <w:p>
      <w:pPr>
        <w:spacing w:after="30" w:before="30" w:line="264"/>
      </w:pPr>
      <w:r>
        <w:rPr>
          <w:rFonts w:ascii="Calibri" w:cs="Calibri" w:eastAsia="Calibri" w:hAnsi="Calibri"/>
          <w:b/>
          <w:bCs/>
          <w:color w:val="7B3F24"/>
          <w:sz w:val="19"/>
          <w:szCs w:val="19"/>
        </w:rPr>
        <w:t xml:space="preserve">27.  </w:t>
      </w:r>
      <w:r>
        <w:rPr>
          <w:rFonts w:ascii="Calibri" w:cs="Calibri" w:eastAsia="Calibri" w:hAnsi="Calibri"/>
          <w:b w:val="false"/>
          <w:bCs w:val="false"/>
          <w:color w:val="3A2E28"/>
          <w:sz w:val="19"/>
          <w:szCs w:val="19"/>
        </w:rPr>
        <w:t xml:space="preserve">Regulatory Pathway: the Supplemental Type Certificate Route</w:t>
      </w:r>
    </w:p>
    <w:p>
      <w:pPr>
        <w:spacing w:after="30" w:before="30" w:line="264"/>
      </w:pPr>
      <w:r>
        <w:rPr>
          <w:rFonts w:ascii="Calibri" w:cs="Calibri" w:eastAsia="Calibri" w:hAnsi="Calibri"/>
          <w:b/>
          <w:bCs/>
          <w:color w:val="7B3F24"/>
          <w:sz w:val="19"/>
          <w:szCs w:val="19"/>
        </w:rPr>
        <w:t xml:space="preserve">28.  </w:t>
      </w:r>
      <w:r>
        <w:rPr>
          <w:rFonts w:ascii="Calibri" w:cs="Calibri" w:eastAsia="Calibri" w:hAnsi="Calibri"/>
          <w:b w:val="false"/>
          <w:bCs w:val="false"/>
          <w:color w:val="3A2E28"/>
          <w:sz w:val="19"/>
          <w:szCs w:val="19"/>
        </w:rPr>
        <w:t xml:space="preserve">Test and Validation Program</w:t>
      </w:r>
    </w:p>
    <w:p>
      <w:pPr>
        <w:spacing w:after="30" w:before="30" w:line="264"/>
      </w:pPr>
      <w:r>
        <w:rPr>
          <w:rFonts w:ascii="Calibri" w:cs="Calibri" w:eastAsia="Calibri" w:hAnsi="Calibri"/>
          <w:b/>
          <w:bCs/>
          <w:color w:val="7B3F24"/>
          <w:sz w:val="19"/>
          <w:szCs w:val="19"/>
        </w:rPr>
        <w:t xml:space="preserve">29.  </w:t>
      </w:r>
      <w:r>
        <w:rPr>
          <w:rFonts w:ascii="Calibri" w:cs="Calibri" w:eastAsia="Calibri" w:hAnsi="Calibri"/>
          <w:b w:val="false"/>
          <w:bCs w:val="false"/>
          <w:color w:val="3A2E28"/>
          <w:sz w:val="19"/>
          <w:szCs w:val="19"/>
        </w:rPr>
        <w:t xml:space="preserve">Risks and Mitigations</w:t>
      </w:r>
    </w:p>
    <w:p>
      <w:pPr>
        <w:spacing w:after="30" w:before="30" w:line="264"/>
      </w:pPr>
      <w:r>
        <w:rPr>
          <w:rFonts w:ascii="Calibri" w:cs="Calibri" w:eastAsia="Calibri" w:hAnsi="Calibri"/>
          <w:b/>
          <w:bCs/>
          <w:color w:val="7B3F24"/>
          <w:sz w:val="19"/>
          <w:szCs w:val="19"/>
        </w:rPr>
        <w:t xml:space="preserve">30.  </w:t>
      </w:r>
      <w:r>
        <w:rPr>
          <w:rFonts w:ascii="Calibri" w:cs="Calibri" w:eastAsia="Calibri" w:hAnsi="Calibri"/>
          <w:b w:val="false"/>
          <w:bCs w:val="false"/>
          <w:color w:val="3A2E28"/>
          <w:sz w:val="19"/>
          <w:szCs w:val="19"/>
        </w:rPr>
        <w:t xml:space="preserve">Growth Path and Open Questions</w:t>
      </w:r>
    </w:p>
    <w:p>
      <w:pPr>
        <w:spacing w:after="30" w:before="150" w:line="264"/>
      </w:pPr>
      <w:r>
        <w:rPr>
          <w:rFonts w:ascii="Calibri" w:cs="Calibri" w:eastAsia="Calibri" w:hAnsi="Calibri"/>
          <w:b/>
          <w:bCs/>
          <w:color w:val="7B3F24"/>
          <w:sz w:val="19"/>
          <w:szCs w:val="19"/>
        </w:rPr>
        <w:t xml:space="preserve"/>
      </w:r>
      <w:r>
        <w:rPr>
          <w:rFonts w:ascii="Calibri" w:cs="Calibri" w:eastAsia="Calibri" w:hAnsi="Calibri"/>
          <w:b/>
          <w:bCs/>
          <w:color w:val="7B3F24"/>
          <w:sz w:val="19"/>
          <w:szCs w:val="19"/>
        </w:rPr>
        <w:t xml:space="preserve">APPENDICES</w:t>
      </w:r>
    </w:p>
    <w:p>
      <w:pPr>
        <w:spacing w:after="30" w:before="30" w:line="264"/>
      </w:pPr>
      <w:r>
        <w:rPr>
          <w:rFonts w:ascii="Calibri" w:cs="Calibri" w:eastAsia="Calibri" w:hAnsi="Calibri"/>
          <w:b/>
          <w:bCs/>
          <w:color w:val="7B3F24"/>
          <w:sz w:val="19"/>
          <w:szCs w:val="19"/>
        </w:rPr>
        <w:t xml:space="preserve">A.  </w:t>
      </w:r>
      <w:r>
        <w:rPr>
          <w:rFonts w:ascii="Calibri" w:cs="Calibri" w:eastAsia="Calibri" w:hAnsi="Calibri"/>
          <w:b w:val="false"/>
          <w:bCs w:val="false"/>
          <w:color w:val="3A2E28"/>
          <w:sz w:val="19"/>
          <w:szCs w:val="19"/>
        </w:rPr>
        <w:t xml:space="preserve">Appendix A: Pricing and Sourcing Notes</w:t>
      </w:r>
    </w:p>
    <w:p>
      <w:pPr>
        <w:spacing w:after="30" w:before="30" w:line="264"/>
      </w:pPr>
      <w:r>
        <w:rPr>
          <w:rFonts w:ascii="Calibri" w:cs="Calibri" w:eastAsia="Calibri" w:hAnsi="Calibri"/>
          <w:b/>
          <w:bCs/>
          <w:color w:val="7B3F24"/>
          <w:sz w:val="19"/>
          <w:szCs w:val="19"/>
        </w:rPr>
        <w:t xml:space="preserve">B.  </w:t>
      </w:r>
      <w:r>
        <w:rPr>
          <w:rFonts w:ascii="Calibri" w:cs="Calibri" w:eastAsia="Calibri" w:hAnsi="Calibri"/>
          <w:b w:val="false"/>
          <w:bCs w:val="false"/>
          <w:color w:val="3A2E28"/>
          <w:sz w:val="19"/>
          <w:szCs w:val="19"/>
        </w:rPr>
        <w:t xml:space="preserve">Appendix B: Symbols, Constants and Standing Assumptions</w:t>
      </w:r>
    </w:p>
    <w:p>
      <w:pPr>
        <w:spacing w:after="30" w:before="30" w:line="264"/>
      </w:pPr>
      <w:r>
        <w:rPr>
          <w:rFonts w:ascii="Calibri" w:cs="Calibri" w:eastAsia="Calibri" w:hAnsi="Calibri"/>
          <w:b/>
          <w:bCs/>
          <w:color w:val="7B3F24"/>
          <w:sz w:val="19"/>
          <w:szCs w:val="19"/>
        </w:rPr>
        <w:t xml:space="preserve">C.  </w:t>
      </w:r>
      <w:r>
        <w:rPr>
          <w:rFonts w:ascii="Calibri" w:cs="Calibri" w:eastAsia="Calibri" w:hAnsi="Calibri"/>
          <w:b w:val="false"/>
          <w:bCs w:val="false"/>
          <w:color w:val="3A2E28"/>
          <w:sz w:val="19"/>
          <w:szCs w:val="19"/>
        </w:rPr>
        <w:t xml:space="preserve">Appendix C: Worked Calculations</w:t>
      </w:r>
    </w:p>
    <w:p>
      <w:pPr>
        <w:spacing w:after="30" w:before="30" w:line="264"/>
      </w:pPr>
      <w:r>
        <w:rPr>
          <w:rFonts w:ascii="Calibri" w:cs="Calibri" w:eastAsia="Calibri" w:hAnsi="Calibri"/>
          <w:b/>
          <w:bCs/>
          <w:color w:val="7B3F24"/>
          <w:sz w:val="19"/>
          <w:szCs w:val="19"/>
        </w:rPr>
        <w:t xml:space="preserve">D.  </w:t>
      </w:r>
      <w:r>
        <w:rPr>
          <w:rFonts w:ascii="Calibri" w:cs="Calibri" w:eastAsia="Calibri" w:hAnsi="Calibri"/>
          <w:b w:val="false"/>
          <w:bCs w:val="false"/>
          <w:color w:val="3A2E28"/>
          <w:sz w:val="19"/>
          <w:szCs w:val="19"/>
        </w:rPr>
        <w:t xml:space="preserve">Appendix D: Design Basis and Inherited Corrections</w:t>
      </w:r>
    </w:p>
    <w:p>
      <w:pPr>
        <w:spacing w:after="30" w:before="30" w:line="264"/>
      </w:pPr>
      <w:r>
        <w:rPr>
          <w:rFonts w:ascii="Calibri" w:cs="Calibri" w:eastAsia="Calibri" w:hAnsi="Calibri"/>
          <w:b/>
          <w:bCs/>
          <w:color w:val="7B3F24"/>
          <w:sz w:val="19"/>
          <w:szCs w:val="19"/>
        </w:rPr>
        <w:t xml:space="preserve">E.  </w:t>
      </w:r>
      <w:r>
        <w:rPr>
          <w:rFonts w:ascii="Calibri" w:cs="Calibri" w:eastAsia="Calibri" w:hAnsi="Calibri"/>
          <w:b w:val="false"/>
          <w:bCs w:val="false"/>
          <w:color w:val="3A2E28"/>
          <w:sz w:val="19"/>
          <w:szCs w:val="19"/>
        </w:rPr>
        <w:t xml:space="preserve">Appendix E: Certification Compliance Document Register</w:t>
      </w:r>
    </w:p>
    <w:p>
      <w:pPr>
        <w:spacing w:after="30" w:before="30" w:line="264"/>
      </w:pPr>
      <w:r>
        <w:rPr>
          <w:rFonts w:ascii="Calibri" w:cs="Calibri" w:eastAsia="Calibri" w:hAnsi="Calibri"/>
          <w:b/>
          <w:bCs/>
          <w:color w:val="7B3F24"/>
          <w:sz w:val="19"/>
          <w:szCs w:val="19"/>
        </w:rPr>
        <w:t xml:space="preserve">F.  </w:t>
      </w:r>
      <w:r>
        <w:rPr>
          <w:rFonts w:ascii="Calibri" w:cs="Calibri" w:eastAsia="Calibri" w:hAnsi="Calibri"/>
          <w:b w:val="false"/>
          <w:bCs w:val="false"/>
          <w:color w:val="3A2E28"/>
          <w:sz w:val="19"/>
          <w:szCs w:val="19"/>
        </w:rPr>
        <w:t xml:space="preserve">Appendix F: Family Comparison Data</w:t>
      </w:r>
    </w:p>
    <w:p>
      <w:r>
        <w:br w:type="page"/>
      </w:r>
    </w:p>
    <w:p>
      <w:pPr>
        <w:spacing w:after="200" w:before="2400"/>
        <w:jc w:val="center"/>
      </w:pPr>
      <w:r>
        <w:rPr>
          <w:rFonts w:ascii="Calibri" w:cs="Calibri" w:eastAsia="Calibri" w:hAnsi="Calibri"/>
          <w:b/>
          <w:bCs/>
          <w:color w:val="8C7A6B"/>
          <w:sz w:val="34"/>
          <w:szCs w:val="34"/>
        </w:rPr>
        <w:t xml:space="preserve">PART I</w:t>
      </w:r>
    </w:p>
    <w:p>
      <w:pPr>
        <w:spacing w:after="0"/>
        <w:jc w:val="center"/>
      </w:pPr>
      <w:r>
        <w:rPr>
          <w:rFonts w:ascii="Calibri" w:cs="Calibri" w:eastAsia="Calibri" w:hAnsi="Calibri"/>
          <w:b/>
          <w:bCs/>
          <w:color w:val="7B3F24"/>
          <w:sz w:val="44"/>
          <w:szCs w:val="44"/>
        </w:rPr>
        <w:t xml:space="preserve">BASIS OF DESIGN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 Overview and Design Intent</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specifies the installation of the Contra Favillas laser carbonization system on a Bell 407GXi light single helicopter. It is a new document rather than a revision, because almost nothing about the E6 aerial variant survives the change of host aircraft except the treatment physics, and that physics is the part worth carrying across.</w:t>
      </w:r>
    </w:p>
    <w:p>
      <w:pPr>
        <w:spacing w:after="120" w:before="60" w:line="276"/>
        <w:jc w:val="left"/>
      </w:pPr>
      <w:r>
        <w:rPr>
          <w:rFonts w:ascii="Calibri" w:cs="Calibri" w:eastAsia="Calibri" w:hAnsi="Calibri"/>
          <w:b w:val="false"/>
          <w:bCs w:val="false"/>
          <w:i w:val="false"/>
          <w:iCs w:val="false"/>
          <w:color w:val="3A2E28"/>
          <w:sz w:val="20"/>
          <w:szCs w:val="20"/>
        </w:rPr>
        <w:t xml:space="preserve">The design intent is one sentence: produce a fuel break of useful width in a single pass, on a certified airframe that fire agencies already operate. Every choice in this document follows from that sentence, and the two halves of it pull in different directions often enough that the trade appears in almost every section.</w:t>
      </w:r>
    </w:p>
    <w:p>
      <w:pPr>
        <w:pStyle w:val="Heading2"/>
        <w:spacing w:after="110" w:before="240"/>
      </w:pPr>
      <w:r>
        <w:rPr>
          <w:rFonts w:ascii="Calibri" w:cs="Calibri" w:eastAsia="Calibri" w:hAnsi="Calibri"/>
          <w:b/>
          <w:bCs/>
          <w:color w:val="3A2E28"/>
          <w:sz w:val="24"/>
          <w:szCs w:val="24"/>
        </w:rPr>
        <w:t xml:space="preserve">1.1 What Changes and What Does Not</w:t>
      </w:r>
    </w:p>
    <w:p>
      <w:pPr>
        <w:spacing w:after="120" w:before="60" w:line="276"/>
        <w:jc w:val="left"/>
      </w:pPr>
      <w:r>
        <w:rPr>
          <w:rFonts w:ascii="Calibri" w:cs="Calibri" w:eastAsia="Calibri" w:hAnsi="Calibri"/>
          <w:b w:val="false"/>
          <w:bCs w:val="false"/>
          <w:i w:val="false"/>
          <w:iCs w:val="false"/>
          <w:color w:val="3A2E28"/>
          <w:sz w:val="20"/>
          <w:szCs w:val="20"/>
        </w:rPr>
        <w:t xml:space="preserve">The treatment physics carries across unchanged. Process energy demand stands at 432.1 kJ/m2 for the reference fuel bed at 8 percent moisture content, derived in Contra Favillas Aerial v1.5 Section 9 and unaltered here. The surface energy balance that governs whether a delivered irradiance reaches pyrolysis temperature carries across, and correction C-16 of Aerial v1.6 applies with equal force to this installation. The scanned high-irradiance architecture carries across, because the reason for it is thermodynamic rather than platform-specific.</w:t>
      </w:r>
    </w:p>
    <w:p>
      <w:pPr>
        <w:spacing w:after="120" w:before="60" w:line="276"/>
        <w:jc w:val="left"/>
      </w:pPr>
      <w:r>
        <w:rPr>
          <w:rFonts w:ascii="Calibri" w:cs="Calibri" w:eastAsia="Calibri" w:hAnsi="Calibri"/>
          <w:b w:val="false"/>
          <w:bCs w:val="false"/>
          <w:i w:val="false"/>
          <w:iCs w:val="false"/>
          <w:color w:val="3A2E28"/>
          <w:sz w:val="20"/>
          <w:szCs w:val="20"/>
        </w:rPr>
        <w:t xml:space="preserve">Everything else changes. The E6 is a purpose-built 1,000 kg unmanned multirotor with eight electric rotors, two piston engines, and six hours of endurance, and it holds station 4.0 m above a 2.80 m corridor. The Bell variant is a 2,381 kg certified turbine helicopter with a single main rotor, a pilot, a system operator, and under two hours on station, and it holds station 20 m above a 14.0 m swath. The E6 is endurance-limited. The Bell variant is transmission-limited. That single difference reorganises the entire design.</w:t>
      </w:r>
    </w:p>
    <w:p>
      <w:pPr>
        <w:pStyle w:val="Heading2"/>
        <w:spacing w:after="110" w:before="240"/>
      </w:pPr>
      <w:r>
        <w:rPr>
          <w:rFonts w:ascii="Calibri" w:cs="Calibri" w:eastAsia="Calibri" w:hAnsi="Calibri"/>
          <w:b/>
          <w:bCs/>
          <w:color w:val="3A2E28"/>
          <w:sz w:val="24"/>
          <w:szCs w:val="24"/>
        </w:rPr>
        <w:t xml:space="preserve">1.2 The Headline Result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2050"/>
        <w:gridCol w:w="2050"/>
        <w:gridCol w:w="25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Quantity</w:t>
            </w:r>
          </w:p>
        </w:tc>
        <w:tc>
          <w:tcPr>
            <w:tcW w:type="dxa" w:w="20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E6 Aerial v1.6 A</w:t>
            </w:r>
          </w:p>
        </w:tc>
        <w:tc>
          <w:tcPr>
            <w:tcW w:type="dxa" w:w="205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Bell Variant v1.0</w:t>
            </w:r>
          </w:p>
        </w:tc>
        <w:tc>
          <w:tcPr>
            <w:tcW w:type="dxa" w:w="2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Ratio and note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Installed optical power</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kW</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26.0 kW</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Treated swath, one pass</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2.80 m</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 m</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5.0x; a usable fuel break in one pass</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Standoff</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m</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 m</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Reduces the downwash and ember exposure per unit area</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Area treatment rate</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12.59 m2/h</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104.5 m2/h</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8.3x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On-station time</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4.24 h</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1.97 h</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0.47x; the turbine is thirsty and the tanks are small</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Area per sortie</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53.4 m2</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206 m2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3.9x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Area per operating day</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 m2</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806 m2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6.4x; short cycles suit a helicopter</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Capital per aircraft</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797,302 CAD</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8,397,283 CAD</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10.5x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per treated hectare</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557,800 CAD</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281,434 CAD</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1.98x cheaper</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Nominal ocular hazard distance</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68 m</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990 m</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14.6x; the dominant new constraint</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Regulatory instrument</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SFOC plus first-of-type airworthiness</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Supplemental type certificate</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trodden path rather than a negotiated one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Approval timeline</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 months</w:t>
            </w:r>
          </w:p>
        </w:tc>
        <w:tc>
          <w:tcPr>
            <w:tcW w:type="dxa" w:w="205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24 months</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27 states the sequence</w:t>
            </w:r>
          </w:p>
        </w:tc>
      </w:tr>
    </w:tbl>
    <w:p>
      <w:pPr>
        <w:spacing w:after="200" w:before="60"/>
      </w:pPr>
      <w:r>
        <w:rPr>
          <w:rFonts w:ascii="Calibri" w:cs="Calibri" w:eastAsia="Calibri" w:hAnsi="Calibri"/>
          <w:i/>
          <w:iCs/>
          <w:color w:val="6B5A4E"/>
          <w:sz w:val="17"/>
          <w:szCs w:val="17"/>
        </w:rPr>
        <w:t xml:space="preserve">Table 1: The Bell variant against the E6 aerial variant. The swath, the area rate and the regulatory pathway all improve substantially. On-station time halves, the hazard distance rises by more than an order of magnitude, and cost per hectare improves by a factor of two rather than a factor of ten.</w:t>
      </w:r>
    </w:p>
    <w:p>
      <w:pPr>
        <w:spacing w:after="120" w:before="60" w:line="276"/>
        <w:jc w:val="left"/>
      </w:pPr>
      <w:r>
        <w:rPr>
          <w:rFonts w:ascii="Calibri" w:cs="Calibri" w:eastAsia="Calibri" w:hAnsi="Calibri"/>
          <w:b w:val="false"/>
          <w:bCs w:val="false"/>
          <w:i w:val="false"/>
          <w:iCs w:val="false"/>
          <w:color w:val="3A2E28"/>
          <w:sz w:val="20"/>
          <w:szCs w:val="20"/>
        </w:rPr>
        <w:t xml:space="preserve">Two of those rows deserve early emphasis because they set expectations for the rest of the document. The first is that cost per treated hectare improves by a factor of 1.98, not by a factor of ten. A helicopter is roughly ten times the machine, and it delivers roughly 6.4 times the daily output, but it also costs roughly five times as much to own and operate. The improvement is real and it is worth having, and it is not transformative. Section 25 states this without softening.</w:t>
      </w:r>
    </w:p>
    <w:p>
      <w:pPr>
        <w:spacing w:after="120" w:before="60" w:line="276"/>
        <w:jc w:val="left"/>
      </w:pPr>
      <w:r>
        <w:rPr>
          <w:rFonts w:ascii="Calibri" w:cs="Calibri" w:eastAsia="Calibri" w:hAnsi="Calibri"/>
          <w:b w:val="false"/>
          <w:bCs w:val="false"/>
          <w:i w:val="false"/>
          <w:iCs w:val="false"/>
          <w:color w:val="3A2E28"/>
          <w:sz w:val="20"/>
          <w:szCs w:val="20"/>
        </w:rPr>
        <w:t xml:space="preserve">The second is that nominal ocular hazard distance rises from 68 m to 990 m. That is not principally a consequence of higher power. It is a consequence of better collimation at longer standoff, and Section 20 derives it. The operational exclusion radius rises from 150 m to 1,200 m, and that single number constrains where this aircraft works more than any other figure in this document.</w:t>
      </w:r>
    </w:p>
    <w:p>
      <w:pPr>
        <w:pStyle w:val="Heading2"/>
        <w:spacing w:after="110" w:before="240"/>
      </w:pPr>
      <w:r>
        <w:rPr>
          <w:rFonts w:ascii="Calibri" w:cs="Calibri" w:eastAsia="Calibri" w:hAnsi="Calibri"/>
          <w:b/>
          <w:bCs/>
          <w:color w:val="3A2E28"/>
          <w:sz w:val="24"/>
          <w:szCs w:val="24"/>
        </w:rPr>
        <w:t xml:space="preserve">1.3 Design Decisions</w:t>
      </w:r>
    </w:p>
    <w:p>
      <w:pPr>
        <w:spacing w:after="120" w:before="60" w:line="276"/>
        <w:jc w:val="left"/>
      </w:pPr>
      <w:r>
        <w:rPr>
          <w:rFonts w:ascii="Calibri" w:cs="Calibri" w:eastAsia="Calibri" w:hAnsi="Calibri"/>
          <w:b w:val="false"/>
          <w:bCs w:val="false"/>
          <w:i w:val="false"/>
          <w:iCs w:val="false"/>
          <w:color w:val="3A2E28"/>
          <w:sz w:val="20"/>
          <w:szCs w:val="20"/>
        </w:rPr>
        <w:t xml:space="preserve">Certified airframe over purpose-built platform: the Bell 407 holds a type certificate, roughly 1,600 airframes fly worldwide, fire agencies contract them routinely, and a large trained pilot and maintenance population exists. A modification to a certified aircraft proceeds by supplemental type certificate, which is a well-trodden regulatory path with published expectations, against the first-of-type airworthiness negotiation the E6 requires. Section 2 makes this argument in full because it is the strongest argument in the document.</w:t>
      </w:r>
    </w:p>
    <w:p>
      <w:pPr>
        <w:spacing w:after="120" w:before="60" w:line="276"/>
        <w:jc w:val="left"/>
      </w:pPr>
      <w:r>
        <w:rPr>
          <w:rFonts w:ascii="Calibri" w:cs="Calibri" w:eastAsia="Calibri" w:hAnsi="Calibri"/>
          <w:b w:val="false"/>
          <w:bCs w:val="false"/>
          <w:i w:val="false"/>
          <w:iCs w:val="false"/>
          <w:color w:val="3A2E28"/>
          <w:sz w:val="20"/>
          <w:szCs w:val="20"/>
        </w:rPr>
        <w:t xml:space="preserve">Twenty-six kilowatts installed optical over any larger figure: Section 5 shows that each kilowatt of installed optical power costs 6.17 kW of transmission-limited shaft power once source mass, cooling mass and generator losses are counted. Section 17 integrates the mission and finds per-sortie output peaking at 26 kW and falling away above it. More laser makes the aircraft heavier, which makes the hover more expensive, which leaves less margin for the laser.</w:t>
      </w:r>
    </w:p>
    <w:p>
      <w:pPr>
        <w:spacing w:after="120" w:before="60" w:line="276"/>
        <w:jc w:val="left"/>
      </w:pPr>
      <w:r>
        <w:rPr>
          <w:rFonts w:ascii="Calibri" w:cs="Calibri" w:eastAsia="Calibri" w:hAnsi="Calibri"/>
          <w:b w:val="false"/>
          <w:bCs w:val="false"/>
          <w:i w:val="false"/>
          <w:iCs w:val="false"/>
          <w:color w:val="3A2E28"/>
          <w:sz w:val="20"/>
          <w:szCs w:val="20"/>
        </w:rPr>
        <w:t xml:space="preserve">Twenty metre standoff over the E6 four metres: a longer standoff buys swath width for a given scan angle, moves the aircraft away from the thermal plume of the treated ground, and reduces the wall-jet velocity per unit of treated area. It costs atmospheric path loss, which Section 13 treats as a first-order term for the first time in this programme, and it drives the hazard distance of Section 20.</w:t>
      </w:r>
    </w:p>
    <w:p>
      <w:pPr>
        <w:spacing w:after="120" w:before="60" w:line="276"/>
        <w:jc w:val="left"/>
      </w:pPr>
      <w:r>
        <w:rPr>
          <w:rFonts w:ascii="Calibri" w:cs="Calibri" w:eastAsia="Calibri" w:hAnsi="Calibri"/>
          <w:b w:val="false"/>
          <w:bCs w:val="false"/>
          <w:i w:val="false"/>
          <w:iCs w:val="false"/>
          <w:color w:val="3A2E28"/>
          <w:sz w:val="20"/>
          <w:szCs w:val="20"/>
        </w:rPr>
        <w:t xml:space="preserve">Four heads over one: splitting 26 kW across four 6.5 kW heads gives four independent scan sectors, keeps the per-head hazard distance to half the coincident figure, allows treatment to continue at reduced swath after a single source failure, and keeps each head within the aperture and mirror inertia that commercial galvanometer hardware supports.</w:t>
      </w:r>
    </w:p>
    <w:p>
      <w:pPr>
        <w:spacing w:after="120" w:before="60" w:line="276"/>
        <w:jc w:val="left"/>
      </w:pPr>
      <w:r>
        <w:rPr>
          <w:rFonts w:ascii="Calibri" w:cs="Calibri" w:eastAsia="Calibri" w:hAnsi="Calibri"/>
          <w:b w:val="false"/>
          <w:bCs w:val="false"/>
          <w:i w:val="false"/>
          <w:iCs w:val="false"/>
          <w:color w:val="3A2E28"/>
          <w:sz w:val="20"/>
          <w:szCs w:val="20"/>
        </w:rPr>
        <w:t xml:space="preserve">Belly pod over cabin-only installation: the turret needs an unobstructed downward view, the cooling cores need to sit in the rotor downwash, and the heavy items need to sit near the centre of gravity. Section 10 splits the system between a cabin rack carrying the sources, drivers and compute, and a belly pod carrying the turret, the optics and the heat exchangers.</w:t>
      </w:r>
    </w:p>
    <w:p>
      <w:pPr>
        <w:spacing w:after="120" w:before="60" w:line="276"/>
        <w:jc w:val="left"/>
      </w:pPr>
      <w:r>
        <w:rPr>
          <w:rFonts w:ascii="Calibri" w:cs="Calibri" w:eastAsia="Calibri" w:hAnsi="Calibri"/>
          <w:b w:val="false"/>
          <w:bCs w:val="false"/>
          <w:i w:val="false"/>
          <w:iCs w:val="false"/>
          <w:color w:val="3A2E28"/>
          <w:sz w:val="20"/>
          <w:szCs w:val="20"/>
        </w:rPr>
        <w:t xml:space="preserve">Two crew over one: Section 18 finds that a single pilot cannot fly a 20 m hover over sloping terrain and manage a Class 4 emitter at the same time. The system operator is a safety requirement, not a convenience, and the 95 kg the second crew member costs is charged against the mission system in the weight ladder.</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 Why a Certified Helicopter</w:t>
      </w:r>
    </w:p>
    <w:p>
      <w:pPr>
        <w:spacing w:after="120" w:before="60" w:line="276"/>
        <w:jc w:val="left"/>
      </w:pPr>
      <w:r>
        <w:rPr>
          <w:rFonts w:ascii="Calibri" w:cs="Calibri" w:eastAsia="Calibri" w:hAnsi="Calibri"/>
          <w:b w:val="false"/>
          <w:bCs w:val="false"/>
          <w:i w:val="false"/>
          <w:iCs w:val="false"/>
          <w:color w:val="3A2E28"/>
          <w:sz w:val="20"/>
          <w:szCs w:val="20"/>
        </w:rPr>
        <w:t xml:space="preserve">The E6 aerial variant is a 1,000 kg unmanned multirotor with no type certification basis, because no design standard exists for the category. Contra Favillas Aerial v1.6 Section 25 estimates 30 months and 845,000 CAD to reach free-flight operation, and rates the regulatory timeline as the only High risk in its register. This section argues that grafting the same treatment system onto an aircraft that already holds a type certificate is the single most valuable change available to the programme, and that the argument is regulatory before it is technical.</w:t>
      </w:r>
    </w:p>
    <w:p>
      <w:pPr>
        <w:pStyle w:val="Heading2"/>
        <w:spacing w:after="110" w:before="240"/>
      </w:pPr>
      <w:r>
        <w:rPr>
          <w:rFonts w:ascii="Calibri" w:cs="Calibri" w:eastAsia="Calibri" w:hAnsi="Calibri"/>
          <w:b/>
          <w:bCs/>
          <w:color w:val="3A2E28"/>
          <w:sz w:val="24"/>
          <w:szCs w:val="24"/>
        </w:rPr>
        <w:t xml:space="preserve">2.1 The Regulatory Argument</w:t>
      </w:r>
    </w:p>
    <w:p>
      <w:pPr>
        <w:spacing w:after="120" w:before="60" w:line="276"/>
        <w:jc w:val="left"/>
      </w:pPr>
      <w:r>
        <w:rPr>
          <w:rFonts w:ascii="Calibri" w:cs="Calibri" w:eastAsia="Calibri" w:hAnsi="Calibri"/>
          <w:b w:val="false"/>
          <w:bCs w:val="false"/>
          <w:i w:val="false"/>
          <w:iCs w:val="false"/>
          <w:color w:val="3A2E28"/>
          <w:sz w:val="20"/>
          <w:szCs w:val="20"/>
        </w:rPr>
        <w:t xml:space="preserve">A supplemental type certificate approves a change to a type-certificated product. The applicant demonstrates that the modified aircraft continues to meet the certification basis of the original type certificate, plus whatever additional requirements the change introduces. The path is defined, the expectations are published, the precedents run into the thousands, and the aircraft manufacturer itself lists more than 1,200 supplemental type certificates against this model family. Aeronautical Accessories alone offers hoists, floats, filters, air conditioners and cameras under this mechanism.</w:t>
      </w:r>
    </w:p>
    <w:p>
      <w:pPr>
        <w:spacing w:after="120" w:before="60" w:line="276"/>
        <w:jc w:val="left"/>
      </w:pPr>
      <w:r>
        <w:rPr>
          <w:rFonts w:ascii="Calibri" w:cs="Calibri" w:eastAsia="Calibri" w:hAnsi="Calibri"/>
          <w:b w:val="false"/>
          <w:bCs w:val="false"/>
          <w:i w:val="false"/>
          <w:iCs w:val="false"/>
          <w:color w:val="3A2E28"/>
          <w:sz w:val="20"/>
          <w:szCs w:val="20"/>
        </w:rPr>
        <w:t xml:space="preserve">None of that machinery exists for a 1,000 kg unmanned multirotor. The E6 pathway requires negotiating a certification basis from first principles with a regulator who has never certified an aircraft of that class, and Aerial v1.6 Section 25.3 states plainly that the negotiation over what the aircraft must comply with takes longer than the compliance demonstration itself. The Bell variant replaces that negotiation with a delta.</w:t>
      </w:r>
    </w:p>
    <w:p>
      <w:pPr>
        <w:spacing w:after="120" w:before="60" w:line="276"/>
        <w:jc w:val="left"/>
      </w:pPr>
      <w:r>
        <w:rPr>
          <w:rFonts w:ascii="Calibri" w:cs="Calibri" w:eastAsia="Calibri" w:hAnsi="Calibri"/>
          <w:b w:val="false"/>
          <w:bCs w:val="false"/>
          <w:i w:val="false"/>
          <w:iCs w:val="false"/>
          <w:color w:val="3A2E28"/>
          <w:sz w:val="20"/>
          <w:szCs w:val="20"/>
        </w:rPr>
        <w:t xml:space="preserve">This does not make the Bell installation easy. Section 27 identifies a power take-off from the main transmission and a Class 4 emitter as two changes that no existing supplemental type certificate precedent covers, and estimates 24 months and 3,500,000 CAD. It makes the installation tractable, which is a different and more useful property.</w:t>
      </w:r>
    </w:p>
    <w:p>
      <w:pPr>
        <w:pStyle w:val="Heading2"/>
        <w:spacing w:after="110" w:before="240"/>
      </w:pPr>
      <w:r>
        <w:rPr>
          <w:rFonts w:ascii="Calibri" w:cs="Calibri" w:eastAsia="Calibri" w:hAnsi="Calibri"/>
          <w:b/>
          <w:bCs/>
          <w:color w:val="3A2E28"/>
          <w:sz w:val="24"/>
          <w:szCs w:val="24"/>
        </w:rPr>
        <w:t xml:space="preserve">2.2 The Operational Argument</w:t>
      </w:r>
    </w:p>
    <w:p>
      <w:pPr>
        <w:spacing w:after="120" w:before="60" w:line="276"/>
        <w:jc w:val="left"/>
      </w:pPr>
      <w:r>
        <w:rPr>
          <w:rFonts w:ascii="Calibri" w:cs="Calibri" w:eastAsia="Calibri" w:hAnsi="Calibri"/>
          <w:b w:val="false"/>
          <w:bCs w:val="false"/>
          <w:i w:val="false"/>
          <w:iCs w:val="false"/>
          <w:color w:val="3A2E28"/>
          <w:sz w:val="20"/>
          <w:szCs w:val="20"/>
        </w:rPr>
        <w:t xml:space="preserve">Roughly 1,600 Bell 407 airframes operate worldwide. Fire agencies in Canada, the United States and Australia contract them routinely for bucket work, crew transport, aerial ignition and reconnaissance. A trained pilot population exists. A maintenance network exists, including eight manufacturer service centres and more than 100 authorised customer service facilities. Spares move on established channels. Insurance underwriters price the airframe from experience rather than from first principles.</w:t>
      </w:r>
    </w:p>
    <w:p>
      <w:pPr>
        <w:spacing w:after="120" w:before="60" w:line="276"/>
        <w:jc w:val="left"/>
      </w:pPr>
      <w:r>
        <w:rPr>
          <w:rFonts w:ascii="Calibri" w:cs="Calibri" w:eastAsia="Calibri" w:hAnsi="Calibri"/>
          <w:b w:val="false"/>
          <w:bCs w:val="false"/>
          <w:i w:val="false"/>
          <w:iCs w:val="false"/>
          <w:color w:val="3A2E28"/>
          <w:sz w:val="20"/>
          <w:szCs w:val="20"/>
        </w:rPr>
        <w:t xml:space="preserve">Against this, the E6 requires a fire agency to adopt an aircraft type that does not exist, train a crew category that does not exist, and accept a maintenance and spares position with a single source. The engineering merits of the E6 do not change that adoption problem, and adoption is where good aviation programmes usually die.</w:t>
      </w:r>
    </w:p>
    <w:p>
      <w:pPr>
        <w:pStyle w:val="Heading2"/>
        <w:spacing w:after="110" w:before="240"/>
      </w:pPr>
      <w:r>
        <w:rPr>
          <w:rFonts w:ascii="Calibri" w:cs="Calibri" w:eastAsia="Calibri" w:hAnsi="Calibri"/>
          <w:b/>
          <w:bCs/>
          <w:color w:val="3A2E28"/>
          <w:sz w:val="24"/>
          <w:szCs w:val="24"/>
        </w:rPr>
        <w:t xml:space="preserve">2.3 The Performance Argument</w:t>
      </w:r>
    </w:p>
    <w:p>
      <w:pPr>
        <w:spacing w:after="120" w:before="60" w:line="276"/>
        <w:jc w:val="left"/>
      </w:pPr>
      <w:r>
        <w:rPr>
          <w:rFonts w:ascii="Calibri" w:cs="Calibri" w:eastAsia="Calibri" w:hAnsi="Calibri"/>
          <w:b w:val="false"/>
          <w:bCs w:val="false"/>
          <w:i w:val="false"/>
          <w:iCs w:val="false"/>
          <w:color w:val="3A2E28"/>
          <w:sz w:val="20"/>
          <w:szCs w:val="20"/>
        </w:rPr>
        <w:t xml:space="preserve">The Bell 407 cruises at 246 km/h against the E6 transit speed of 54 km/h. A fire agency dispatching from a base 60 km from the fire ground reaches it in 15 minutes rather than 67. Across a working day this converts directly into on-station hours, and Section 25 shows that it converts into cost per hectare. It also converts into responsiveness: the same aircraft covers a region rather than a site.</w:t>
      </w:r>
    </w:p>
    <w:p>
      <w:pPr>
        <w:spacing w:after="120" w:before="60" w:line="276"/>
        <w:jc w:val="left"/>
      </w:pPr>
      <w:r>
        <w:rPr>
          <w:rFonts w:ascii="Calibri" w:cs="Calibri" w:eastAsia="Calibri" w:hAnsi="Calibri"/>
          <w:b w:val="false"/>
          <w:bCs w:val="false"/>
          <w:i w:val="false"/>
          <w:iCs w:val="false"/>
          <w:color w:val="3A2E28"/>
          <w:sz w:val="20"/>
          <w:szCs w:val="20"/>
        </w:rPr>
        <w:t xml:space="preserve">The main rotor is also a fundamentally better lifting device than eight small rotors. Disc area rises from 43.84 m2 to 89.42 m2, a factor of 2.04, while gross weight rises by a factor of 2.38. Disc loading therefore falls from 22.8 kg/m2 to 26.5 kg/m2, and induced power per unit of lift falls with it. The helicopter carries 2.4 times the weight on 1.3 times the installed power.</w:t>
      </w:r>
    </w:p>
    <w:p>
      <w:pPr>
        <w:pStyle w:val="Heading2"/>
        <w:spacing w:after="110" w:before="240"/>
      </w:pPr>
      <w:r>
        <w:rPr>
          <w:rFonts w:ascii="Calibri" w:cs="Calibri" w:eastAsia="Calibri" w:hAnsi="Calibri"/>
          <w:b/>
          <w:bCs/>
          <w:color w:val="3A2E28"/>
          <w:sz w:val="24"/>
          <w:szCs w:val="24"/>
        </w:rPr>
        <w:t xml:space="preserve">2.4 What the Helicopter Costs</w:t>
      </w:r>
    </w:p>
    <w:p>
      <w:pPr>
        <w:spacing w:after="120" w:before="60" w:line="276"/>
        <w:jc w:val="left"/>
      </w:pPr>
      <w:r>
        <w:rPr>
          <w:rFonts w:ascii="Calibri" w:cs="Calibri" w:eastAsia="Calibri" w:hAnsi="Calibri"/>
          <w:b w:val="false"/>
          <w:bCs w:val="false"/>
          <w:i w:val="false"/>
          <w:iCs w:val="false"/>
          <w:color w:val="3A2E28"/>
          <w:sz w:val="20"/>
          <w:szCs w:val="20"/>
        </w:rPr>
        <w:t xml:space="preserve">The argument runs one way in three places and the other way in three places, and an honest overview states both. Endurance falls from 6.00 h to 3.02 h of block time, of which 1.97 h is on station, because a turboshaft consumes roughly 0.38 kg per kilowatt hour against 0.265 for the piston installation and because the tanks hold 447 kg. Acquisition cost rises from 797,302 CAD to 8,397,283 CAD per aircraft. And the hazard footprint grows by more than an order of magnitude, which Section 20 treats as the defining operational constraint of this variant.</w:t>
      </w:r>
    </w:p>
    <w:p>
      <w:pPr>
        <w:spacing w:after="120" w:before="60" w:line="276"/>
        <w:jc w:val="left"/>
      </w:pPr>
      <w:r>
        <w:rPr>
          <w:rFonts w:ascii="Calibri" w:cs="Calibri" w:eastAsia="Calibri" w:hAnsi="Calibri"/>
          <w:b w:val="false"/>
          <w:bCs w:val="false"/>
          <w:i w:val="false"/>
          <w:iCs w:val="false"/>
          <w:color w:val="3A2E28"/>
          <w:sz w:val="20"/>
          <w:szCs w:val="20"/>
        </w:rPr>
        <w:t xml:space="preserve">The programme judgement this document records is that a tractable regulatory path on an airframe fire agencies already fly is worth more than six hours of endurance on an airframe that does not yet exist. That judgement is stated as a judgement rather than as a derivation, because it rests on adoption rather than on arithmetic.</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3. The Bell 407GXi Baseline</w:t>
      </w:r>
    </w:p>
    <w:p>
      <w:pPr>
        <w:spacing w:after="120" w:before="60" w:line="276"/>
        <w:jc w:val="left"/>
      </w:pPr>
      <w:r>
        <w:rPr>
          <w:rFonts w:ascii="Calibri" w:cs="Calibri" w:eastAsia="Calibri" w:hAnsi="Calibri"/>
          <w:b w:val="false"/>
          <w:bCs w:val="false"/>
          <w:i w:val="false"/>
          <w:iCs w:val="false"/>
          <w:color w:val="3A2E28"/>
          <w:sz w:val="20"/>
          <w:szCs w:val="20"/>
        </w:rPr>
        <w:t xml:space="preserve">Every number in this section comes from the Bell 407GXi Product Specification, January 2020 edition, and none is derived. The specification exists so that the modifications of Parts II and III are stated as deltas against a documented baseline rather than against an assumed one.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600"/>
        <w:gridCol w:w="2100"/>
        <w:gridCol w:w="4380"/>
      </w:tblGrid>
      <w:tr>
        <w:trPr>
          <w:tblHeader/>
        </w:trPr>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Parameter</w:t>
            </w:r>
          </w:p>
        </w:tc>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Value</w:t>
            </w:r>
          </w:p>
        </w:tc>
        <w:tc>
          <w:tcPr>
            <w:tcW w:type="dxa" w:w="43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Main rotor diameter</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10.67 m</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Four-blade soft-in-plane composite hub</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Disc area</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89.42 m2</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Derived from diameter; the only derived figure in this table</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weight, standard configuration</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1,271 kg</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Includes seven-place interior, soundproofing and carpet</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internal gross weight, normal</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2,268 kg</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Base certification</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internal gross weight, optional</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2,381 kg</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Increased Internal Gross Weight Kit, zero weight penalty</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gross weight, external load</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2,722 kg</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External sling only; not applicable to this installation</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Cargo hook limit</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1,406 kg</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Hardpoint fittings are reused for the pod interface</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Rolls-Royce M250-C47E/4</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Dual channel FADEC with manual reversion</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thermodynamic takeoff rating</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643 kW</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Uninstalled capability</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thermodynamic maximum continuous</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567 kW</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Uninstalled capability</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takeoff rating</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503 kW</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Five minutes; mechanical limit on engine output</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maximum continuous rating</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470 kW</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binding constraint on this installation</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Usable fuel, standard</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484 L</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389 kg at 0.804 kg/L</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Usable fuel, optional auxiliary</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72 L</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58 kg; 13.8 kg installed weight</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cruise speed, sea level ISA</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246 km/h</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2,268 kg</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at loiter, sea level ISA</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h</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2,268 kg, standard fuel, no reserve</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Out of ground effect hover ceiling, ISA</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3,639 m</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2,268 kg</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Out of ground effect hover ceiling, ISA+20</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2,521 m</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2,268 kg; the figure that matters on a fire</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Standard starter-generator</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180 A at 28 V</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5.04 kW; nowhere near the mission requirement</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overhaul interval</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5,000 h</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Main rotor hub and mast 2,500 h</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Published direct maintenance cost</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380.44 USD per hour</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2020 basis; Section 25 inflates and converts</w:t>
            </w:r>
          </w:p>
        </w:tc>
      </w:tr>
    </w:tbl>
    <w:p>
      <w:pPr>
        <w:spacing w:after="200" w:before="60"/>
      </w:pPr>
      <w:r>
        <w:rPr>
          <w:rFonts w:ascii="Calibri" w:cs="Calibri" w:eastAsia="Calibri" w:hAnsi="Calibri"/>
          <w:i/>
          <w:iCs/>
          <w:color w:val="6B5A4E"/>
          <w:sz w:val="17"/>
          <w:szCs w:val="17"/>
        </w:rPr>
        <w:t xml:space="preserve">Table 2: Bell 407GXi certified baseline, from the manufacturer product specification. The transmission maximum continuous rating of 470 kW is the number that governs this entire installation.</w:t>
      </w:r>
    </w:p>
    <w:p>
      <w:pPr>
        <w:spacing w:after="120" w:before="60" w:line="276"/>
        <w:jc w:val="left"/>
      </w:pPr>
      <w:r>
        <w:rPr>
          <w:rFonts w:ascii="Calibri" w:cs="Calibri" w:eastAsia="Calibri" w:hAnsi="Calibri"/>
          <w:b w:val="false"/>
          <w:bCs w:val="false"/>
          <w:i w:val="false"/>
          <w:iCs w:val="false"/>
          <w:color w:val="3A2E28"/>
          <w:sz w:val="20"/>
          <w:szCs w:val="20"/>
        </w:rPr>
        <w:t xml:space="preserve">Three entries deserve comment. The transmission accepts 470 kW continuously while the engine produces 567 kW thermodynamically, so the aircraft is gearbox-limited rather than engine-limited across most of its envelope. This is normal for the type and it is the reason the M250-C47E/4 delivers strong hot-and-high performance: the engine holds its flat rating to altitude while the transmission limit stays fixed. For this installation it means that altitude erodes the laser power budget through the hover term rather than through the engine term, which Section 4 quantifies.</w:t>
      </w:r>
    </w:p>
    <w:p>
      <w:pPr>
        <w:spacing w:after="120" w:before="60" w:line="276"/>
        <w:jc w:val="left"/>
      </w:pPr>
      <w:r>
        <w:rPr>
          <w:rFonts w:ascii="Calibri" w:cs="Calibri" w:eastAsia="Calibri" w:hAnsi="Calibri"/>
          <w:b w:val="false"/>
          <w:bCs w:val="false"/>
          <w:i w:val="false"/>
          <w:iCs w:val="false"/>
          <w:color w:val="3A2E28"/>
          <w:sz w:val="20"/>
          <w:szCs w:val="20"/>
        </w:rPr>
        <w:t xml:space="preserve">The standard starter-generator produces 5.04 kW. The mission requires 68.4 kW of laser electrical power plus 8.0 kW of hotel and cooling load. The electrical system is therefore not an upgrade of the existing one but an addition alongside it, and Section 7 keeps the two buses separate for exactly that reason.</w:t>
      </w:r>
    </w:p>
    <w:p>
      <w:pPr>
        <w:spacing w:after="120" w:before="60" w:line="276"/>
        <w:jc w:val="left"/>
      </w:pPr>
      <w:r>
        <w:rPr>
          <w:rFonts w:ascii="Calibri" w:cs="Calibri" w:eastAsia="Calibri" w:hAnsi="Calibri"/>
          <w:b w:val="false"/>
          <w:bCs w:val="false"/>
          <w:i w:val="false"/>
          <w:iCs w:val="false"/>
          <w:color w:val="3A2E28"/>
          <w:sz w:val="20"/>
          <w:szCs w:val="20"/>
        </w:rPr>
        <w:t xml:space="preserve">The out of ground effect hover ceiling at ISA+20 and 2,268 kg is 2,521 m. Interior British Columbia fire ground routinely sits between 800 m and 1,800 m of terrain elevation, and a summer afternoon there runs ISA+15 or worse. The aircraft has margin at that condition and it is not generous margin, which is why Section 4 sets the design condition where it does rather than at sea level.</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4. Design Conditions</w:t>
      </w:r>
    </w:p>
    <w:p>
      <w:pPr>
        <w:spacing w:after="120" w:before="60" w:line="276"/>
        <w:jc w:val="left"/>
      </w:pPr>
      <w:r>
        <w:rPr>
          <w:rFonts w:ascii="Calibri" w:cs="Calibri" w:eastAsia="Calibri" w:hAnsi="Calibri"/>
          <w:b w:val="false"/>
          <w:bCs w:val="false"/>
          <w:i w:val="false"/>
          <w:iCs w:val="false"/>
          <w:color w:val="3A2E28"/>
          <w:sz w:val="20"/>
          <w:szCs w:val="20"/>
        </w:rPr>
        <w:t xml:space="preserve">Sea level on a standard day flatters every rotorcraft number ever published. This document sets its design condition at 1,500 m pressure altitude and ISA+15, and states sea level figures only as a reference. The reason is that the aircraft exists to work over burning forest in summer, and burning forest in summer is hot and frequently high.</w:t>
      </w:r>
    </w:p>
    <w:p>
      <w:pPr>
        <w:pStyle w:val="Heading2"/>
        <w:spacing w:after="110" w:before="240"/>
      </w:pPr>
      <w:r>
        <w:rPr>
          <w:rFonts w:ascii="Calibri" w:cs="Calibri" w:eastAsia="Calibri" w:hAnsi="Calibri"/>
          <w:b/>
          <w:bCs/>
          <w:color w:val="3A2E28"/>
          <w:sz w:val="24"/>
          <w:szCs w:val="24"/>
        </w:rPr>
        <w:t xml:space="preserve">4.1 The Design Point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1700"/>
        <w:gridCol w:w="1700"/>
        <w:gridCol w:w="1700"/>
        <w:gridCol w:w="20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Condition</w:t>
            </w:r>
          </w:p>
        </w:tc>
        <w:tc>
          <w:tcPr>
            <w:tcW w:type="dxa" w:w="17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Density kg/m3</w:t>
            </w:r>
          </w:p>
        </w:tc>
        <w:tc>
          <w:tcPr>
            <w:tcW w:type="dxa" w:w="17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Hover shaft kW</w:t>
            </w:r>
          </w:p>
        </w:tc>
        <w:tc>
          <w:tcPr>
            <w:tcW w:type="dxa" w:w="17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Percent of MCP</w:t>
            </w:r>
          </w:p>
        </w:tc>
        <w:tc>
          <w:tcPr>
            <w:tcW w:type="dxa" w:w="208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Margin available kW</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Sea level, ISA</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1.225</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335.5</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71.4</w:t>
            </w:r>
          </w:p>
        </w:tc>
        <w:tc>
          <w:tcPr>
            <w:tcW w:type="dxa" w:w="20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134.5</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m, ISA+10</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1.084</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356.5</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75.9</w:t>
            </w:r>
          </w:p>
        </w:tc>
        <w:tc>
          <w:tcPr>
            <w:tcW w:type="dxa" w:w="20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113.5</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1,500 m, ISA+15 (design)</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1.004</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370.6</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78.8</w:t>
            </w:r>
          </w:p>
        </w:tc>
        <w:tc>
          <w:tcPr>
            <w:tcW w:type="dxa" w:w="20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99.4</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2,000 m, ISA+20</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0.938</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383.3</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81.6</w:t>
            </w:r>
          </w:p>
        </w:tc>
        <w:tc>
          <w:tcPr>
            <w:tcW w:type="dxa" w:w="20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86.7</w:t>
            </w:r>
          </w:p>
        </w:tc>
      </w:tr>
    </w:tbl>
    <w:p>
      <w:pPr>
        <w:spacing w:after="200" w:before="60"/>
      </w:pPr>
      <w:r>
        <w:rPr>
          <w:rFonts w:ascii="Calibri" w:cs="Calibri" w:eastAsia="Calibri" w:hAnsi="Calibri"/>
          <w:i/>
          <w:iCs/>
          <w:color w:val="6B5A4E"/>
          <w:sz w:val="17"/>
          <w:szCs w:val="17"/>
        </w:rPr>
        <w:t xml:space="preserve">Table 3: Hover shaft power at 2,268 kg across the operating envelope, and the transmission margin that remains for power extraction. Density altitude costs the laser system roughly 48 kW of shaft power between sea level and the 2,000 m hot case.</w:t>
      </w:r>
    </w:p>
    <w:p>
      <w:pPr>
        <w:spacing w:after="120" w:before="60" w:line="276"/>
        <w:jc w:val="left"/>
      </w:pPr>
      <w:r>
        <w:rPr>
          <w:rFonts w:ascii="Calibri" w:cs="Calibri" w:eastAsia="Calibri" w:hAnsi="Calibri"/>
          <w:b w:val="false"/>
          <w:bCs w:val="false"/>
          <w:i w:val="false"/>
          <w:iCs w:val="false"/>
          <w:color w:val="3A2E28"/>
          <w:sz w:val="20"/>
          <w:szCs w:val="20"/>
        </w:rPr>
        <w:t xml:space="preserve">The margin column is the laser power budget. At sea level on a standard day the installation has 134.5 kW of transmission margin to work with. At the design condition it has 99.4 kW. At the hot and high case it has 86.7 kW. Since the laser draws a fixed electrical load when it runs at full duty, the aircraft either reduces duty as density altitude rises or reduces gross weight, and Section 14 states the control law that makes that choice automatically.</w:t>
      </w:r>
    </w:p>
    <w:p>
      <w:pPr>
        <w:spacing w:after="120" w:before="60" w:line="276"/>
        <w:jc w:val="left"/>
      </w:pPr>
      <w:r>
        <w:rPr>
          <w:rFonts w:ascii="Calibri" w:cs="Calibri" w:eastAsia="Calibri" w:hAnsi="Calibri"/>
          <w:b w:val="false"/>
          <w:bCs w:val="false"/>
          <w:i w:val="false"/>
          <w:iCs w:val="false"/>
          <w:color w:val="3A2E28"/>
          <w:sz w:val="20"/>
          <w:szCs w:val="20"/>
        </w:rPr>
        <w:t xml:space="preserve">Figure 1 states the same relationship as a curve. The useful feature of the figure is the shaded region, which is the design space: everything between the hover power line and the 470 kW transmission limit is available to the treatment system, and it narrows as the aircraft gets heavier or the air gets thinner.</w:t>
      </w:r>
    </w:p>
    <w:p>
      <w:pPr>
        <w:spacing w:after="60" w:before="180"/>
        <w:jc w:val="center"/>
      </w:pPr>
      <w:r>
        <w:drawing>
          <wp:inline distT="0" distB="0" distL="0" distR="0">
            <wp:extent cx="59912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91225" cy="21050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1: Left, hover shaft power against gross weight at three atmospheric conditions, with the transmission continuous and takeoff ratings marked. The shaded region is the power available to the treatment system at the design condition. Right, the shaft power budget at the design point with the laser running at full duty.</w:t>
      </w:r>
    </w:p>
    <w:p>
      <w:pPr>
        <w:pStyle w:val="Heading2"/>
        <w:spacing w:after="110" w:before="240"/>
      </w:pPr>
      <w:r>
        <w:rPr>
          <w:rFonts w:ascii="Calibri" w:cs="Calibri" w:eastAsia="Calibri" w:hAnsi="Calibri"/>
          <w:b/>
          <w:bCs/>
          <w:color w:val="3A2E28"/>
          <w:sz w:val="24"/>
          <w:szCs w:val="24"/>
        </w:rPr>
        <w:t xml:space="preserve">4.2 Standing Assumptions</w:t>
      </w:r>
    </w:p>
    <w:p>
      <w:pPr>
        <w:spacing w:after="120" w:before="60" w:line="276"/>
        <w:jc w:val="left"/>
      </w:pPr>
      <w:r>
        <w:rPr>
          <w:rFonts w:ascii="Calibri" w:cs="Calibri" w:eastAsia="Calibri" w:hAnsi="Calibri"/>
          <w:b w:val="false"/>
          <w:bCs w:val="false"/>
          <w:i w:val="false"/>
          <w:iCs w:val="false"/>
          <w:color w:val="3A2E28"/>
          <w:sz w:val="20"/>
          <w:szCs w:val="20"/>
        </w:rPr>
        <w:t xml:space="preserve">Figure of merit is taken at 0.75, matching the assumption used across the Contra Favillas programme and sitting below published values for four-blade composite rotors of this class. Tail rotor power is taken at 9 percent of main rotor power, and transmission and accessory losses at 3 percent. Specific fuel consumption follows a fitted curve of 0.2614 plus 39.3 divided by shaft power in kilowatts, which reproduces the manufacturer loiter endurance of 4.0 h and the published cruise fuel flow to within 4 percent. Appendix B states every constant and Appendix C states the derivations.</w:t>
      </w:r>
    </w:p>
    <w:p>
      <w:pPr>
        <w:spacing w:after="120" w:before="60" w:line="276"/>
        <w:jc w:val="left"/>
      </w:pPr>
      <w:r>
        <w:rPr>
          <w:rFonts w:ascii="Calibri" w:cs="Calibri" w:eastAsia="Calibri" w:hAnsi="Calibri"/>
          <w:b w:val="false"/>
          <w:bCs w:val="false"/>
          <w:i w:val="false"/>
          <w:iCs w:val="false"/>
          <w:color w:val="3A2E28"/>
          <w:sz w:val="20"/>
          <w:szCs w:val="20"/>
        </w:rPr>
        <w:t xml:space="preserve">Coupling efficiency is taken at 0.62, inherited from Aerial v1.6 Section 22.4 and carrying the same 35 percent margin against the first-order calculation and the same gate: no throughput figure in this document is published as achieved performance until Phase 3 calorimetry measures it.</w:t>
      </w:r>
    </w:p>
    <w:p>
      <w:pPr>
        <w:spacing w:after="120" w:before="60" w:line="276"/>
        <w:jc w:val="left"/>
      </w:pPr>
      <w:r>
        <w:rPr>
          <w:rFonts w:ascii="Calibri" w:cs="Calibri" w:eastAsia="Calibri" w:hAnsi="Calibri"/>
          <w:b w:val="false"/>
          <w:bCs w:val="false"/>
          <w:i w:val="false"/>
          <w:iCs w:val="false"/>
          <w:color w:val="3A2E28"/>
          <w:sz w:val="20"/>
          <w:szCs w:val="20"/>
        </w:rPr>
        <w:t xml:space="preserve">Path transmission through smoke is taken at 0.80 over the 20 m standoff. This term is new to the programme, it does not appear in any E6 document, and Section 13 treats it in full because at this standoff it is a first-order term rather than a rounding error.</w:t>
      </w:r>
    </w:p>
    <w:p>
      <w:pPr>
        <w:pStyle w:val="Heading2"/>
        <w:spacing w:after="110" w:before="240"/>
      </w:pPr>
      <w:r>
        <w:rPr>
          <w:rFonts w:ascii="Calibri" w:cs="Calibri" w:eastAsia="Calibri" w:hAnsi="Calibri"/>
          <w:b/>
          <w:bCs/>
          <w:color w:val="3A2E28"/>
          <w:sz w:val="24"/>
          <w:szCs w:val="24"/>
        </w:rPr>
        <w:t xml:space="preserve">4.3 What the Design Condition Costs</w:t>
      </w:r>
    </w:p>
    <w:p>
      <w:pPr>
        <w:spacing w:after="120" w:before="60" w:line="276"/>
        <w:jc w:val="left"/>
      </w:pPr>
      <w:r>
        <w:rPr>
          <w:rFonts w:ascii="Calibri" w:cs="Calibri" w:eastAsia="Calibri" w:hAnsi="Calibri"/>
          <w:b w:val="false"/>
          <w:bCs w:val="false"/>
          <w:i w:val="false"/>
          <w:iCs w:val="false"/>
          <w:color w:val="3A2E28"/>
          <w:sz w:val="20"/>
          <w:szCs w:val="20"/>
        </w:rPr>
        <w:t xml:space="preserve">Stating the design point at 1,500 m and ISA+15 rather than at sea level ISA reduces published area rate from 105.8 to 104.5 m2 per hour and per-sortie area from 221 to 206 m2. That is a 7 percent penalty and it is deliberate. A specification written at sea level publishes the larger number and then disappoints every operator who takes the aircraft to a fire.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300"/>
        <w:gridCol w:w="1900"/>
        <w:gridCol w:w="1900"/>
        <w:gridCol w:w="2980"/>
      </w:tblGrid>
      <w:tr>
        <w:trPr>
          <w:tblHeader/>
        </w:trPr>
        <w:tc>
          <w:tcPr>
            <w:tcW w:type="dxa" w:w="33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Condition</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Mean duty</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Area per sortie</w:t>
            </w:r>
          </w:p>
        </w:tc>
        <w:tc>
          <w:tcPr>
            <w:tcW w:type="dxa" w:w="2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3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Sea level, ISA</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221 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Reference only</w:t>
            </w:r>
          </w:p>
        </w:tc>
      </w:tr>
      <w:tr>
        <w:trPr>
          <w:tblHeader w:val="false"/>
        </w:trPr>
        <w:tc>
          <w:tcPr>
            <w:tcW w:type="dxa" w:w="3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m, ISA+10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213 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Coastal and foothill fire ground</w:t>
            </w:r>
          </w:p>
        </w:tc>
      </w:tr>
      <w:tr>
        <w:trPr>
          <w:tblHeader w:val="false"/>
        </w:trPr>
        <w:tc>
          <w:tcPr>
            <w:tcW w:type="dxa" w:w="3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1,500 m, ISA+15</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0.988</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206 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Design point; published figures use this row</w:t>
            </w:r>
          </w:p>
        </w:tc>
      </w:tr>
      <w:tr>
        <w:trPr>
          <w:tblHeader w:val="false"/>
        </w:trPr>
        <w:tc>
          <w:tcPr>
            <w:tcW w:type="dxa" w:w="3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2,000 m, ISA+20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0.946</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194 m2</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Interior plateau on a hot afternoon</w:t>
            </w:r>
          </w:p>
        </w:tc>
      </w:tr>
    </w:tbl>
    <w:p>
      <w:pPr>
        <w:spacing w:after="200" w:before="60"/>
      </w:pPr>
      <w:r>
        <w:rPr>
          <w:rFonts w:ascii="Calibri" w:cs="Calibri" w:eastAsia="Calibri" w:hAnsi="Calibri"/>
          <w:i/>
          <w:iCs/>
          <w:color w:val="6B5A4E"/>
          <w:sz w:val="17"/>
          <w:szCs w:val="17"/>
        </w:rPr>
        <w:t xml:space="preserve">Table 4: Treatment output across the operating envelope. Duty cycle falls above the design point because the transmission margin closes, and the aircraft trades throughput for the hover it needs.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5. The Transmission Power Budget</w:t>
      </w:r>
    </w:p>
    <w:p>
      <w:pPr>
        <w:spacing w:after="120" w:before="60" w:line="276"/>
        <w:jc w:val="left"/>
      </w:pPr>
      <w:r>
        <w:rPr>
          <w:rFonts w:ascii="Calibri" w:cs="Calibri" w:eastAsia="Calibri" w:hAnsi="Calibri"/>
          <w:b w:val="false"/>
          <w:bCs w:val="false"/>
          <w:i w:val="false"/>
          <w:iCs w:val="false"/>
          <w:color w:val="3A2E28"/>
          <w:sz w:val="20"/>
          <w:szCs w:val="20"/>
        </w:rPr>
        <w:t xml:space="preserve">The E6 aerial variant is endurance-limited: its binding constraint is that fuel and payload compete on a fixed maximum takeoff weight. The Bell variant is transmission-limited: its binding constraint is that the rotor and the laser compete for a fixed 470 kW of gearbox torque. This section states that competition quantitatively, because it is the central engineering fact of the installation and almost every other number in this document derives from it.</w:t>
      </w:r>
    </w:p>
    <w:p>
      <w:pPr>
        <w:pStyle w:val="Heading2"/>
        <w:spacing w:after="110" w:before="240"/>
      </w:pPr>
      <w:r>
        <w:rPr>
          <w:rFonts w:ascii="Calibri" w:cs="Calibri" w:eastAsia="Calibri" w:hAnsi="Calibri"/>
          <w:b/>
          <w:bCs/>
          <w:color w:val="3A2E28"/>
          <w:sz w:val="24"/>
          <w:szCs w:val="24"/>
        </w:rPr>
        <w:t xml:space="preserve">5.1 The Coupling</w:t>
      </w:r>
    </w:p>
    <w:p>
      <w:pPr>
        <w:spacing w:after="120" w:before="60" w:line="276"/>
        <w:jc w:val="left"/>
      </w:pPr>
      <w:r>
        <w:rPr>
          <w:rFonts w:ascii="Calibri" w:cs="Calibri" w:eastAsia="Calibri" w:hAnsi="Calibri"/>
          <w:b w:val="false"/>
          <w:bCs w:val="false"/>
          <w:i w:val="false"/>
          <w:iCs w:val="false"/>
          <w:color w:val="3A2E28"/>
          <w:sz w:val="20"/>
          <w:szCs w:val="20"/>
        </w:rPr>
        <w:t xml:space="preserve">Adding installed optical power costs transmission margin twice, and the second cost is the one that surprises. The first cost is direct: delivering optical power requires electrical power, which requires shaft power through the generator chain. The second cost is indirect: sources and their cooling have mass, mass raises gross weight, and gross weight raises hover power.</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marginal cost of installed optical power</w:t>
            </w:r>
          </w:p>
          <w:p>
            <w:pPr>
              <w:spacing w:after="60" w:line="270"/>
            </w:pPr>
            <w:r>
              <w:rPr>
                <w:rFonts w:ascii="Calibri" w:cs="Calibri" w:eastAsia="Calibri" w:hAnsi="Calibri"/>
                <w:color w:val="3A2E28"/>
                <w:sz w:val="19"/>
                <w:szCs w:val="19"/>
              </w:rPr>
              <w:t xml:space="preserve">Mass per kilowatt of installed optical: 13.41 kg (sources at 120 W/kg, cooling at 2.0 kg/kW rejected, generator at 1.45 kW/kg)</w:t>
            </w:r>
          </w:p>
          <w:p>
            <w:pPr>
              <w:spacing w:after="60" w:line="270"/>
            </w:pPr>
            <w:r>
              <w:rPr>
                <w:rFonts w:ascii="Calibri" w:cs="Calibri" w:eastAsia="Calibri" w:hAnsi="Calibri"/>
                <w:color w:val="3A2E28"/>
                <w:sz w:val="19"/>
                <w:szCs w:val="19"/>
              </w:rPr>
              <w:t xml:space="preserve">Direct shaft cost per kilowatt delivered: 2.88 kW (wall-plug 0.38, generator chain 0.9125)</w:t>
            </w:r>
          </w:p>
          <w:p>
            <w:pPr>
              <w:spacing w:after="60" w:line="270"/>
            </w:pPr>
            <w:r>
              <w:rPr>
                <w:rFonts w:ascii="Calibri" w:cs="Calibri" w:eastAsia="Calibri" w:hAnsi="Calibri"/>
                <w:color w:val="3A2E28"/>
                <w:sz w:val="19"/>
                <w:szCs w:val="19"/>
              </w:rPr>
              <w:t xml:space="preserve">Hover penalty of that mass: 3.29 kW (hover sensitivity 0.245 kW per kg at the design point)</w:t>
            </w:r>
          </w:p>
          <w:p>
            <w:pPr>
              <w:spacing w:after="60" w:line="270"/>
            </w:pPr>
            <w:r>
              <w:rPr>
                <w:rFonts w:ascii="Calibri" w:cs="Calibri" w:eastAsia="Calibri" w:hAnsi="Calibri"/>
                <w:color w:val="3A2E28"/>
                <w:sz w:val="19"/>
                <w:szCs w:val="19"/>
              </w:rPr>
              <w:t xml:space="preserve">TOTAL: 6.17 kW of transmission-limited shaft power per kilowatt of installed optical power</w:t>
            </w:r>
          </w:p>
        </w:tc>
      </w:tr>
    </w:tbl>
    <w:p>
      <w:pPr>
        <w:spacing w:after="120" w:before="60" w:line="276"/>
        <w:jc w:val="left"/>
      </w:pPr>
      <w:r>
        <w:rPr>
          <w:rFonts w:ascii="Calibri" w:cs="Calibri" w:eastAsia="Calibri" w:hAnsi="Calibri"/>
          <w:b w:val="false"/>
          <w:bCs w:val="false"/>
          <w:i w:val="false"/>
          <w:iCs w:val="false"/>
          <w:color w:val="3A2E28"/>
          <w:sz w:val="20"/>
          <w:szCs w:val="20"/>
        </w:rPr>
        <w:t xml:space="preserve">A ratio of roughly six to one is why this installation is not simply a larger E6. On the E6 the equivalent ratio governs fuel rather than torque, and fuel is a quantity the designer chooses. Gearbox torque is a quantity the type certificate fixes.</w:t>
      </w:r>
    </w:p>
    <w:p>
      <w:pPr>
        <w:spacing w:after="120" w:before="60" w:line="276"/>
        <w:jc w:val="left"/>
      </w:pPr>
      <w:r>
        <w:rPr>
          <w:rFonts w:ascii="Calibri" w:cs="Calibri" w:eastAsia="Calibri" w:hAnsi="Calibri"/>
          <w:b w:val="false"/>
          <w:bCs w:val="false"/>
          <w:i w:val="false"/>
          <w:iCs w:val="false"/>
          <w:color w:val="3A2E28"/>
          <w:sz w:val="20"/>
          <w:szCs w:val="20"/>
        </w:rPr>
        <w:t xml:space="preserve">The hover sensitivity term deserves its own statement. Hover power scales with gross weight to the power of 1.5, so the derivative is 1.5 times power divided by mass, which at the design point is 0.245 kW per kilogram. Every kilogram added anywhere in the aircraft costs a quarter of a kilowatt of hover power, permanently, on every sortie.</w:t>
      </w:r>
    </w:p>
    <w:p>
      <w:pPr>
        <w:pStyle w:val="Heading2"/>
        <w:spacing w:after="110" w:before="240"/>
      </w:pPr>
      <w:r>
        <w:rPr>
          <w:rFonts w:ascii="Calibri" w:cs="Calibri" w:eastAsia="Calibri" w:hAnsi="Calibri"/>
          <w:b/>
          <w:bCs/>
          <w:color w:val="3A2E28"/>
          <w:sz w:val="24"/>
          <w:szCs w:val="24"/>
        </w:rPr>
        <w:t xml:space="preserve">5.2 The Budget at the Design Point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000"/>
        <w:gridCol w:w="1750"/>
        <w:gridCol w:w="1750"/>
        <w:gridCol w:w="2580"/>
      </w:tblGrid>
      <w:tr>
        <w:trPr>
          <w:tblHeader/>
        </w:trPr>
        <w:tc>
          <w:tcPr>
            <w:tcW w:type="dxa" w:w="4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Item</w:t>
            </w:r>
          </w:p>
        </w:tc>
        <w:tc>
          <w:tcPr>
            <w:tcW w:type="dxa" w:w="175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Shaft kW</w:t>
            </w:r>
          </w:p>
        </w:tc>
        <w:tc>
          <w:tcPr>
            <w:tcW w:type="dxa" w:w="175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Percent of MCP</w:t>
            </w:r>
          </w:p>
        </w:tc>
        <w:tc>
          <w:tcPr>
            <w:tcW w:type="dxa" w:w="2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4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Hover at takeoff gross weight of 2,369 kg</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395.6</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Main rotor, tail rotor and transmission losses</w:t>
            </w:r>
          </w:p>
        </w:tc>
      </w:tr>
      <w:tr>
        <w:trPr>
          <w:tblHeader w:val="false"/>
        </w:trPr>
        <w:tc>
          <w:tcPr>
            <w:tcW w:type="dxa" w:w="4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electrical, 68.4 kW at the bus</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75.0</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chain 0.9125</w:t>
            </w:r>
          </w:p>
        </w:tc>
      </w:tr>
      <w:tr>
        <w:trPr>
          <w:tblHeader w:val="false"/>
        </w:trPr>
        <w:tc>
          <w:tcPr>
            <w:tcW w:type="dxa" w:w="4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Hotel and cooling, 8.0 kW at the bus</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8.8</w:t>
            </w:r>
          </w:p>
        </w:tc>
        <w:tc>
          <w:tcPr>
            <w:tcW w:type="dxa" w:w="17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Pumps, fans, compute, sensors, turret drives</w:t>
            </w:r>
          </w:p>
        </w:tc>
      </w:tr>
      <w:tr>
        <w:trPr>
          <w:tblHeader w:val="false"/>
        </w:trPr>
        <w:tc>
          <w:tcPr>
            <w:tcW w:type="dxa" w:w="40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AT FULL TREATMENT DUTY</w:t>
            </w:r>
          </w:p>
        </w:tc>
        <w:tc>
          <w:tcPr>
            <w:tcW w:type="dxa" w:w="175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455.9</w:t>
            </w:r>
          </w:p>
        </w:tc>
        <w:tc>
          <w:tcPr>
            <w:tcW w:type="dxa" w:w="175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97.0</w:t>
            </w:r>
          </w:p>
        </w:tc>
        <w:tc>
          <w:tcPr>
            <w:tcW w:type="dxa" w:w="25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Against 470 kW continuous</w:t>
            </w:r>
          </w:p>
        </w:tc>
      </w:tr>
      <w:tr>
        <w:trPr>
          <w:tblHeader w:val="false"/>
        </w:trPr>
        <w:tc>
          <w:tcPr>
            <w:tcW w:type="dxa" w:w="40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Remaining margin</w:t>
            </w:r>
          </w:p>
        </w:tc>
        <w:tc>
          <w:tcPr>
            <w:tcW w:type="dxa" w:w="175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14.1</w:t>
            </w:r>
          </w:p>
        </w:tc>
        <w:tc>
          <w:tcPr>
            <w:tcW w:type="dxa" w:w="175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3.0</w:t>
            </w:r>
          </w:p>
        </w:tc>
        <w:tc>
          <w:tcPr>
            <w:tcW w:type="dxa" w:w="25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Reserved for gusts, control margin and yaw demand</w:t>
            </w:r>
          </w:p>
        </w:tc>
      </w:tr>
    </w:tbl>
    <w:p>
      <w:pPr>
        <w:spacing w:after="200" w:before="60"/>
      </w:pPr>
      <w:r>
        <w:rPr>
          <w:rFonts w:ascii="Calibri" w:cs="Calibri" w:eastAsia="Calibri" w:hAnsi="Calibri"/>
          <w:i/>
          <w:iCs/>
          <w:color w:val="6B5A4E"/>
          <w:sz w:val="17"/>
          <w:szCs w:val="17"/>
        </w:rPr>
        <w:t xml:space="preserve">Table 5: Shaft power budget at the design point with the laser at full duty. The installation runs at 97.0 percent of the transmission continuous rating, and the reserve exists so that a gust does not produce an exceedance.</w:t>
      </w:r>
    </w:p>
    <w:p>
      <w:pPr>
        <w:spacing w:after="120" w:before="60" w:line="276"/>
        <w:jc w:val="left"/>
      </w:pPr>
      <w:r>
        <w:rPr>
          <w:rFonts w:ascii="Calibri" w:cs="Calibri" w:eastAsia="Calibri" w:hAnsi="Calibri"/>
          <w:b w:val="false"/>
          <w:bCs w:val="false"/>
          <w:i w:val="false"/>
          <w:iCs w:val="false"/>
          <w:color w:val="3A2E28"/>
          <w:sz w:val="20"/>
          <w:szCs w:val="20"/>
        </w:rPr>
        <w:t xml:space="preserve">The design deliberately stops at 97.0 percent rather than at 100 percent. Three demands draw on the remainder. A gust raises collective demand transiently. Yaw control in a crosswind raises tail rotor power. And the pilot needs authority to arrest a descent without waiting for a load-shed sequence. The load-shed controller of Section 8 protects that reserve in hardware by cutting the laser bus before the transmission approaches its limit, and the laser bus is the only load on the aircraft that can be shed instantly without consequence.</w:t>
      </w:r>
    </w:p>
    <w:p>
      <w:pPr>
        <w:pStyle w:val="Heading2"/>
        <w:spacing w:after="110" w:before="240"/>
      </w:pPr>
      <w:r>
        <w:rPr>
          <w:rFonts w:ascii="Calibri" w:cs="Calibri" w:eastAsia="Calibri" w:hAnsi="Calibri"/>
          <w:b/>
          <w:bCs/>
          <w:color w:val="3A2E28"/>
          <w:sz w:val="24"/>
          <w:szCs w:val="24"/>
        </w:rPr>
        <w:t xml:space="preserve">5.3 Why Duty Cycle Is Scheduled, Not Fixed</w:t>
      </w:r>
    </w:p>
    <w:p>
      <w:pPr>
        <w:spacing w:after="120" w:before="60" w:line="276"/>
        <w:jc w:val="left"/>
      </w:pPr>
      <w:r>
        <w:rPr>
          <w:rFonts w:ascii="Calibri" w:cs="Calibri" w:eastAsia="Calibri" w:hAnsi="Calibri"/>
          <w:b w:val="false"/>
          <w:bCs w:val="false"/>
          <w:i w:val="false"/>
          <w:iCs w:val="false"/>
          <w:color w:val="3A2E28"/>
          <w:sz w:val="20"/>
          <w:szCs w:val="20"/>
        </w:rPr>
        <w:t xml:space="preserve">The aircraft burns roughly 3.8 kg of fuel per minute on station, so gross weight falls by roughly 246 kg across a treatment block. Hover power falls with it, and transmission margin opens up. A fixed duty cycle set for the heaviest condition wastes that margin for the whole sortie.</w:t>
      </w:r>
    </w:p>
    <w:p>
      <w:pPr>
        <w:spacing w:after="120" w:before="60" w:line="276"/>
        <w:jc w:val="left"/>
      </w:pPr>
      <w:r>
        <w:rPr>
          <w:rFonts w:ascii="Calibri" w:cs="Calibri" w:eastAsia="Calibri" w:hAnsi="Calibri"/>
          <w:b w:val="false"/>
          <w:bCs w:val="false"/>
          <w:i w:val="false"/>
          <w:iCs w:val="false"/>
          <w:color w:val="3A2E28"/>
          <w:sz w:val="20"/>
          <w:szCs w:val="20"/>
        </w:rPr>
        <w:t xml:space="preserve">The dose controller therefore schedules laser duty against measured transmission margin in real time. It reads shaft torque and rotor speed from dual-channel instrumentation, computes available margin against the 470 kW limit less the reserve, and sets duty to the largest value that fits. At the design point the aircraft begins the block at a duty of 0.94 and reaches 1.00 within the first eleven minutes, giving a mean duty of 0.988 across the block.</w:t>
      </w:r>
    </w:p>
    <w:p>
      <w:pPr>
        <w:spacing w:after="120" w:before="60" w:line="276"/>
        <w:jc w:val="left"/>
      </w:pPr>
      <w:r>
        <w:rPr>
          <w:rFonts w:ascii="Calibri" w:cs="Calibri" w:eastAsia="Calibri" w:hAnsi="Calibri"/>
          <w:b w:val="false"/>
          <w:bCs w:val="false"/>
          <w:i w:val="false"/>
          <w:iCs w:val="false"/>
          <w:color w:val="3A2E28"/>
          <w:sz w:val="20"/>
          <w:szCs w:val="20"/>
        </w:rPr>
        <w:t xml:space="preserve">This control law also handles density altitude, gross weight variation, and hot days without any crew action or any change of configuration. The aircraft simply treats more slowly when the air is thin and faster when it is dense, and Table 4 is the outcome rather than a set of separate configurations.</w:t>
      </w:r>
    </w:p>
    <w:p>
      <w:r>
        <w:br w:type="page"/>
      </w:r>
    </w:p>
    <w:p>
      <w:pPr>
        <w:spacing w:after="200" w:before="2400"/>
        <w:jc w:val="center"/>
      </w:pPr>
      <w:r>
        <w:rPr>
          <w:rFonts w:ascii="Calibri" w:cs="Calibri" w:eastAsia="Calibri" w:hAnsi="Calibri"/>
          <w:b/>
          <w:bCs/>
          <w:color w:val="8C7A6B"/>
          <w:sz w:val="34"/>
          <w:szCs w:val="34"/>
        </w:rPr>
        <w:t xml:space="preserve">PART II</w:t>
      </w:r>
    </w:p>
    <w:p>
      <w:pPr>
        <w:spacing w:after="0"/>
        <w:jc w:val="center"/>
      </w:pPr>
      <w:r>
        <w:rPr>
          <w:rFonts w:ascii="Calibri" w:cs="Calibri" w:eastAsia="Calibri" w:hAnsi="Calibri"/>
          <w:b/>
          <w:bCs/>
          <w:color w:val="7B3F24"/>
          <w:sz w:val="44"/>
          <w:szCs w:val="44"/>
        </w:rPr>
        <w:t xml:space="preserve">AIRCRAFT INTEGRATION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6. Mass, Balance and the Weight Ladder</w:t>
      </w:r>
    </w:p>
    <w:p>
      <w:pPr>
        <w:spacing w:after="120" w:before="60" w:line="276"/>
        <w:jc w:val="left"/>
      </w:pPr>
      <w:r>
        <w:rPr>
          <w:rFonts w:ascii="Calibri" w:cs="Calibri" w:eastAsia="Calibri" w:hAnsi="Calibri"/>
          <w:b w:val="false"/>
          <w:bCs w:val="false"/>
          <w:i w:val="false"/>
          <w:iCs w:val="false"/>
          <w:color w:val="3A2E28"/>
          <w:sz w:val="20"/>
          <w:szCs w:val="20"/>
        </w:rPr>
        <w:t xml:space="preserve">The installation adds 556 kg of mission system to an aircraft with 1,110 kg of useful load at the increased gross weight. After a single pilot, a system operator and full fuel, the aircraft takes off 12 kg below its maximum. That margin is thin by design, and this section states where every kilogram sits and what happens when the estimate moves.</w:t>
      </w:r>
    </w:p>
    <w:p>
      <w:pPr>
        <w:pStyle w:val="Heading2"/>
        <w:spacing w:after="110" w:before="240"/>
      </w:pPr>
      <w:r>
        <w:rPr>
          <w:rFonts w:ascii="Calibri" w:cs="Calibri" w:eastAsia="Calibri" w:hAnsi="Calibri"/>
          <w:b/>
          <w:bCs/>
          <w:color w:val="3A2E28"/>
          <w:sz w:val="24"/>
          <w:szCs w:val="24"/>
        </w:rPr>
        <w:t xml:space="preserve">6.1 The Weight Ladder</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300"/>
        <w:gridCol w:w="1600"/>
        <w:gridCol w:w="1600"/>
        <w:gridCol w:w="2580"/>
      </w:tblGrid>
      <w:tr>
        <w:trPr>
          <w:tblHeader/>
        </w:trPr>
        <w:tc>
          <w:tcPr>
            <w:tcW w:type="dxa" w:w="43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Item</w:t>
            </w:r>
          </w:p>
        </w:tc>
        <w:tc>
          <w:tcPr>
            <w:tcW w:type="dxa" w:w="16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Mass kg</w:t>
            </w:r>
          </w:p>
        </w:tc>
        <w:tc>
          <w:tcPr>
            <w:tcW w:type="dxa" w:w="16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Cumulative kg</w:t>
            </w:r>
          </w:p>
        </w:tc>
        <w:tc>
          <w:tcPr>
            <w:tcW w:type="dxa" w:w="2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weight, standard configuration</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1,271.0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1,271.0</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published figure, seven-place interior</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Interior removal credit</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1,219.0</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Five cabin seats, carpet and trim removed</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 modules, four at 6.5 kW</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216.7</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1435.7</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drivers, combiners; cabin rack</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Thermal management</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89.8</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1525.5</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Cores, pumps, coolant, plumbing at 2.0 kg per kW rejected</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power take-off and rectifier</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52.7</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1578.2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1.45 kW per kg of electrical output</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 turret and optics</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1633.2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Four heads, expanders, windows, service loop</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Sensing package</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1661.2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Thermal, spectroscopic, lidar, transmissometer</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Compute and control</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22.0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1683.2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Dose controller, perception, safety chain, recorder</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 voltage distribution</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1718.2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bus, contactors, protection</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Pod structure, mounts, fairings</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1813.2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Belly pod and cabin rack</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Fire suppression and inerting</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1827.2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bay and pod, independent of engine bay</w:t>
            </w:r>
          </w:p>
        </w:tc>
      </w:tr>
      <w:tr>
        <w:trPr>
          <w:tblHeader w:val="false"/>
        </w:trPr>
        <w:tc>
          <w:tcPr>
            <w:tcW w:type="dxa" w:w="43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OPERATING WEIGHT EMPTY</w:t>
            </w:r>
          </w:p>
        </w:tc>
        <w:tc>
          <w:tcPr>
            <w:tcW w:type="dxa" w:w="1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1827.2</w:t>
            </w:r>
          </w:p>
        </w:tc>
        <w:tc>
          <w:tcPr>
            <w:tcW w:type="dxa" w:w="1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1827.2</w:t>
            </w:r>
          </w:p>
        </w:tc>
        <w:tc>
          <w:tcPr>
            <w:tcW w:type="dxa" w:w="25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Modified aircraft, no crew, no fuel</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Pilot</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1922.2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Including equipment and survival kit</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System operator</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2017.2</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18 states why this seat is a requirement</w:t>
            </w:r>
          </w:p>
        </w:tc>
      </w:tr>
      <w:tr>
        <w:trPr>
          <w:tblHeader w:val="false"/>
        </w:trPr>
        <w:tc>
          <w:tcPr>
            <w:tcW w:type="dxa" w:w="4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556 L standard plus auxiliary</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447</w:t>
            </w:r>
          </w:p>
        </w:tc>
        <w:tc>
          <w:tcPr>
            <w:tcW w:type="dxa" w:w="1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2,369</w:t>
            </w:r>
          </w:p>
        </w:tc>
        <w:tc>
          <w:tcPr>
            <w:tcW w:type="dxa" w:w="2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0.804 kg per litre</w:t>
            </w:r>
          </w:p>
        </w:tc>
      </w:tr>
      <w:tr>
        <w:trPr>
          <w:tblHeader w:val="false"/>
        </w:trPr>
        <w:tc>
          <w:tcPr>
            <w:tcW w:type="dxa" w:w="43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TAKEOFF GROSS WEIGHT</w:t>
            </w:r>
          </w:p>
        </w:tc>
        <w:tc>
          <w:tcPr>
            <w:tcW w:type="dxa" w:w="1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t>
            </w:r>
          </w:p>
        </w:tc>
        <w:tc>
          <w:tcPr>
            <w:tcW w:type="dxa" w:w="1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2,369</w:t>
            </w:r>
          </w:p>
        </w:tc>
        <w:tc>
          <w:tcPr>
            <w:tcW w:type="dxa" w:w="25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Against 2,381 kg maximum internal</w:t>
            </w:r>
          </w:p>
        </w:tc>
      </w:tr>
      <w:tr>
        <w:trPr>
          <w:tblHeader w:val="false"/>
        </w:trPr>
        <w:tc>
          <w:tcPr>
            <w:tcW w:type="dxa" w:w="43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Remaining margin</w:t>
            </w:r>
          </w:p>
        </w:tc>
        <w:tc>
          <w:tcPr>
            <w:tcW w:type="dxa" w:w="1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t>
            </w:r>
          </w:p>
        </w:tc>
        <w:tc>
          <w:tcPr>
            <w:tcW w:type="dxa" w:w="1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11.8</w:t>
            </w:r>
          </w:p>
        </w:tc>
        <w:tc>
          <w:tcPr>
            <w:tcW w:type="dxa" w:w="25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1.4 percent of maximum takeoff weight</w:t>
            </w:r>
          </w:p>
        </w:tc>
      </w:tr>
    </w:tbl>
    <w:p>
      <w:pPr>
        <w:spacing w:after="200" w:before="60"/>
      </w:pPr>
      <w:r>
        <w:rPr>
          <w:rFonts w:ascii="Calibri" w:cs="Calibri" w:eastAsia="Calibri" w:hAnsi="Calibri"/>
          <w:i/>
          <w:iCs/>
          <w:color w:val="6B5A4E"/>
          <w:sz w:val="17"/>
          <w:szCs w:val="17"/>
        </w:rPr>
        <w:t xml:space="preserve">Table 6: The weight ladder from certified empty weight to takeoff gross weight. The mission system totals 556 kg, of which the sources and their cooling account for 307 kg.</w:t>
      </w:r>
    </w:p>
    <w:p>
      <w:pPr>
        <w:spacing w:after="60" w:before="180"/>
        <w:jc w:val="center"/>
      </w:pPr>
      <w:r>
        <w:drawing>
          <wp:inline distT="0" distB="0" distL="0" distR="0">
            <wp:extent cx="59912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91225" cy="217170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5: Left, takeoff gross weight allocation. Right, the treatment system bill of materials by group. The source modules dominate cost and mass together, which is the reason Section 30 identifies source specific power as the highest-value growth item.</w:t>
      </w:r>
    </w:p>
    <w:p>
      <w:pPr>
        <w:pStyle w:val="Heading2"/>
        <w:spacing w:after="110" w:before="240"/>
      </w:pPr>
      <w:r>
        <w:rPr>
          <w:rFonts w:ascii="Calibri" w:cs="Calibri" w:eastAsia="Calibri" w:hAnsi="Calibri"/>
          <w:b/>
          <w:bCs/>
          <w:color w:val="3A2E28"/>
          <w:sz w:val="24"/>
          <w:szCs w:val="24"/>
        </w:rPr>
        <w:t xml:space="preserve">6.2 Growth Allowance and What Happens Without One</w:t>
      </w:r>
    </w:p>
    <w:p>
      <w:pPr>
        <w:spacing w:after="120" w:before="60" w:line="276"/>
        <w:jc w:val="left"/>
      </w:pPr>
      <w:r>
        <w:rPr>
          <w:rFonts w:ascii="Calibri" w:cs="Calibri" w:eastAsia="Calibri" w:hAnsi="Calibri"/>
          <w:b w:val="false"/>
          <w:bCs w:val="false"/>
          <w:i w:val="false"/>
          <w:iCs w:val="false"/>
          <w:color w:val="3A2E28"/>
          <w:sz w:val="20"/>
          <w:szCs w:val="20"/>
        </w:rPr>
        <w:t xml:space="preserve">The 11.8 kg of remaining margin is not a growth allowance. It is the difference between a calculated estimate and a limit, and calculated estimates for systems of this complexity grow. This installation therefore carries its growth allowance in fuel rather than in structural margin.</w:t>
      </w:r>
    </w:p>
    <w:p>
      <w:pPr>
        <w:spacing w:after="120" w:before="60" w:line="276"/>
        <w:jc w:val="left"/>
      </w:pPr>
      <w:r>
        <w:rPr>
          <w:rFonts w:ascii="Calibri" w:cs="Calibri" w:eastAsia="Calibri" w:hAnsi="Calibri"/>
          <w:b w:val="false"/>
          <w:bCs w:val="false"/>
          <w:i w:val="false"/>
          <w:iCs w:val="false"/>
          <w:color w:val="3A2E28"/>
          <w:sz w:val="20"/>
          <w:szCs w:val="20"/>
        </w:rPr>
        <w:t xml:space="preserve">The mechanism is simple and it is stated here so that it is not discovered in service. Every kilogram of mass growth is offset by one kilogram less fuel, which costs 0.27 minutes of on-station time per kilogram. A 30 kg overrun, which is 5.4 percent of the mission system and entirely plausible, costs 8.0 minutes and roughly 14 m2 per sortie. It does not ground the aircraft and it does not force a redesign.</w:t>
      </w:r>
    </w:p>
    <w:p>
      <w:pPr>
        <w:spacing w:after="120" w:before="60" w:line="276"/>
        <w:jc w:val="left"/>
      </w:pPr>
      <w:r>
        <w:rPr>
          <w:rFonts w:ascii="Calibri" w:cs="Calibri" w:eastAsia="Calibri" w:hAnsi="Calibri"/>
          <w:b w:val="false"/>
          <w:bCs w:val="false"/>
          <w:i w:val="false"/>
          <w:iCs w:val="false"/>
          <w:color w:val="3A2E28"/>
          <w:sz w:val="20"/>
          <w:szCs w:val="20"/>
        </w:rPr>
        <w:t xml:space="preserve">A 60 kg overrun costs 15.9 minutes and takes on-station time below 1.5 h, at which point the transit and turnaround fraction of the cycle makes the economics of Section 25 materially worse. Sixty kilograms is therefore the point at which the programme reduces installed optical power rather than accepting the mass, and Section 29 carries that decision as a costed recovery path.</w:t>
      </w:r>
    </w:p>
    <w:p>
      <w:pPr>
        <w:pStyle w:val="Heading2"/>
        <w:spacing w:after="110" w:before="240"/>
      </w:pPr>
      <w:r>
        <w:rPr>
          <w:rFonts w:ascii="Calibri" w:cs="Calibri" w:eastAsia="Calibri" w:hAnsi="Calibri"/>
          <w:b/>
          <w:bCs/>
          <w:color w:val="3A2E28"/>
          <w:sz w:val="24"/>
          <w:szCs w:val="24"/>
        </w:rPr>
        <w:t xml:space="preserve">6.3 Longitudinal Balance</w:t>
      </w:r>
    </w:p>
    <w:p>
      <w:pPr>
        <w:spacing w:after="120" w:before="60" w:line="276"/>
        <w:jc w:val="left"/>
      </w:pPr>
      <w:r>
        <w:rPr>
          <w:rFonts w:ascii="Calibri" w:cs="Calibri" w:eastAsia="Calibri" w:hAnsi="Calibri"/>
          <w:b w:val="false"/>
          <w:bCs w:val="false"/>
          <w:i w:val="false"/>
          <w:iCs w:val="false"/>
          <w:color w:val="3A2E28"/>
          <w:sz w:val="20"/>
          <w:szCs w:val="20"/>
        </w:rPr>
        <w:t xml:space="preserve">The Bell 407 carries its engine and transmission high and slightly aft of the mast, and its centre of gravity envelope is narrow relative to the mass this installation adds. The system is therefore split deliberately rather than packaged for convenience.</w:t>
      </w:r>
    </w:p>
    <w:p>
      <w:pPr>
        <w:spacing w:after="120" w:before="60" w:line="276"/>
        <w:jc w:val="left"/>
      </w:pPr>
      <w:r>
        <w:rPr>
          <w:rFonts w:ascii="Calibri" w:cs="Calibri" w:eastAsia="Calibri" w:hAnsi="Calibri"/>
          <w:b w:val="false"/>
          <w:bCs w:val="false"/>
          <w:i w:val="false"/>
          <w:iCs w:val="false"/>
          <w:color w:val="3A2E28"/>
          <w:sz w:val="20"/>
          <w:szCs w:val="20"/>
        </w:rPr>
        <w:t xml:space="preserve">The heavy items, being the four source modules, their drivers, the compute stack and the high voltage distribution, mount in a crashworthy rack occupying the forward cabin floor immediately under the mast. This places roughly 274 kg within 0.4 m of the neutral point, where it has minimal moment. The rack qualifies to 16 g forward, which is the requirement that governs any substantial mass in an occupied cabin.</w:t>
      </w:r>
    </w:p>
    <w:p>
      <w:pPr>
        <w:spacing w:after="120" w:before="60" w:line="276"/>
        <w:jc w:val="left"/>
      </w:pPr>
      <w:r>
        <w:rPr>
          <w:rFonts w:ascii="Calibri" w:cs="Calibri" w:eastAsia="Calibri" w:hAnsi="Calibri"/>
          <w:b w:val="false"/>
          <w:bCs w:val="false"/>
          <w:i w:val="false"/>
          <w:iCs w:val="false"/>
          <w:color w:val="3A2E28"/>
          <w:sz w:val="20"/>
          <w:szCs w:val="20"/>
        </w:rPr>
        <w:t xml:space="preserve">The belly pod carries the turret, the four scan heads, the optics and the two heat exchanger cores, totalling roughly 149 kg, and mounts to the existing cargo hook hardpoint fittings and two additional frames. The pod centre of mass sits 0.15 m forward of the mast centreline, which trims against the aft-heavy source rack.</w:t>
      </w:r>
    </w:p>
    <w:p>
      <w:pPr>
        <w:spacing w:after="120" w:before="60" w:line="276"/>
        <w:jc w:val="left"/>
      </w:pPr>
      <w:r>
        <w:rPr>
          <w:rFonts w:ascii="Calibri" w:cs="Calibri" w:eastAsia="Calibri" w:hAnsi="Calibri"/>
          <w:b w:val="false"/>
          <w:bCs w:val="false"/>
          <w:i w:val="false"/>
          <w:iCs w:val="false"/>
          <w:color w:val="3A2E28"/>
          <w:sz w:val="20"/>
          <w:szCs w:val="20"/>
        </w:rPr>
        <w:t xml:space="preserve">The generator and power take-off mount on the main transmission accessory pad and contribute 52.7 kg essentially at the neutral point. Ballast provision exists in the tailboom for fine trim, and the weight and balance page of the flight deck avionics accepts the modified empty weight and moment directly.</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7. Power Extraction Architecture</w:t>
      </w:r>
    </w:p>
    <w:p>
      <w:pPr>
        <w:spacing w:after="120" w:before="60" w:line="276"/>
        <w:jc w:val="left"/>
      </w:pPr>
      <w:r>
        <w:rPr>
          <w:rFonts w:ascii="Calibri" w:cs="Calibri" w:eastAsia="Calibri" w:hAnsi="Calibri"/>
          <w:b w:val="false"/>
          <w:bCs w:val="false"/>
          <w:i w:val="false"/>
          <w:iCs w:val="false"/>
          <w:color w:val="3A2E28"/>
          <w:sz w:val="20"/>
          <w:szCs w:val="20"/>
        </w:rPr>
        <w:t xml:space="preserve">The mission requires 76.4 kW of electrical power. The aircraft supplies 5.04 kW from a 180 A starter-generator. This section specifies the machine that closes the gap, and identifies it as the single largest engineering item in the certification programme.</w:t>
      </w:r>
    </w:p>
    <w:p>
      <w:pPr>
        <w:pStyle w:val="Heading2"/>
        <w:spacing w:after="110" w:before="240"/>
      </w:pPr>
      <w:r>
        <w:rPr>
          <w:rFonts w:ascii="Calibri" w:cs="Calibri" w:eastAsia="Calibri" w:hAnsi="Calibri"/>
          <w:b/>
          <w:bCs/>
          <w:color w:val="3A2E28"/>
          <w:sz w:val="24"/>
          <w:szCs w:val="24"/>
        </w:rPr>
        <w:t xml:space="preserve">7.1 Three Architectures Considered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400"/>
        <w:gridCol w:w="2400"/>
        <w:gridCol w:w="2400"/>
        <w:gridCol w:w="2880"/>
      </w:tblGrid>
      <w:tr>
        <w:trPr>
          <w:tblHeader/>
        </w:trPr>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Architecture</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Mass</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Fuel penalty</w:t>
            </w:r>
          </w:p>
        </w:tc>
        <w:tc>
          <w:tcPr>
            <w:tcW w:type="dxa" w:w="2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Assessment</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Uprated starter-generator on the engine accessory gearbox</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None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Rejected. The accessory gearbox pad is rated for a fraction of the required torque and the modification touches a certified engine</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Auxiliary turboshaft power unit with its own generator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126 kg</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 kg per hour</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Rejected. Adds a second engine to certify, and the fuel penalty consumes the on-station time the mission needs</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take-off from the main transmission accessory pad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52.7 kg</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None beyond the shaft power itself</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ADOPTED. Draws from the gearbox the aircraft already has, inside the rating the type certificate already establishes</w:t>
            </w:r>
          </w:p>
        </w:tc>
      </w:tr>
    </w:tbl>
    <w:p>
      <w:pPr>
        <w:spacing w:after="200" w:before="60"/>
      </w:pPr>
      <w:r>
        <w:rPr>
          <w:rFonts w:ascii="Calibri" w:cs="Calibri" w:eastAsia="Calibri" w:hAnsi="Calibri"/>
          <w:i/>
          <w:iCs/>
          <w:color w:val="6B5A4E"/>
          <w:sz w:val="17"/>
          <w:szCs w:val="17"/>
        </w:rPr>
        <w:t xml:space="preserve">Table 7: Power extraction architectures. The transmission power take-off is adopted because it adds no engine, no separate fuel system and no separate exhaust, and because the transmission rating already bounds the extraction.</w:t>
      </w:r>
    </w:p>
    <w:p>
      <w:pPr>
        <w:spacing w:after="120" w:before="60" w:line="276"/>
        <w:jc w:val="left"/>
      </w:pPr>
      <w:r>
        <w:rPr>
          <w:rFonts w:ascii="Calibri" w:cs="Calibri" w:eastAsia="Calibri" w:hAnsi="Calibri"/>
          <w:b w:val="false"/>
          <w:bCs w:val="false"/>
          <w:i w:val="false"/>
          <w:iCs w:val="false"/>
          <w:color w:val="3A2E28"/>
          <w:sz w:val="20"/>
          <w:szCs w:val="20"/>
        </w:rPr>
        <w:t xml:space="preserve">The auxiliary power unit option deserves its rejection stated in full, because it is the intuitive answer. A 180 kW class turboshaft weighing 61 kg with a 45 kg generator and 20 kg of inlet and exhaust ducting delivers 164 kW electrical, which is more than double the requirement, and it decouples the laser entirely from the flight powerplant. It also burns roughly 65 kg of fuel per hour, which at the tank capacity of 447 kg removes more than half the on-station time. The mission does not survive that.</w:t>
      </w:r>
    </w:p>
    <w:p>
      <w:pPr>
        <w:pStyle w:val="Heading2"/>
        <w:spacing w:after="110" w:before="240"/>
      </w:pPr>
      <w:r>
        <w:rPr>
          <w:rFonts w:ascii="Calibri" w:cs="Calibri" w:eastAsia="Calibri" w:hAnsi="Calibri"/>
          <w:b/>
          <w:bCs/>
          <w:color w:val="3A2E28"/>
          <w:sz w:val="24"/>
          <w:szCs w:val="24"/>
        </w:rPr>
        <w:t xml:space="preserve">7.2 The Power Take-Off</w:t>
      </w:r>
    </w:p>
    <w:p>
      <w:pPr>
        <w:spacing w:after="120" w:before="60" w:line="276"/>
        <w:jc w:val="left"/>
      </w:pPr>
      <w:r>
        <w:rPr>
          <w:rFonts w:ascii="Calibri" w:cs="Calibri" w:eastAsia="Calibri" w:hAnsi="Calibri"/>
          <w:b w:val="false"/>
          <w:bCs w:val="false"/>
          <w:i w:val="false"/>
          <w:iCs w:val="false"/>
          <w:color w:val="3A2E28"/>
          <w:sz w:val="20"/>
          <w:szCs w:val="20"/>
        </w:rPr>
        <w:t xml:space="preserve">The power take-off drives from the main transmission accessory pad through a dedicated quill shaft at rotor drive speed, stepping up through a single reduction to the generator input speed. It is rated for 100 kW continuous, which is 5 kW above the maximum extraction the load-shed controller permits, and it carries a torque-limiting coupling that shears at 128 percent of rating to protect the gearbox against a generator seizure.</w:t>
      </w:r>
    </w:p>
    <w:p>
      <w:pPr>
        <w:spacing w:after="120" w:before="60" w:line="276"/>
        <w:jc w:val="left"/>
      </w:pPr>
      <w:r>
        <w:rPr>
          <w:rFonts w:ascii="Calibri" w:cs="Calibri" w:eastAsia="Calibri" w:hAnsi="Calibri"/>
          <w:b w:val="false"/>
          <w:bCs w:val="false"/>
          <w:i w:val="false"/>
          <w:iCs w:val="false"/>
          <w:color w:val="3A2E28"/>
          <w:sz w:val="20"/>
          <w:szCs w:val="20"/>
        </w:rPr>
        <w:t xml:space="preserve">Three features of the design exist for certification rather than for function. The drive is arranged so that a complete failure of the power take-off, including a seized generator upstream of the shear coupling, does not affect main or tail rotor drive. The quill shaft is instrumented for torque and speed on two independent channels feeding the load-shed controller. And the installation is designed so that the extraction is removable and the aircraft returns to the baseline configuration with a blanking plate, which allows the airframe to fly conventional missions between fire seasons.</w:t>
      </w:r>
    </w:p>
    <w:p>
      <w:pPr>
        <w:spacing w:after="120" w:before="60" w:line="276"/>
        <w:jc w:val="left"/>
      </w:pPr>
      <w:r>
        <w:rPr>
          <w:rFonts w:ascii="Calibri" w:cs="Calibri" w:eastAsia="Calibri" w:hAnsi="Calibri"/>
          <w:b w:val="false"/>
          <w:bCs w:val="false"/>
          <w:i w:val="false"/>
          <w:iCs w:val="false"/>
          <w:color w:val="3A2E28"/>
          <w:sz w:val="20"/>
          <w:szCs w:val="20"/>
        </w:rPr>
        <w:t xml:space="preserve">This item is the largest single risk in the certification programme and Section 29 rates it accordingly. Extracting 95 kW from a transmission certified for 470 kW of through-power is not a change any existing supplemental type certificate on this model covers. Section 27 states the compliance approach and Section 28 states the test programme, which includes a full-torque endurance run on a transmission test stand before any flight.</w:t>
      </w:r>
    </w:p>
    <w:p>
      <w:pPr>
        <w:pStyle w:val="Heading2"/>
        <w:spacing w:after="110" w:before="240"/>
      </w:pPr>
      <w:r>
        <w:rPr>
          <w:rFonts w:ascii="Calibri" w:cs="Calibri" w:eastAsia="Calibri" w:hAnsi="Calibri"/>
          <w:b/>
          <w:bCs/>
          <w:color w:val="3A2E28"/>
          <w:sz w:val="24"/>
          <w:szCs w:val="24"/>
        </w:rPr>
        <w:t xml:space="preserve">7.3 The Generator and Rectifier</w:t>
      </w:r>
    </w:p>
    <w:p>
      <w:pPr>
        <w:spacing w:after="120" w:before="60" w:line="276"/>
        <w:jc w:val="left"/>
      </w:pPr>
      <w:r>
        <w:rPr>
          <w:rFonts w:ascii="Calibri" w:cs="Calibri" w:eastAsia="Calibri" w:hAnsi="Calibri"/>
          <w:b w:val="false"/>
          <w:bCs w:val="false"/>
          <w:i w:val="false"/>
          <w:iCs w:val="false"/>
          <w:color w:val="3A2E28"/>
          <w:sz w:val="20"/>
          <w:szCs w:val="20"/>
        </w:rPr>
        <w:t xml:space="preserve">A permanent-magnet generator rated at 90 kW continuous converts the extracted shaft power to three-phase alternating current at variable frequency, and an active rectifier converts that to the 800 V direct current bus that feeds the laser drivers. Oil cooling for the generator taps the existing transmission oil circuit through a dedicated heat exchanger, which is a smaller and better-precedented change than adding a separate cooling loop.</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900"/>
        <w:gridCol w:w="1900"/>
        <w:gridCol w:w="4480"/>
      </w:tblGrid>
      <w:tr>
        <w:trPr>
          <w:tblHeader/>
        </w:trPr>
        <w:tc>
          <w:tcPr>
            <w:tcW w:type="dxa" w:w="3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Stage</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Efficiency</w:t>
            </w:r>
          </w:p>
        </w:tc>
        <w:tc>
          <w:tcPr>
            <w:tcW w:type="dxa" w:w="44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take-off drive and step-up gearing</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0.980</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reduction, oil-lubricated from the transmission circuit</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Permanent-magnet generator</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0.955</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Oil-cooled, 90 kW continuous rating</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Active rectifier to the 800 V bus</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Regenerative capable; supports dynamic braking of the turret drives</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CHAIN TOTAL</w:t>
            </w:r>
          </w:p>
        </w:tc>
        <w:tc>
          <w:tcPr>
            <w:tcW w:type="dxa" w:w="1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0.9125</w:t>
            </w:r>
          </w:p>
        </w:tc>
        <w:tc>
          <w:tcPr>
            <w:tcW w:type="dxa" w:w="44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Shaft to bus</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Shaft power for 76.4 kW at the bus</w:t>
            </w:r>
          </w:p>
        </w:tc>
        <w:tc>
          <w:tcPr>
            <w:tcW w:type="dxa" w:w="1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83.7 kW</w:t>
            </w:r>
          </w:p>
        </w:tc>
        <w:tc>
          <w:tcPr>
            <w:tcW w:type="dxa" w:w="44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Against the 74.4 kW of margin at the design point</w:t>
            </w:r>
          </w:p>
        </w:tc>
      </w:tr>
    </w:tbl>
    <w:p>
      <w:pPr>
        <w:spacing w:after="200" w:before="60"/>
      </w:pPr>
      <w:r>
        <w:rPr>
          <w:rFonts w:ascii="Calibri" w:cs="Calibri" w:eastAsia="Calibri" w:hAnsi="Calibri"/>
          <w:i/>
          <w:iCs/>
          <w:color w:val="6B5A4E"/>
          <w:sz w:val="17"/>
          <w:szCs w:val="17"/>
        </w:rPr>
        <w:t xml:space="preserve">Table 8: Generator chain efficiency. The chain loses 7.3 kW as heat, which the transmission oil circuit and the rectifier cold plate reject separately from the laser cooling loop.</w:t>
      </w:r>
    </w:p>
    <w:p>
      <w:pPr>
        <w:spacing w:after="120" w:before="60" w:line="276"/>
        <w:jc w:val="left"/>
      </w:pPr>
      <w:r>
        <w:rPr>
          <w:rFonts w:ascii="Calibri" w:cs="Calibri" w:eastAsia="Calibri" w:hAnsi="Calibri"/>
          <w:b w:val="false"/>
          <w:bCs w:val="false"/>
          <w:i w:val="false"/>
          <w:iCs w:val="false"/>
          <w:color w:val="3A2E28"/>
          <w:sz w:val="20"/>
          <w:szCs w:val="20"/>
        </w:rPr>
        <w:t xml:space="preserve">The 800 V bus voltage is inherited from the E6 architecture and for the same reason: at 76.4 kW the bus carries 96 A, where a 400 V bus carries 191 A and requires roughly twice the conductor mass. The 800 V level also matches the native input voltage of the laser driver units, which removes a conversion stage.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8. Electrical System</w:t>
      </w:r>
    </w:p>
    <w:p>
      <w:pPr>
        <w:spacing w:after="120" w:before="60" w:line="276"/>
        <w:jc w:val="left"/>
      </w:pPr>
      <w:r>
        <w:rPr>
          <w:rFonts w:ascii="Calibri" w:cs="Calibri" w:eastAsia="Calibri" w:hAnsi="Calibri"/>
          <w:b w:val="false"/>
          <w:bCs w:val="false"/>
          <w:i w:val="false"/>
          <w:iCs w:val="false"/>
          <w:color w:val="3A2E28"/>
          <w:sz w:val="20"/>
          <w:szCs w:val="20"/>
        </w:rPr>
        <w:t xml:space="preserve">The installation adds a high voltage direct current system to an aircraft with a 28 V direct current system, and the governing principle is that the two never interact in a way that lets the new system affect the certified one. This section states the separation and the protection.</w:t>
      </w:r>
    </w:p>
    <w:p>
      <w:pPr>
        <w:pStyle w:val="Heading2"/>
        <w:spacing w:after="110" w:before="240"/>
      </w:pPr>
      <w:r>
        <w:rPr>
          <w:rFonts w:ascii="Calibri" w:cs="Calibri" w:eastAsia="Calibri" w:hAnsi="Calibri"/>
          <w:b/>
          <w:bCs/>
          <w:color w:val="3A2E28"/>
          <w:sz w:val="24"/>
          <w:szCs w:val="24"/>
        </w:rPr>
        <w:t xml:space="preserve">8.1 Two Independent Systems</w:t>
      </w:r>
    </w:p>
    <w:p>
      <w:pPr>
        <w:spacing w:after="120" w:before="60" w:line="276"/>
        <w:jc w:val="left"/>
      </w:pPr>
      <w:r>
        <w:rPr>
          <w:rFonts w:ascii="Calibri" w:cs="Calibri" w:eastAsia="Calibri" w:hAnsi="Calibri"/>
          <w:b w:val="false"/>
          <w:bCs w:val="false"/>
          <w:i w:val="false"/>
          <w:iCs w:val="false"/>
          <w:color w:val="3A2E28"/>
          <w:sz w:val="20"/>
          <w:szCs w:val="20"/>
        </w:rPr>
        <w:t xml:space="preserve">The aircraft 28 V system, its 180 A starter-generator, its battery, and every flight-critical load remain exactly as certified. No flight instrument, no engine control, no flight control and no communication system draws from the mission bus or shares a return path with it. The mission system takes nothing from the aircraft bus except a single fused discrete signal that indicates aircraft power state, and it returns nothing to it.</w:t>
      </w:r>
    </w:p>
    <w:p>
      <w:pPr>
        <w:spacing w:after="120" w:before="60" w:line="276"/>
        <w:jc w:val="left"/>
      </w:pPr>
      <w:r>
        <w:rPr>
          <w:rFonts w:ascii="Calibri" w:cs="Calibri" w:eastAsia="Calibri" w:hAnsi="Calibri"/>
          <w:b w:val="false"/>
          <w:bCs w:val="false"/>
          <w:i w:val="false"/>
          <w:iCs w:val="false"/>
          <w:color w:val="3A2E28"/>
          <w:sz w:val="20"/>
          <w:szCs w:val="20"/>
        </w:rPr>
        <w:t xml:space="preserve">The mission bus operates at 800 V direct current, is fully isolated from the airframe with continuous insulation monitoring, and carries its own return conductors rather than using the airframe as a return. Insulation resistance below 500 kilohms triggers a caution; below 100 kilohms the bus isolates automatically. This arrangement is standard practice for high voltage systems on composite and metallic airframes and it exists so that a high voltage fault cannot energise the structure.</w:t>
      </w:r>
    </w:p>
    <w:p>
      <w:pPr>
        <w:pStyle w:val="Heading2"/>
        <w:spacing w:after="110" w:before="240"/>
      </w:pPr>
      <w:r>
        <w:rPr>
          <w:rFonts w:ascii="Calibri" w:cs="Calibri" w:eastAsia="Calibri" w:hAnsi="Calibri"/>
          <w:b/>
          <w:bCs/>
          <w:color w:val="3A2E28"/>
          <w:sz w:val="24"/>
          <w:szCs w:val="24"/>
        </w:rPr>
        <w:t xml:space="preserve">8.2 Protection and Load Shed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100"/>
        <w:gridCol w:w="2200"/>
        <w:gridCol w:w="2200"/>
        <w:gridCol w:w="2780"/>
      </w:tblGrid>
      <w:tr>
        <w:trPr>
          <w:tblHeader/>
        </w:trPr>
        <w:tc>
          <w:tcPr>
            <w:tcW w:type="dxa" w:w="3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Event</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Detection</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Action</w:t>
            </w:r>
          </w:p>
        </w:tc>
        <w:tc>
          <w:tcPr>
            <w:tcW w:type="dxa" w:w="27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Time</w:t>
            </w:r>
          </w:p>
        </w:tc>
      </w:tr>
      <w:tr>
        <w:trPr>
          <w:tblHeader w:val="false"/>
        </w:trPr>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torque approaching limit</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Dual-channel torque and speed instrumentation</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duty reduced progressively, then bus opened</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Continuous, 50 ms update</w:t>
            </w:r>
          </w:p>
        </w:tc>
      </w:tr>
      <w:tr>
        <w:trPr>
          <w:tblHeader w:val="false"/>
        </w:trPr>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speed decay</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Aircraft rotor speed signal</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bus opened immediately</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100 ms</w:t>
            </w:r>
          </w:p>
        </w:tc>
      </w:tr>
      <w:tr>
        <w:trPr>
          <w:tblHeader w:val="false"/>
        </w:trPr>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failure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FADEC discrete and torque collapse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bus opened, pod jettison armed</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100 ms</w:t>
            </w:r>
          </w:p>
        </w:tc>
      </w:tr>
      <w:tr>
        <w:trPr>
          <w:tblHeader w:val="false"/>
        </w:trPr>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Arc fault on the mission bus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Arc fault detection on each feeder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Affected feeder opened</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20 ms</w:t>
            </w:r>
          </w:p>
        </w:tc>
      </w:tr>
      <w:tr>
        <w:trPr>
          <w:tblHeader w:val="false"/>
        </w:trPr>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Insulation resistance below 100 kilohms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Continuous insulation monitor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isolated</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200 ms</w:t>
            </w:r>
          </w:p>
        </w:tc>
      </w:tr>
      <w:tr>
        <w:trPr>
          <w:tblHeader w:val="false"/>
        </w:trPr>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Coolant loop failure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Flow, pressure and temperature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commanded off, shutters closed</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500 ms</w:t>
            </w:r>
          </w:p>
        </w:tc>
      </w:tr>
      <w:tr>
        <w:trPr>
          <w:tblHeader w:val="false"/>
        </w:trPr>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Crew command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Guarded switch on the collective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opened by hardwired relay</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Immediate, no software path</w:t>
            </w:r>
          </w:p>
        </w:tc>
      </w:tr>
    </w:tbl>
    <w:p>
      <w:pPr>
        <w:spacing w:after="200" w:before="60"/>
      </w:pPr>
      <w:r>
        <w:rPr>
          <w:rFonts w:ascii="Calibri" w:cs="Calibri" w:eastAsia="Calibri" w:hAnsi="Calibri"/>
          <w:i/>
          <w:iCs/>
          <w:color w:val="6B5A4E"/>
          <w:sz w:val="17"/>
          <w:szCs w:val="17"/>
        </w:rPr>
        <w:t xml:space="preserve">Table 9: Mission bus protection and load shed. Every action in this table removes load from the aircraft rather than adding it, which is the property that allows the laser bus to be the first thing shed in any degraded condition.</w:t>
      </w:r>
    </w:p>
    <w:p>
      <w:pPr>
        <w:spacing w:after="120" w:before="60" w:line="276"/>
        <w:jc w:val="left"/>
      </w:pPr>
      <w:r>
        <w:rPr>
          <w:rFonts w:ascii="Calibri" w:cs="Calibri" w:eastAsia="Calibri" w:hAnsi="Calibri"/>
          <w:b w:val="false"/>
          <w:bCs w:val="false"/>
          <w:i w:val="false"/>
          <w:iCs w:val="false"/>
          <w:color w:val="3A2E28"/>
          <w:sz w:val="20"/>
          <w:szCs w:val="20"/>
        </w:rPr>
        <w:t xml:space="preserve">The load-shed controller is the piece of this installation that most directly protects the certified aircraft, and its design principle is that shedding the entire mission load is always safe. The laser is never a flight-critical load. There is no condition in which the aircraft needs it. The controller therefore errs toward shedding, and the recovery from an unnecessary shed is that the crew re-arms the system and resumes treatment thirty seconds later.</w:t>
      </w:r>
    </w:p>
    <w:p>
      <w:pPr>
        <w:spacing w:after="120" w:before="60" w:line="276"/>
        <w:jc w:val="left"/>
      </w:pPr>
      <w:r>
        <w:rPr>
          <w:rFonts w:ascii="Calibri" w:cs="Calibri" w:eastAsia="Calibri" w:hAnsi="Calibri"/>
          <w:b w:val="false"/>
          <w:bCs w:val="false"/>
          <w:i w:val="false"/>
          <w:iCs w:val="false"/>
          <w:color w:val="3A2E28"/>
          <w:sz w:val="20"/>
          <w:szCs w:val="20"/>
        </w:rPr>
        <w:t xml:space="preserve">The collective-mounted guarded switch deserves particular note. It opens the mission bus through a hardwired relay with no software in the path, and it is placed where the pilot's hand already rests during a hover. A pilot who needs power for the rotor gets it by pressing one switch, and gets it in the time a contactor takes to open.</w:t>
      </w:r>
    </w:p>
    <w:p>
      <w:pPr>
        <w:pStyle w:val="Heading2"/>
        <w:spacing w:after="110" w:before="240"/>
      </w:pPr>
      <w:r>
        <w:rPr>
          <w:rFonts w:ascii="Calibri" w:cs="Calibri" w:eastAsia="Calibri" w:hAnsi="Calibri"/>
          <w:b/>
          <w:bCs/>
          <w:color w:val="3A2E28"/>
          <w:sz w:val="24"/>
          <w:szCs w:val="24"/>
        </w:rPr>
        <w:t xml:space="preserve">8.3 Buffer Battery</w:t>
      </w:r>
    </w:p>
    <w:p>
      <w:pPr>
        <w:spacing w:after="120" w:before="60" w:line="276"/>
        <w:jc w:val="left"/>
      </w:pPr>
      <w:r>
        <w:rPr>
          <w:rFonts w:ascii="Calibri" w:cs="Calibri" w:eastAsia="Calibri" w:hAnsi="Calibri"/>
          <w:b w:val="false"/>
          <w:bCs w:val="false"/>
          <w:i w:val="false"/>
          <w:iCs w:val="false"/>
          <w:color w:val="3A2E28"/>
          <w:sz w:val="20"/>
          <w:szCs w:val="20"/>
        </w:rPr>
        <w:t xml:space="preserve">A 6.0 kWh lithium iron phosphate pack on the 800 V bus rides through load transients rather than providing endurance. Its purpose is that the laser draws a stepped load as scan sectors start and stop, and a stepped load of 68.4 kW on a generator driven from the main transmission produces a torque transient the rotor feels. The battery absorbs the step and the generator sees a smoothed demand.</w:t>
      </w:r>
    </w:p>
    <w:p>
      <w:pPr>
        <w:spacing w:after="120" w:before="60" w:line="276"/>
        <w:jc w:val="left"/>
      </w:pPr>
      <w:r>
        <w:rPr>
          <w:rFonts w:ascii="Calibri" w:cs="Calibri" w:eastAsia="Calibri" w:hAnsi="Calibri"/>
          <w:b w:val="false"/>
          <w:bCs w:val="false"/>
          <w:i w:val="false"/>
          <w:iCs w:val="false"/>
          <w:color w:val="3A2E28"/>
          <w:sz w:val="20"/>
          <w:szCs w:val="20"/>
        </w:rPr>
        <w:t xml:space="preserve">The pack is not a flight-critical item, sits in the belly pod behind a firewall, has its own thermal management within the laser coolant loop, and jettisons with the pod. It is arranged as two independent strings so that a single cell fault removes half the buffering rather than all of it, and a complete battery failure reduces treatment quality rather than affecting flight.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9. Thermal Management</w:t>
      </w:r>
    </w:p>
    <w:p>
      <w:pPr>
        <w:spacing w:after="120" w:before="60" w:line="276"/>
        <w:jc w:val="left"/>
      </w:pPr>
      <w:r>
        <w:rPr>
          <w:rFonts w:ascii="Calibri" w:cs="Calibri" w:eastAsia="Calibri" w:hAnsi="Calibri"/>
          <w:b w:val="false"/>
          <w:bCs w:val="false"/>
          <w:i w:val="false"/>
          <w:iCs w:val="false"/>
          <w:color w:val="3A2E28"/>
          <w:sz w:val="20"/>
          <w:szCs w:val="20"/>
        </w:rPr>
        <w:t xml:space="preserve">The treatment system rejects 44.9 kW of heat at full duty. That is nine times the E6 figure and it is the largest single packaging problem in the installation. This section sizes the loop and states where the heat goes.</w:t>
      </w:r>
    </w:p>
    <w:p>
      <w:pPr>
        <w:pStyle w:val="Heading2"/>
        <w:spacing w:after="110" w:before="240"/>
      </w:pPr>
      <w:r>
        <w:rPr>
          <w:rFonts w:ascii="Calibri" w:cs="Calibri" w:eastAsia="Calibri" w:hAnsi="Calibri"/>
          <w:b/>
          <w:bCs/>
          <w:color w:val="3A2E28"/>
          <w:sz w:val="24"/>
          <w:szCs w:val="24"/>
        </w:rPr>
        <w:t xml:space="preserve">9.1 The Heat Load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200"/>
        <w:gridCol w:w="1900"/>
        <w:gridCol w:w="3980"/>
      </w:tblGrid>
      <w:tr>
        <w:trPr>
          <w:tblHeader/>
        </w:trPr>
        <w:tc>
          <w:tcPr>
            <w:tcW w:type="dxa" w:w="4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Source of heat</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kW</w:t>
            </w:r>
          </w:p>
        </w:tc>
        <w:tc>
          <w:tcPr>
            <w:tcW w:type="dxa" w:w="3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modules, four at 6.5 kW optical from 17.1 kW electrical</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42.4</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Wall-plug efficiency 0.38</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drivers and power conditioning</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Cold-plated to the same loop</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 head mirrors and beam dumps</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0.7</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Mirrors carry the full beam at grazing incidence</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LOOP LOAD</w:t>
            </w:r>
          </w:p>
        </w:tc>
        <w:tc>
          <w:tcPr>
            <w:tcW w:type="dxa" w:w="19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44.9</w:t>
            </w:r>
          </w:p>
        </w:tc>
        <w:tc>
          <w:tcPr>
            <w:tcW w:type="dxa" w:w="39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Design case, full duty at the design condition</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and rectifier losses</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7.3</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Rejected separately through the transmission oil circuit</w:t>
            </w:r>
          </w:p>
        </w:tc>
      </w:tr>
    </w:tbl>
    <w:p>
      <w:pPr>
        <w:spacing w:after="200" w:before="60"/>
      </w:pPr>
      <w:r>
        <w:rPr>
          <w:rFonts w:ascii="Calibri" w:cs="Calibri" w:eastAsia="Calibri" w:hAnsi="Calibri"/>
          <w:i/>
          <w:iCs/>
          <w:color w:val="6B5A4E"/>
          <w:sz w:val="17"/>
          <w:szCs w:val="17"/>
        </w:rPr>
        <w:t xml:space="preserve">Table 10: Heat rejection budget. The generator chain losses are deliberately kept on a separate circuit so that a laser coolant failure does not affect the transmission oil system.</w:t>
      </w:r>
    </w:p>
    <w:p>
      <w:pPr>
        <w:pStyle w:val="Heading2"/>
        <w:spacing w:after="110" w:before="240"/>
      </w:pPr>
      <w:r>
        <w:rPr>
          <w:rFonts w:ascii="Calibri" w:cs="Calibri" w:eastAsia="Calibri" w:hAnsi="Calibri"/>
          <w:b/>
          <w:bCs/>
          <w:color w:val="3A2E28"/>
          <w:sz w:val="24"/>
          <w:szCs w:val="24"/>
        </w:rPr>
        <w:t xml:space="preserve">9.2 Loop Sizing</w:t>
      </w:r>
    </w:p>
    <w:p>
      <w:pPr>
        <w:spacing w:after="120" w:before="60" w:line="276"/>
        <w:jc w:val="left"/>
      </w:pPr>
      <w:r>
        <w:rPr>
          <w:rFonts w:ascii="Calibri" w:cs="Calibri" w:eastAsia="Calibri" w:hAnsi="Calibri"/>
          <w:b w:val="false"/>
          <w:bCs w:val="false"/>
          <w:i w:val="false"/>
          <w:iCs w:val="false"/>
          <w:color w:val="3A2E28"/>
          <w:sz w:val="20"/>
          <w:szCs w:val="20"/>
        </w:rPr>
        <w:t xml:space="preserve">The loop carries glycol-water at 50 percent concentration with a specific heat of 3,500 J per kilogram kelvin. At a design temperature rise of 8 K across the sources, mass flow is 1.60 kg per second, which is 91 litres per minute. Two pumps run in parallel and either one carries the full flow at reduced margin, so a pump failure reduces duty rather than ending the sortie.</w:t>
      </w:r>
    </w:p>
    <w:p>
      <w:pPr>
        <w:spacing w:after="120" w:before="60" w:line="276"/>
        <w:jc w:val="left"/>
      </w:pPr>
      <w:r>
        <w:rPr>
          <w:rFonts w:ascii="Calibri" w:cs="Calibri" w:eastAsia="Calibri" w:hAnsi="Calibri"/>
          <w:b w:val="false"/>
          <w:bCs w:val="false"/>
          <w:i w:val="false"/>
          <w:iCs w:val="false"/>
          <w:color w:val="3A2E28"/>
          <w:sz w:val="20"/>
          <w:szCs w:val="20"/>
        </w:rPr>
        <w:t xml:space="preserve">Two ram-air cores reject the load. At an air temperature rise of 12 K the required mass flow is 3.72 kg per second, which is 3.71 m3 per second at the design density, and at the 129 m per second induced velocity through the disc the required face area is 3,261 cm2. That is a 57 cm square, split as two cores of 40 cm by 40 cm mounted on the upper surface of the belly pod.</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Why the cores sit on top of the pod</w:t>
            </w:r>
          </w:p>
          <w:p>
            <w:pPr>
              <w:spacing w:after="60" w:line="270"/>
            </w:pPr>
            <w:r>
              <w:rPr>
                <w:rFonts w:ascii="Calibri" w:cs="Calibri" w:eastAsia="Calibri" w:hAnsi="Calibri"/>
                <w:color w:val="3A2E28"/>
                <w:sz w:val="19"/>
                <w:szCs w:val="19"/>
              </w:rPr>
              <w:t xml:space="preserve">In the hover, which is where this aircraft spends its working life, there is no ram air. There is rotor downwash at 11.4 m per second through the disc.</w:t>
            </w:r>
          </w:p>
          <w:p>
            <w:pPr>
              <w:spacing w:after="60" w:line="270"/>
            </w:pPr>
            <w:r>
              <w:rPr>
                <w:rFonts w:ascii="Calibri" w:cs="Calibri" w:eastAsia="Calibri" w:hAnsi="Calibri"/>
                <w:color w:val="3A2E28"/>
                <w:sz w:val="19"/>
                <w:szCs w:val="19"/>
              </w:rPr>
              <w:t xml:space="preserve">A core on the upper surface of a belly pod sits directly in that downwash and has more cooling flow in the hover than it does in the cruise.</w:t>
            </w:r>
          </w:p>
          <w:p>
            <w:pPr>
              <w:spacing w:after="60" w:line="270"/>
            </w:pPr>
            <w:r>
              <w:rPr>
                <w:rFonts w:ascii="Calibri" w:cs="Calibri" w:eastAsia="Calibri" w:hAnsi="Calibri"/>
                <w:color w:val="3A2E28"/>
                <w:sz w:val="19"/>
                <w:szCs w:val="19"/>
              </w:rPr>
              <w:t xml:space="preserve">The same core takes ram flow in transit, when the laser is off and the load is a tenth of the design case.</w:t>
            </w:r>
          </w:p>
          <w:p>
            <w:pPr>
              <w:spacing w:after="60" w:line="270"/>
            </w:pPr>
            <w:r>
              <w:rPr>
                <w:rFonts w:ascii="Calibri" w:cs="Calibri" w:eastAsia="Calibri" w:hAnsi="Calibri"/>
                <w:color w:val="3A2E28"/>
                <w:sz w:val="19"/>
                <w:szCs w:val="19"/>
              </w:rPr>
              <w:t xml:space="preserve">Variable-pitch fans cover the ground-running case where neither downwash nor ram flow exists.</w:t>
            </w:r>
          </w:p>
        </w:tc>
      </w:tr>
    </w:tbl>
    <w:p>
      <w:pPr>
        <w:pStyle w:val="Heading2"/>
        <w:spacing w:after="110" w:before="240"/>
      </w:pPr>
      <w:r>
        <w:rPr>
          <w:rFonts w:ascii="Calibri" w:cs="Calibri" w:eastAsia="Calibri" w:hAnsi="Calibri"/>
          <w:b/>
          <w:bCs/>
          <w:color w:val="3A2E28"/>
          <w:sz w:val="24"/>
          <w:szCs w:val="24"/>
        </w:rPr>
        <w:t xml:space="preserve">9.3 Failure Behaviour</w:t>
      </w:r>
    </w:p>
    <w:p>
      <w:pPr>
        <w:spacing w:after="120" w:before="60" w:line="276"/>
        <w:jc w:val="left"/>
      </w:pPr>
      <w:r>
        <w:rPr>
          <w:rFonts w:ascii="Calibri" w:cs="Calibri" w:eastAsia="Calibri" w:hAnsi="Calibri"/>
          <w:b w:val="false"/>
          <w:bCs w:val="false"/>
          <w:i w:val="false"/>
          <w:iCs w:val="false"/>
          <w:color w:val="3A2E28"/>
          <w:sz w:val="20"/>
          <w:szCs w:val="20"/>
        </w:rPr>
        <w:t xml:space="preserve">The loop carries redundant pumps, dual temperature and flow instrumentation, and a hardwired interlock that commands the sources off and closes the shutters within 500 ms of a flow, pressure or temperature excursion. Coolant inventory is 42 litres, and the thermal mass of that inventory holds the sources within their operating window for roughly 90 seconds at full duty with zero flow, which is the time available to detect a fault and act.</w:t>
      </w:r>
    </w:p>
    <w:p>
      <w:pPr>
        <w:spacing w:after="120" w:before="60" w:line="276"/>
        <w:jc w:val="left"/>
      </w:pPr>
      <w:r>
        <w:rPr>
          <w:rFonts w:ascii="Calibri" w:cs="Calibri" w:eastAsia="Calibri" w:hAnsi="Calibri"/>
          <w:b w:val="false"/>
          <w:bCs w:val="false"/>
          <w:i w:val="false"/>
          <w:iCs w:val="false"/>
          <w:color w:val="3A2E28"/>
          <w:sz w:val="20"/>
          <w:szCs w:val="20"/>
        </w:rPr>
        <w:t xml:space="preserve">A coolant leak inside the belly pod is contained by the pod floor and drains overboard through a monitored port rather than into the airframe. The nitrogen inerting system of Section 19 covers the source bay, where a leak onto hot equipment is the case of concern.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10. Structural Integration and the Belly Pod</w:t>
      </w:r>
    </w:p>
    <w:p>
      <w:pPr>
        <w:spacing w:after="120" w:before="60" w:line="276"/>
        <w:jc w:val="left"/>
      </w:pPr>
      <w:r>
        <w:rPr>
          <w:rFonts w:ascii="Calibri" w:cs="Calibri" w:eastAsia="Calibri" w:hAnsi="Calibri"/>
          <w:b w:val="false"/>
          <w:bCs w:val="false"/>
          <w:i w:val="false"/>
          <w:iCs w:val="false"/>
          <w:color w:val="3A2E28"/>
          <w:sz w:val="20"/>
          <w:szCs w:val="20"/>
        </w:rPr>
        <w:t xml:space="preserve">The installation attaches to a certified airframe at eleven points and the design principle behind all of them is that loads enter existing hard structure rather than skin. This section states the attachment scheme and the loads.</w:t>
      </w:r>
    </w:p>
    <w:p>
      <w:pPr>
        <w:pStyle w:val="Heading2"/>
        <w:spacing w:after="110" w:before="240"/>
      </w:pPr>
      <w:r>
        <w:rPr>
          <w:rFonts w:ascii="Calibri" w:cs="Calibri" w:eastAsia="Calibri" w:hAnsi="Calibri"/>
          <w:b/>
          <w:bCs/>
          <w:color w:val="3A2E28"/>
          <w:sz w:val="24"/>
          <w:szCs w:val="24"/>
        </w:rPr>
        <w:t xml:space="preserve">10.1 The Split</w:t>
      </w:r>
    </w:p>
    <w:p>
      <w:pPr>
        <w:spacing w:after="120" w:before="60" w:line="276"/>
        <w:jc w:val="left"/>
      </w:pPr>
      <w:r>
        <w:rPr>
          <w:rFonts w:ascii="Calibri" w:cs="Calibri" w:eastAsia="Calibri" w:hAnsi="Calibri"/>
          <w:b w:val="false"/>
          <w:bCs w:val="false"/>
          <w:i w:val="false"/>
          <w:iCs w:val="false"/>
          <w:color w:val="3A2E28"/>
          <w:sz w:val="20"/>
          <w:szCs w:val="20"/>
        </w:rPr>
        <w:t xml:space="preserve">The system divides between a cabin rack and a belly pod, and the division follows mass and function rather than convenience. Heavy, vibration-sensitive, thermally-conditioned items go in the cabin where the environment is benign and the centre of gravity is favourable. Items that need to see the ground, or need airflow, go in the pod.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2200"/>
        <w:gridCol w:w="2200"/>
        <w:gridCol w:w="30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Location</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Contents</w:t>
            </w:r>
          </w:p>
        </w:tc>
        <w:tc>
          <w:tcPr>
            <w:tcW w:type="dxa" w:w="22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Mass kg</w:t>
            </w:r>
          </w:p>
        </w:tc>
        <w:tc>
          <w:tcPr>
            <w:tcW w:type="dxa" w:w="3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Rationale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Cabin equipment rack</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Four source modules, drivers, compute stack, high voltage distribution</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274</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Conditioned, low vibration, near the neutral point, accessible in flight</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Belly pod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four scan heads, optics, two cooling cores, buffer battery, pod avionics</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155</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Downward field of view, downwash cooling, jettisonable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accessory pad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take-off, generator, rectifier</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52.7</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the power source; minimal shafting</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Distributed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Plumbing, harness, sensors, fire protection</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48</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Routed clear of flight controls</w:t>
            </w:r>
          </w:p>
        </w:tc>
      </w:tr>
    </w:tbl>
    <w:p>
      <w:pPr>
        <w:spacing w:after="200" w:before="60"/>
      </w:pPr>
      <w:r>
        <w:rPr>
          <w:rFonts w:ascii="Calibri" w:cs="Calibri" w:eastAsia="Calibri" w:hAnsi="Calibri"/>
          <w:i/>
          <w:iCs/>
          <w:color w:val="6B5A4E"/>
          <w:sz w:val="17"/>
          <w:szCs w:val="17"/>
        </w:rPr>
        <w:t xml:space="preserve">Table 11: System split between cabin rack and belly pod. The pod carries 28 percent of the mission system mass and all of the jettisonable fraction.</w:t>
      </w:r>
    </w:p>
    <w:p>
      <w:pPr>
        <w:pStyle w:val="Heading2"/>
        <w:spacing w:after="110" w:before="240"/>
      </w:pPr>
      <w:r>
        <w:rPr>
          <w:rFonts w:ascii="Calibri" w:cs="Calibri" w:eastAsia="Calibri" w:hAnsi="Calibri"/>
          <w:b/>
          <w:bCs/>
          <w:color w:val="3A2E28"/>
          <w:sz w:val="24"/>
          <w:szCs w:val="24"/>
        </w:rPr>
        <w:t xml:space="preserve">10.2 The Cabin Rack</w:t>
      </w:r>
    </w:p>
    <w:p>
      <w:pPr>
        <w:spacing w:after="120" w:before="60" w:line="276"/>
        <w:jc w:val="left"/>
      </w:pPr>
      <w:r>
        <w:rPr>
          <w:rFonts w:ascii="Calibri" w:cs="Calibri" w:eastAsia="Calibri" w:hAnsi="Calibri"/>
          <w:b w:val="false"/>
          <w:bCs w:val="false"/>
          <w:i w:val="false"/>
          <w:iCs w:val="false"/>
          <w:color w:val="3A2E28"/>
          <w:sz w:val="20"/>
          <w:szCs w:val="20"/>
        </w:rPr>
        <w:t xml:space="preserve">The rack occupies the forward cabin floor and the two forward-facing outboard seat positions, and it qualifies to 16 g forward, 8 g down, 4 g up, 4 g lateral and 1.5 g aft in accordance with the emergency landing condition requirements the aircraft certification basis carries. Attachment is to the existing seat rail structure and the cabin floor beams, with load spread through a bonded aluminium honeycomb interface panel.</w:t>
      </w:r>
    </w:p>
    <w:p>
      <w:pPr>
        <w:spacing w:after="120" w:before="60" w:line="276"/>
        <w:jc w:val="left"/>
      </w:pPr>
      <w:r>
        <w:rPr>
          <w:rFonts w:ascii="Calibri" w:cs="Calibri" w:eastAsia="Calibri" w:hAnsi="Calibri"/>
          <w:b w:val="false"/>
          <w:bCs w:val="false"/>
          <w:i w:val="false"/>
          <w:iCs w:val="false"/>
          <w:color w:val="3A2E28"/>
          <w:sz w:val="20"/>
          <w:szCs w:val="20"/>
        </w:rPr>
        <w:t xml:space="preserve">The rack is the reason the system operator sits where the pilot-side rear seat was rather than in the copilot position. The copilot seat and controls remain installed, which preserves the aircraft dual-control configuration for ferry and training, and which the certification basis requires to be available.</w:t>
      </w:r>
    </w:p>
    <w:p>
      <w:pPr>
        <w:pStyle w:val="Heading2"/>
        <w:spacing w:after="110" w:before="240"/>
      </w:pPr>
      <w:r>
        <w:rPr>
          <w:rFonts w:ascii="Calibri" w:cs="Calibri" w:eastAsia="Calibri" w:hAnsi="Calibri"/>
          <w:b/>
          <w:bCs/>
          <w:color w:val="3A2E28"/>
          <w:sz w:val="24"/>
          <w:szCs w:val="24"/>
        </w:rPr>
        <w:t xml:space="preserve">10.3 The Belly Pod</w:t>
      </w:r>
    </w:p>
    <w:p>
      <w:pPr>
        <w:spacing w:after="120" w:before="60" w:line="276"/>
        <w:jc w:val="left"/>
      </w:pPr>
      <w:r>
        <w:rPr>
          <w:rFonts w:ascii="Calibri" w:cs="Calibri" w:eastAsia="Calibri" w:hAnsi="Calibri"/>
          <w:b w:val="false"/>
          <w:bCs w:val="false"/>
          <w:i w:val="false"/>
          <w:iCs w:val="false"/>
          <w:color w:val="3A2E28"/>
          <w:sz w:val="20"/>
          <w:szCs w:val="20"/>
        </w:rPr>
        <w:t xml:space="preserve">The pod is a composite monocoque 2.4 m long, 0.9 m wide and 0.55 m deep, mounting to the cargo hook hardpoint fittings at the two primary points and to four additional fittings on frames 180, 220, 260 and 300. The cargo hook fittings are rated to the 1,406 kg hook limit, so the pod at 155 kg with a 4.5 g design factor imposes 696 kg equivalent static load, well inside the existing capability.</w:t>
      </w:r>
    </w:p>
    <w:p>
      <w:pPr>
        <w:spacing w:after="120" w:before="60" w:line="276"/>
        <w:jc w:val="left"/>
      </w:pPr>
      <w:r>
        <w:rPr>
          <w:rFonts w:ascii="Calibri" w:cs="Calibri" w:eastAsia="Calibri" w:hAnsi="Calibri"/>
          <w:b w:val="false"/>
          <w:bCs w:val="false"/>
          <w:i w:val="false"/>
          <w:iCs w:val="false"/>
          <w:color w:val="3A2E28"/>
          <w:sz w:val="20"/>
          <w:szCs w:val="20"/>
        </w:rPr>
        <w:t xml:space="preserve">Four features of the pod exist for reasons other than housing equipment. The upper surface carries the two cooling cores in the downwash. The lower surface carries the turret on a spherical bearing with the tilt hard stop machined into the bearing race, so that the stop is structure rather than software. The pod jettisons as a unit at 210 kg through four explosive-bolt attachments and a guillotine on the coolant and fibre bundle, restoring hover margin in a power-loss case. And the pod floor is a fluid-tight tray draining overboard through a monitored port.</w:t>
      </w:r>
    </w:p>
    <w:p>
      <w:pPr>
        <w:pStyle w:val="Heading2"/>
        <w:spacing w:after="110" w:before="240"/>
      </w:pPr>
      <w:r>
        <w:rPr>
          <w:rFonts w:ascii="Calibri" w:cs="Calibri" w:eastAsia="Calibri" w:hAnsi="Calibri"/>
          <w:b/>
          <w:bCs/>
          <w:color w:val="3A2E28"/>
          <w:sz w:val="24"/>
          <w:szCs w:val="24"/>
        </w:rPr>
        <w:t xml:space="preserve">10.4 Vibration</w:t>
      </w:r>
    </w:p>
    <w:p>
      <w:pPr>
        <w:spacing w:after="120" w:before="60" w:line="276"/>
        <w:jc w:val="left"/>
      </w:pPr>
      <w:r>
        <w:rPr>
          <w:rFonts w:ascii="Calibri" w:cs="Calibri" w:eastAsia="Calibri" w:hAnsi="Calibri"/>
          <w:b w:val="false"/>
          <w:bCs w:val="false"/>
          <w:i w:val="false"/>
          <w:iCs w:val="false"/>
          <w:color w:val="3A2E28"/>
          <w:sz w:val="20"/>
          <w:szCs w:val="20"/>
        </w:rPr>
        <w:t xml:space="preserve">The E6 programme learned that industrial laser sources specified for vibration-free installation need a measured spectrum before an isolation system can be designed, and correction C-13 of Aerial v1.5 records the consequence of ignoring that. This installation inherits the lesson. A Bell 407 produces strong excitation at four per rotor revolution, which is 27.4 Hz at 100 percent rotor speed, and at the tail rotor and engine orders above it.</w:t>
      </w:r>
    </w:p>
    <w:p>
      <w:pPr>
        <w:spacing w:after="120" w:before="60" w:line="276"/>
        <w:jc w:val="left"/>
      </w:pPr>
      <w:r>
        <w:rPr>
          <w:rFonts w:ascii="Calibri" w:cs="Calibri" w:eastAsia="Calibri" w:hAnsi="Calibri"/>
          <w:b w:val="false"/>
          <w:bCs w:val="false"/>
          <w:i w:val="false"/>
          <w:iCs w:val="false"/>
          <w:color w:val="3A2E28"/>
          <w:sz w:val="20"/>
          <w:szCs w:val="20"/>
        </w:rPr>
        <w:t xml:space="preserve">Phase 1 of the test programme instruments the cabin rack location and the pod attachment points and measures the spectrum under representative rotor and engine conditions before any source is installed. Isolation cradles are then tuned to that measured spectrum rather than to an assumed one, and Phase 5 qualifies the complete assembly to MIL-STD-810H Method 514.8 with the sources powered and emitting into a calibrated dump.</w:t>
      </w:r>
    </w:p>
    <w:p>
      <w:pPr>
        <w:spacing w:after="120" w:before="60" w:line="276"/>
        <w:jc w:val="left"/>
      </w:pPr>
      <w:r>
        <w:rPr>
          <w:rFonts w:ascii="Calibri" w:cs="Calibri" w:eastAsia="Calibri" w:hAnsi="Calibri"/>
          <w:b w:val="false"/>
          <w:bCs w:val="false"/>
          <w:i w:val="false"/>
          <w:iCs w:val="false"/>
          <w:color w:val="3A2E28"/>
          <w:sz w:val="20"/>
          <w:szCs w:val="20"/>
        </w:rPr>
        <w:t xml:space="preserve">The scan heads are the item most sensitive to this, because a galvanometer mirror holding a beam on a target 20 m below reproduces airframe angular motion directly at the ground. A tenth of a degree of unwanted mirror motion moves the spot 35 mm at the standoff. The turret carries a tactical-grade inertial measurement unit and the scan controller closes a stabilisation loop against it, which Section 16 states in full.</w:t>
      </w:r>
    </w:p>
    <w:p>
      <w:r>
        <w:br w:type="page"/>
      </w:r>
    </w:p>
    <w:p>
      <w:pPr>
        <w:spacing w:after="200" w:before="2400"/>
        <w:jc w:val="center"/>
      </w:pPr>
      <w:r>
        <w:rPr>
          <w:rFonts w:ascii="Calibri" w:cs="Calibri" w:eastAsia="Calibri" w:hAnsi="Calibri"/>
          <w:b/>
          <w:bCs/>
          <w:color w:val="8C7A6B"/>
          <w:sz w:val="34"/>
          <w:szCs w:val="34"/>
        </w:rPr>
        <w:t xml:space="preserve">PART III</w:t>
      </w:r>
    </w:p>
    <w:p>
      <w:pPr>
        <w:spacing w:after="0"/>
        <w:jc w:val="center"/>
      </w:pPr>
      <w:r>
        <w:rPr>
          <w:rFonts w:ascii="Calibri" w:cs="Calibri" w:eastAsia="Calibri" w:hAnsi="Calibri"/>
          <w:b/>
          <w:bCs/>
          <w:color w:val="7B3F24"/>
          <w:sz w:val="44"/>
          <w:szCs w:val="44"/>
        </w:rPr>
        <w:t xml:space="preserve">TREATMENT SYSTEM</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11. Laser Source Array</w:t>
      </w:r>
    </w:p>
    <w:p>
      <w:pPr>
        <w:spacing w:after="120" w:before="60" w:line="276"/>
        <w:jc w:val="left"/>
      </w:pPr>
      <w:r>
        <w:rPr>
          <w:rFonts w:ascii="Calibri" w:cs="Calibri" w:eastAsia="Calibri" w:hAnsi="Calibri"/>
          <w:b w:val="false"/>
          <w:bCs w:val="false"/>
          <w:i w:val="false"/>
          <w:iCs w:val="false"/>
          <w:color w:val="3A2E28"/>
          <w:sz w:val="20"/>
          <w:szCs w:val="20"/>
        </w:rPr>
        <w:t xml:space="preserve">The installation carries 26 kW of installed optical power in four independent 6.5 kW modules. This section states why that number, why four, and what the modules are.</w:t>
      </w:r>
    </w:p>
    <w:p>
      <w:pPr>
        <w:pStyle w:val="Heading2"/>
        <w:spacing w:after="110" w:before="240"/>
      </w:pPr>
      <w:r>
        <w:rPr>
          <w:rFonts w:ascii="Calibri" w:cs="Calibri" w:eastAsia="Calibri" w:hAnsi="Calibri"/>
          <w:b/>
          <w:bCs/>
          <w:color w:val="3A2E28"/>
          <w:sz w:val="24"/>
          <w:szCs w:val="24"/>
        </w:rPr>
        <w:t xml:space="preserve">11.1 Why 26 kW</w:t>
      </w:r>
    </w:p>
    <w:p>
      <w:pPr>
        <w:spacing w:after="120" w:before="60" w:line="276"/>
        <w:jc w:val="left"/>
      </w:pPr>
      <w:r>
        <w:rPr>
          <w:rFonts w:ascii="Calibri" w:cs="Calibri" w:eastAsia="Calibri" w:hAnsi="Calibri"/>
          <w:b w:val="false"/>
          <w:bCs w:val="false"/>
          <w:i w:val="false"/>
          <w:iCs w:val="false"/>
          <w:color w:val="3A2E28"/>
          <w:sz w:val="20"/>
          <w:szCs w:val="20"/>
        </w:rPr>
        <w:t xml:space="preserve">Section 5 establishes that each kilowatt of installed optical power costs 6.17 kW of transmission-limited shaft power. Section 17 integrates the mission across a range of installed powers and finds per-sortie treated area peaking at 26 kW. Below that figure the aircraft has margin it does not use. Above it, the added source and cooling mass raises hover power faster than the added optical power raises treatment rate, and on-station time falls faster than area rate rises.</w:t>
      </w:r>
    </w:p>
    <w:p>
      <w:pPr>
        <w:spacing w:after="60" w:before="180"/>
        <w:jc w:val="center"/>
      </w:pPr>
      <w:r>
        <w:drawing>
          <wp:inline distT="0" distB="0" distL="0" distR="0">
            <wp:extent cx="59912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91225" cy="21050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2: Left, treated area per sortie against installed optical power, with on-station time on the right axis. The peak at 26 kW is broad, so the selection is not knife-edged, and the falling on-station curve is what turns it over. Right, area treatment rate across the Contra Favillas family.</w:t>
      </w:r>
    </w:p>
    <w:p>
      <w:pPr>
        <w:spacing w:after="120" w:before="60" w:line="276"/>
        <w:jc w:val="left"/>
      </w:pPr>
      <w:r>
        <w:rPr>
          <w:rFonts w:ascii="Calibri" w:cs="Calibri" w:eastAsia="Calibri" w:hAnsi="Calibri"/>
          <w:b w:val="false"/>
          <w:bCs w:val="false"/>
          <w:i w:val="false"/>
          <w:iCs w:val="false"/>
          <w:color w:val="3A2E28"/>
          <w:sz w:val="20"/>
          <w:szCs w:val="20"/>
        </w:rPr>
        <w:t xml:space="preserve">The peak is broad. Installed powers between 24 and 28 kW all deliver within 5 percent of the optimum, which means the selection tolerates the mass and efficiency estimates of Section 6 moving by a reasonable margin without invalidating the architecture. That is a deliberate property. A knife-edged optimum on a first-of-type installation is an optimum that does not survive contact with measured hardware.</w:t>
      </w:r>
    </w:p>
    <w:p>
      <w:pPr>
        <w:pStyle w:val="Heading2"/>
        <w:spacing w:after="110" w:before="240"/>
      </w:pPr>
      <w:r>
        <w:rPr>
          <w:rFonts w:ascii="Calibri" w:cs="Calibri" w:eastAsia="Calibri" w:hAnsi="Calibri"/>
          <w:b/>
          <w:bCs/>
          <w:color w:val="3A2E28"/>
          <w:sz w:val="24"/>
          <w:szCs w:val="24"/>
        </w:rPr>
        <w:t xml:space="preserve">11.2 Why Four Modules</w:t>
      </w:r>
    </w:p>
    <w:p>
      <w:pPr>
        <w:spacing w:after="120" w:before="60" w:line="276"/>
        <w:jc w:val="left"/>
      </w:pPr>
      <w:r>
        <w:rPr>
          <w:rFonts w:ascii="Calibri" w:cs="Calibri" w:eastAsia="Calibri" w:hAnsi="Calibri"/>
          <w:b w:val="false"/>
          <w:bCs w:val="false"/>
          <w:i w:val="false"/>
          <w:iCs w:val="false"/>
          <w:color w:val="3A2E28"/>
          <w:sz w:val="20"/>
          <w:szCs w:val="20"/>
        </w:rPr>
        <w:t xml:space="preserve">Four 6.5 kW modules deliver 26 kW, and two 13 kW modules or one 26 kW module deliver the same total. The reasons for splitting are operational rather than optical.</w:t>
      </w:r>
    </w:p>
    <w:p>
      <w:pPr>
        <w:pStyle w:val="ListParagraph"/>
        <w:numPr>
          <w:ilvl w:val="0"/>
          <w:numId w:val="2"/>
        </w:numPr>
        <w:spacing w:after="70" w:before="40" w:line="264"/>
      </w:pPr>
      <w:r>
        <w:rPr>
          <w:rFonts w:ascii="Calibri" w:cs="Calibri" w:eastAsia="Calibri" w:hAnsi="Calibri"/>
          <w:color w:val="3A2E28"/>
          <w:sz w:val="20"/>
          <w:szCs w:val="20"/>
        </w:rPr>
        <w:t xml:space="preserve">Graceful degradation. A single source failure removes one quarter of the swath, and Section 22 states the degraded mode as continuing treatment at 10.5 m width rather than returning to base.</w:t>
      </w:r>
    </w:p>
    <w:p>
      <w:pPr>
        <w:pStyle w:val="ListParagraph"/>
        <w:numPr>
          <w:ilvl w:val="0"/>
          <w:numId w:val="2"/>
        </w:numPr>
        <w:spacing w:after="70" w:before="40" w:line="264"/>
      </w:pPr>
      <w:r>
        <w:rPr>
          <w:rFonts w:ascii="Calibri" w:cs="Calibri" w:eastAsia="Calibri" w:hAnsi="Calibri"/>
          <w:color w:val="3A2E28"/>
          <w:sz w:val="20"/>
          <w:szCs w:val="20"/>
        </w:rPr>
        <w:t xml:space="preserve">Hazard containment. Per-head nominal ocular hazard distance is 990 m against 1,979 m for all four coincident, and the four-head geometry means the coincident case is a fault condition rather than a design condition.</w:t>
      </w:r>
    </w:p>
    <w:p>
      <w:pPr>
        <w:pStyle w:val="ListParagraph"/>
        <w:numPr>
          <w:ilvl w:val="0"/>
          <w:numId w:val="2"/>
        </w:numPr>
        <w:spacing w:after="70" w:before="40" w:line="264"/>
      </w:pPr>
      <w:r>
        <w:rPr>
          <w:rFonts w:ascii="Calibri" w:cs="Calibri" w:eastAsia="Calibri" w:hAnsi="Calibri"/>
          <w:color w:val="3A2E28"/>
          <w:sz w:val="20"/>
          <w:szCs w:val="20"/>
        </w:rPr>
        <w:t xml:space="preserve">Scanner practicality. A 6.5 kW beam through a 150 mm aperture is within the mirror coating, cooling and inertia capability of commercially available large-aperture galvanometer heads. A 26 kW beam through a single head is not.</w:t>
      </w:r>
    </w:p>
    <w:p>
      <w:pPr>
        <w:pStyle w:val="ListParagraph"/>
        <w:numPr>
          <w:ilvl w:val="0"/>
          <w:numId w:val="2"/>
        </w:numPr>
        <w:spacing w:after="70" w:before="40" w:line="264"/>
      </w:pPr>
      <w:r>
        <w:rPr>
          <w:rFonts w:ascii="Calibri" w:cs="Calibri" w:eastAsia="Calibri" w:hAnsi="Calibri"/>
          <w:color w:val="3A2E28"/>
          <w:sz w:val="20"/>
          <w:szCs w:val="20"/>
        </w:rPr>
        <w:t xml:space="preserve">Thermal distribution. Four modules spread 44.9 kW of rejection across four cold plates and two cores rather than concentrating it, which keeps local coolant temperature rise inside the 8 K design figure.</w:t>
      </w:r>
    </w:p>
    <w:p>
      <w:pPr>
        <w:pStyle w:val="ListParagraph"/>
        <w:numPr>
          <w:ilvl w:val="0"/>
          <w:numId w:val="2"/>
        </w:numPr>
        <w:spacing w:after="70" w:before="40" w:line="264"/>
      </w:pPr>
      <w:r>
        <w:rPr>
          <w:rFonts w:ascii="Calibri" w:cs="Calibri" w:eastAsia="Calibri" w:hAnsi="Calibri"/>
          <w:color w:val="3A2E28"/>
          <w:sz w:val="20"/>
          <w:szCs w:val="20"/>
        </w:rPr>
        <w:t xml:space="preserve">Supply and spares. A single flight-standard spare module covers any of the four positions, and Section 29 carries one in bonded stock.</w:t>
      </w:r>
    </w:p>
    <w:p>
      <w:pPr>
        <w:pStyle w:val="Heading2"/>
        <w:spacing w:after="110" w:before="240"/>
      </w:pPr>
      <w:r>
        <w:rPr>
          <w:rFonts w:ascii="Calibri" w:cs="Calibri" w:eastAsia="Calibri" w:hAnsi="Calibri"/>
          <w:b/>
          <w:bCs/>
          <w:color w:val="3A2E28"/>
          <w:sz w:val="24"/>
          <w:szCs w:val="24"/>
        </w:rPr>
        <w:t xml:space="preserve">11.3 The Modules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2300"/>
        <w:gridCol w:w="43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Parameter</w:t>
            </w:r>
          </w:p>
        </w:tc>
        <w:tc>
          <w:tcPr>
            <w:tcW w:type="dxa" w:w="23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Value</w:t>
            </w:r>
          </w:p>
        </w:tc>
        <w:tc>
          <w:tcPr>
            <w:tcW w:type="dxa" w:w="43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Type</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Ytterbium fibre, continuous wave</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Multi-module architecture with redundant pump diodes</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Wavelength</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1080 nm</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Sets the maximum permissible exposure of Section 20</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Rated output, each</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 kW</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Four modules, 26 kW installed</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Wall-plug efficiency</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0.38</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Large-module figure; the E6 2 kW class achieves 0.333</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parameter product</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mm mrad</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Sets the collimation of Section 12 and the hazard distance of Section 20</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Delivery</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Armoured process fibre, 6 m</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Cabin rack to pod turret; no high-power rotary joint</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Mass, each</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54.2 kg</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Module, driver and combiner; 120 W per kg subsystem figure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draw, each</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17.1 kW</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the 800 V bus</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Heat rejection, each</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10.6 kW</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To the coolant loop of Section 9</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Operating temperature window</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to 40 C</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Conditioned cabin rack maintains this</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Modulation</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Full on-off within 1 ms</w:t>
            </w:r>
          </w:p>
        </w:tc>
        <w:tc>
          <w:tcPr>
            <w:tcW w:type="dxa" w:w="43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Supports duty scheduling and the abort chain</w:t>
            </w:r>
          </w:p>
        </w:tc>
      </w:tr>
    </w:tbl>
    <w:p>
      <w:pPr>
        <w:spacing w:after="200" w:before="60"/>
      </w:pPr>
      <w:r>
        <w:rPr>
          <w:rFonts w:ascii="Calibri" w:cs="Calibri" w:eastAsia="Calibri" w:hAnsi="Calibri"/>
          <w:i/>
          <w:iCs/>
          <w:color w:val="6B5A4E"/>
          <w:sz w:val="17"/>
          <w:szCs w:val="17"/>
        </w:rPr>
        <w:t xml:space="preserve">Table 12: Laser source module specification. The 120 W per kilogram subsystem figure is the single most consequential assumption in the mass budget and Section 29 gates it on Phase 1 weighing.</w:t>
      </w:r>
    </w:p>
    <w:p>
      <w:pPr>
        <w:spacing w:after="120" w:before="60" w:line="276"/>
        <w:jc w:val="left"/>
      </w:pPr>
      <w:r>
        <w:rPr>
          <w:rFonts w:ascii="Calibri" w:cs="Calibri" w:eastAsia="Calibri" w:hAnsi="Calibri"/>
          <w:b w:val="false"/>
          <w:bCs w:val="false"/>
          <w:i w:val="false"/>
          <w:iCs w:val="false"/>
          <w:color w:val="3A2E28"/>
          <w:sz w:val="20"/>
          <w:szCs w:val="20"/>
        </w:rPr>
        <w:t xml:space="preserve">Specific power is the assumption to watch. The E6 uses catalogue 2 kW industrial units at 71 W per kilogram. This installation assumes 120 W per kilogram for modules three times larger, on the basis that specific power improves with module size across the published range and that an aviation integration takes the modules and pump diodes without the industrial chiller cabinet. That assumption carries 217 kg of the mass budget. If the delivered figure is 100 W per kilogram rather than 120, the source set gains 43 kg and Section 6.2 states what happens next.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12. Wide-Area Scanning Head</w:t>
      </w:r>
    </w:p>
    <w:p>
      <w:pPr>
        <w:spacing w:after="120" w:before="60" w:line="276"/>
        <w:jc w:val="left"/>
      </w:pPr>
      <w:r>
        <w:rPr>
          <w:rFonts w:ascii="Calibri" w:cs="Calibri" w:eastAsia="Calibri" w:hAnsi="Calibri"/>
          <w:b w:val="false"/>
          <w:bCs w:val="false"/>
          <w:i w:val="false"/>
          <w:iCs w:val="false"/>
          <w:color w:val="3A2E28"/>
          <w:sz w:val="20"/>
          <w:szCs w:val="20"/>
        </w:rPr>
        <w:t xml:space="preserve">Four two-axis galvanometer scan heads paint a 14.0 m swath from 20 m above the ground. This section states the geometry, the spot, and the irradiance, and confirms that the architecture reaches pyrolysis temperature with margin.</w:t>
      </w:r>
    </w:p>
    <w:p>
      <w:pPr>
        <w:pStyle w:val="Heading2"/>
        <w:spacing w:after="110" w:before="240"/>
      </w:pPr>
      <w:r>
        <w:rPr>
          <w:rFonts w:ascii="Calibri" w:cs="Calibri" w:eastAsia="Calibri" w:hAnsi="Calibri"/>
          <w:b/>
          <w:bCs/>
          <w:color w:val="3A2E28"/>
          <w:sz w:val="24"/>
          <w:szCs w:val="24"/>
        </w:rPr>
        <w:t xml:space="preserve">12.1 Geometry</w:t>
      </w:r>
    </w:p>
    <w:p>
      <w:pPr>
        <w:spacing w:after="120" w:before="60" w:line="276"/>
        <w:jc w:val="left"/>
      </w:pPr>
      <w:r>
        <w:rPr>
          <w:rFonts w:ascii="Calibri" w:cs="Calibri" w:eastAsia="Calibri" w:hAnsi="Calibri"/>
          <w:b w:val="false"/>
          <w:bCs w:val="false"/>
          <w:i w:val="false"/>
          <w:iCs w:val="false"/>
          <w:color w:val="3A2E28"/>
          <w:sz w:val="20"/>
          <w:szCs w:val="20"/>
        </w:rPr>
        <w:t xml:space="preserve">Each head sits on the turret and paints a 3.50 m sector directly beneath it. At 20 m standoff that sector subtends a half-angle of 5.0 degrees, which is a small angle for a galvanometer and keeps edge obliquity at 1.004. Four heads spaced 0.8 m apart across the pod paint four adjacent sectors, and the sectors overlap by 40 mm so that no untreated seam exists between them.</w:t>
      </w:r>
    </w:p>
    <w:p>
      <w:pPr>
        <w:spacing w:after="60" w:before="180"/>
        <w:jc w:val="center"/>
      </w:pPr>
      <w:r>
        <w:drawing>
          <wp:inline distT="0" distB="0" distL="0" distR="0">
            <wp:extent cx="59912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91225" cy="222885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3: Treatment geometry. Four heads at 6.5 kW each paint adjacent 3.50 m sectors from 20 m, giving a 14.0 m swath in a single pass. The E6 swath of 2.80 m is shown for scale. Path transmission through smoke is a first-order term at this standoff and Section 13 treats it.</w:t>
      </w:r>
    </w:p>
    <w:p>
      <w:pPr>
        <w:spacing w:after="120" w:before="60" w:line="276"/>
        <w:jc w:val="left"/>
      </w:pPr>
      <w:r>
        <w:rPr>
          <w:rFonts w:ascii="Calibri" w:cs="Calibri" w:eastAsia="Calibri" w:hAnsi="Calibri"/>
          <w:b w:val="false"/>
          <w:bCs w:val="false"/>
          <w:i w:val="false"/>
          <w:iCs w:val="false"/>
          <w:color w:val="3A2E28"/>
          <w:sz w:val="20"/>
          <w:szCs w:val="20"/>
        </w:rPr>
        <w:t xml:space="preserve">The swath is the headline capability of this variant and it deserves the operational statement. A 14.0 m treated corridor is a fuel break of the width fire agencies actually construct. The E6 at 2.80 m produces something narrower than a hand line, and reaching useful width requires five parallel passes with the registration problem that implies. This aircraft produces the product in one pass, and the value of that is not captured anywhere in the cost per hectare figures of Section 25.</w:t>
      </w:r>
    </w:p>
    <w:p>
      <w:pPr>
        <w:pStyle w:val="Heading2"/>
        <w:spacing w:after="110" w:before="240"/>
      </w:pPr>
      <w:r>
        <w:rPr>
          <w:rFonts w:ascii="Calibri" w:cs="Calibri" w:eastAsia="Calibri" w:hAnsi="Calibri"/>
          <w:b/>
          <w:bCs/>
          <w:color w:val="3A2E28"/>
          <w:sz w:val="24"/>
          <w:szCs w:val="24"/>
        </w:rPr>
        <w:t xml:space="preserve">12.2 The Spot</w:t>
      </w:r>
    </w:p>
    <w:p>
      <w:pPr>
        <w:spacing w:after="120" w:before="60" w:line="276"/>
        <w:jc w:val="left"/>
      </w:pPr>
      <w:r>
        <w:rPr>
          <w:rFonts w:ascii="Calibri" w:cs="Calibri" w:eastAsia="Calibri" w:hAnsi="Calibri"/>
          <w:b w:val="false"/>
          <w:bCs w:val="false"/>
          <w:i w:val="false"/>
          <w:iCs w:val="false"/>
          <w:color w:val="3A2E28"/>
          <w:sz w:val="20"/>
          <w:szCs w:val="20"/>
        </w:rPr>
        <w:t xml:space="preserve">A 6.5 kW source at 4.0 mm mrad beam parameter product through a 150 mm collimator diverges at 0.053 mrad half-angle, which produces a 152 mm spot at 20 m. The beam is therefore effectively collimated over the working standoff, and the spot is set by deliberate defocus rather than by diffraction. This is the same property that drives the hazard distance of Section 20, and it cuts both ways.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200"/>
        <w:gridCol w:w="1900"/>
        <w:gridCol w:w="1900"/>
        <w:gridCol w:w="1900"/>
        <w:gridCol w:w="2180"/>
      </w:tblGrid>
      <w:tr>
        <w:trPr>
          <w:tblHeader/>
        </w:trPr>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Working spot</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Area</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Irradiance per head</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Margin over 29.4 kW/m2</w:t>
            </w:r>
          </w:p>
        </w:tc>
        <w:tc>
          <w:tcPr>
            <w:tcW w:type="dxa" w:w="2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Assessment</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200 mm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314 cm2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206.9 kW/m2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7.0x</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Above the ablation threshold; risks plasma coupling loss</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260 mm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531 cm2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122.4 kW/m2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4.2x</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SELECTED</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300 mm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707 cm2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92.0 kW/m2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3.1x</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Acceptable; lower margin against path attenuation</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400 mm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1,257 cm2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51.7 kW/m2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1.8x</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Insufficient margin once smoke attenuation is applied</w:t>
            </w:r>
          </w:p>
        </w:tc>
      </w:tr>
    </w:tbl>
    <w:p>
      <w:pPr>
        <w:spacing w:after="200" w:before="60"/>
      </w:pPr>
      <w:r>
        <w:rPr>
          <w:rFonts w:ascii="Calibri" w:cs="Calibri" w:eastAsia="Calibri" w:hAnsi="Calibri"/>
          <w:i/>
          <w:iCs/>
          <w:color w:val="6B5A4E"/>
          <w:sz w:val="17"/>
          <w:szCs w:val="17"/>
        </w:rPr>
        <w:t xml:space="preserve">Table 13: Working spot selection. The reference figure of 29.4 kW/m2 is the flux required to hold a fuel surface at 400 C under the rotor downwash, derived in Aerial v1.6 Appendix E and restated in Appendix C of this document.</w:t>
      </w:r>
    </w:p>
    <w:p>
      <w:pPr>
        <w:pStyle w:val="Heading2"/>
        <w:spacing w:after="110" w:before="240"/>
      </w:pPr>
      <w:r>
        <w:rPr>
          <w:rFonts w:ascii="Calibri" w:cs="Calibri" w:eastAsia="Calibri" w:hAnsi="Calibri"/>
          <w:b/>
          <w:bCs/>
          <w:color w:val="3A2E28"/>
          <w:sz w:val="24"/>
          <w:szCs w:val="24"/>
        </w:rPr>
        <w:t xml:space="preserve">12.3 Confirming the Pyrolysis Threshold</w:t>
      </w:r>
    </w:p>
    <w:p>
      <w:pPr>
        <w:spacing w:after="120" w:before="60" w:line="276"/>
        <w:jc w:val="left"/>
      </w:pPr>
      <w:r>
        <w:rPr>
          <w:rFonts w:ascii="Calibri" w:cs="Calibri" w:eastAsia="Calibri" w:hAnsi="Calibri"/>
          <w:b w:val="false"/>
          <w:bCs w:val="false"/>
          <w:i w:val="false"/>
          <w:iCs w:val="false"/>
          <w:color w:val="3A2E28"/>
          <w:sz w:val="20"/>
          <w:szCs w:val="20"/>
        </w:rPr>
        <w:t xml:space="preserve">Correction C-16 of Aerial v1.6 found that the original flood-head architecture delivered 6.43 kW/m2 and therefore held a fuel bed at 237 C in still air and 125 C under downwash, neither of which reaches the 300 C at which cellulose pyrolysis begins. That finding governs this installation as much as it governs the E6, and the check is repeated here rather than assumed.</w:t>
      </w:r>
    </w:p>
    <w:p>
      <w:pPr>
        <w:spacing w:after="120" w:before="60" w:line="276"/>
        <w:jc w:val="left"/>
      </w:pPr>
      <w:r>
        <w:rPr>
          <w:rFonts w:ascii="Calibri" w:cs="Calibri" w:eastAsia="Calibri" w:hAnsi="Calibri"/>
          <w:b w:val="false"/>
          <w:bCs w:val="false"/>
          <w:i w:val="false"/>
          <w:iCs w:val="false"/>
          <w:color w:val="3A2E28"/>
          <w:sz w:val="20"/>
          <w:szCs w:val="20"/>
        </w:rPr>
        <w:t xml:space="preserve">At the selected 260 mm spot each head delivers 122.4 kW/m2 before path attenuation and 97.9 kW/m2 after it. The flux required to hold 400 C under a 22.8 m per second wall jet is 29.4 kW/m2. The margin is 3.3 times after attenuation, and the equilibrium temperature at that irradiance is 849 C, which sits above the working target. The dose controller therefore regulates by modulating spot dwell and scan rate rather than by allowing the surface to reach equilibrium.</w:t>
      </w:r>
    </w:p>
    <w:p>
      <w:pPr>
        <w:pStyle w:val="Heading2"/>
        <w:spacing w:after="110" w:before="240"/>
      </w:pPr>
      <w:r>
        <w:rPr>
          <w:rFonts w:ascii="Calibri" w:cs="Calibri" w:eastAsia="Calibri" w:hAnsi="Calibri"/>
          <w:b/>
          <w:bCs/>
          <w:color w:val="3A2E28"/>
          <w:sz w:val="24"/>
          <w:szCs w:val="24"/>
        </w:rPr>
        <w:t xml:space="preserve">12.4 Scan Pattern and Rate</w:t>
      </w:r>
    </w:p>
    <w:p>
      <w:pPr>
        <w:spacing w:after="120" w:before="60" w:line="276"/>
        <w:jc w:val="left"/>
      </w:pPr>
      <w:r>
        <w:rPr>
          <w:rFonts w:ascii="Calibri" w:cs="Calibri" w:eastAsia="Calibri" w:hAnsi="Calibri"/>
          <w:b w:val="false"/>
          <w:bCs w:val="false"/>
          <w:i w:val="false"/>
          <w:iCs w:val="false"/>
          <w:color w:val="3A2E28"/>
          <w:sz w:val="20"/>
          <w:szCs w:val="20"/>
        </w:rPr>
        <w:t xml:space="preserve">Each head scans a raster within its sector. The fast axis sweeps across the 3.50 m sector width, the slow axis indexes along the direction of aircraft advance, and the controller closes the loop on delivered dose per unit area rather than on scan rate directly. Scan rate follows from required dose, measured path transmission, measured fuel moisture and measured surface temperature, and it varies continuously.</w:t>
      </w:r>
    </w:p>
    <w:p>
      <w:pPr>
        <w:spacing w:after="120" w:before="60" w:line="276"/>
        <w:jc w:val="left"/>
      </w:pPr>
      <w:r>
        <w:rPr>
          <w:rFonts w:ascii="Calibri" w:cs="Calibri" w:eastAsia="Calibri" w:hAnsi="Calibri"/>
          <w:b w:val="false"/>
          <w:bCs w:val="false"/>
          <w:i w:val="false"/>
          <w:iCs w:val="false"/>
          <w:color w:val="3A2E28"/>
          <w:sz w:val="20"/>
          <w:szCs w:val="20"/>
        </w:rPr>
        <w:t xml:space="preserve">At the design dose the fast axis runs at 3.2 sweeps per second, which places 42 mm of spot advance between adjacent sweep centres and gives an overlap factor of 6.2. High overlap is deliberate: it converts a single-pass thermal shock into a sequence of short pulses at the same total dose, which is the regime Aerial v1.6 Section 22.4 identifies as favourable for coupling efficiency.</w:t>
      </w:r>
    </w:p>
    <w:p>
      <w:pPr>
        <w:spacing w:after="120" w:before="60" w:line="276"/>
        <w:jc w:val="left"/>
      </w:pPr>
      <w:r>
        <w:rPr>
          <w:rFonts w:ascii="Calibri" w:cs="Calibri" w:eastAsia="Calibri" w:hAnsi="Calibri"/>
          <w:b w:val="false"/>
          <w:bCs w:val="false"/>
          <w:i w:val="false"/>
          <w:iCs w:val="false"/>
          <w:color w:val="3A2E28"/>
          <w:sz w:val="20"/>
          <w:szCs w:val="20"/>
        </w:rPr>
        <w:t xml:space="preserve">The stabilisation loop of Section 16 rides on top of the scan pattern. Airframe angular motion at 20 m standoff moves the spot 35 mm per tenth of a degree, so the turret inertial measurement unit feeds a correction into both galvanometer axes at 1 kHz. Without that loop the treated pattern smears with every gust and the delivered dose becomes uncontrolled.</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13. Atmospheric Path and the Transmission Term</w:t>
      </w:r>
    </w:p>
    <w:p>
      <w:pPr>
        <w:spacing w:after="120" w:before="60" w:line="276"/>
        <w:jc w:val="left"/>
      </w:pPr>
      <w:r>
        <w:rPr>
          <w:rFonts w:ascii="Calibri" w:cs="Calibri" w:eastAsia="Calibri" w:hAnsi="Calibri"/>
          <w:b w:val="false"/>
          <w:bCs w:val="false"/>
          <w:i w:val="false"/>
          <w:iCs w:val="false"/>
          <w:color w:val="3A2E28"/>
          <w:sz w:val="20"/>
          <w:szCs w:val="20"/>
        </w:rPr>
        <w:t xml:space="preserve">The E6 works at 4.0 m standoff, where atmospheric attenuation over the beam path is a fraction of a percent and every E6 document neglects it correctly. This installation works at 20 m through the smoke column of an active fire, where it is not negligible. This section introduces path transmission as a first-order term in the dose budget, which no previous document in this programme has done.</w:t>
      </w:r>
    </w:p>
    <w:p>
      <w:pPr>
        <w:pStyle w:val="Heading2"/>
        <w:spacing w:after="110" w:before="240"/>
      </w:pPr>
      <w:r>
        <w:rPr>
          <w:rFonts w:ascii="Calibri" w:cs="Calibri" w:eastAsia="Calibri" w:hAnsi="Calibri"/>
          <w:b/>
          <w:bCs/>
          <w:color w:val="3A2E28"/>
          <w:sz w:val="24"/>
          <w:szCs w:val="24"/>
        </w:rPr>
        <w:t xml:space="preserve">13.1 The Physics</w:t>
      </w:r>
    </w:p>
    <w:p>
      <w:pPr>
        <w:spacing w:after="120" w:before="60" w:line="276"/>
        <w:jc w:val="left"/>
      </w:pPr>
      <w:r>
        <w:rPr>
          <w:rFonts w:ascii="Calibri" w:cs="Calibri" w:eastAsia="Calibri" w:hAnsi="Calibri"/>
          <w:b w:val="false"/>
          <w:bCs w:val="false"/>
          <w:i w:val="false"/>
          <w:iCs w:val="false"/>
          <w:color w:val="3A2E28"/>
          <w:sz w:val="20"/>
          <w:szCs w:val="20"/>
        </w:rPr>
        <w:t xml:space="preserve">Beer-Lambert attenuation reduces delivered irradiance by the exponential of the extinction coefficient multiplied by path length. At 1080 nm the dominant mechanism in a smoke plume is Mie scattering by particulate rather than molecular absorption, and the extinction coefficient scales with particulate concentration. Water vapour absorption at this wavelength is weak, which is one of the reasons 1080 nm was selected at the outset of the programme.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2000"/>
        <w:gridCol w:w="2000"/>
        <w:gridCol w:w="26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Condition</w:t>
            </w:r>
          </w:p>
        </w:tc>
        <w:tc>
          <w:tcPr>
            <w:tcW w:type="dxa" w:w="2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Extinction 1/m</w:t>
            </w:r>
          </w:p>
        </w:tc>
        <w:tc>
          <w:tcPr>
            <w:tcW w:type="dxa" w:w="2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Transmission at 20 m</w:t>
            </w:r>
          </w:p>
        </w:tc>
        <w:tc>
          <w:tcPr>
            <w:tcW w:type="dxa" w:w="26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Assessment</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Clear air, no plume</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0.0008</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0.984</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Attenuation negligible; treat as unity</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Light haze, well downwind of the plume</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0.0040</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0.923</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Normal operating condition on a flanking fire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Working smoke, design case</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0.0112</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0.800</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DESIGN ASSUMPTION</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Heavy plume</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0.0450</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0.407</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Operations suspended; visual reference for the hover is lost first</w:t>
            </w:r>
          </w:p>
        </w:tc>
      </w:tr>
    </w:tbl>
    <w:p>
      <w:pPr>
        <w:spacing w:after="200" w:before="60"/>
      </w:pPr>
      <w:r>
        <w:rPr>
          <w:rFonts w:ascii="Calibri" w:cs="Calibri" w:eastAsia="Calibri" w:hAnsi="Calibri"/>
          <w:i/>
          <w:iCs/>
          <w:color w:val="6B5A4E"/>
          <w:sz w:val="17"/>
          <w:szCs w:val="17"/>
        </w:rPr>
        <w:t xml:space="preserve">Table 14: Path transmission at the 20 m working standoff. The design assumption of 0.80 costs the treatment system 20 percent of its delivered dose and is carried explicitly in every throughput figure in this document.</w:t>
      </w:r>
    </w:p>
    <w:p>
      <w:pPr>
        <w:spacing w:after="120" w:before="60" w:line="276"/>
        <w:jc w:val="left"/>
      </w:pPr>
      <w:r>
        <w:rPr>
          <w:rFonts w:ascii="Calibri" w:cs="Calibri" w:eastAsia="Calibri" w:hAnsi="Calibri"/>
          <w:b w:val="false"/>
          <w:bCs w:val="false"/>
          <w:i w:val="false"/>
          <w:iCs w:val="false"/>
          <w:color w:val="3A2E28"/>
          <w:sz w:val="20"/>
          <w:szCs w:val="20"/>
        </w:rPr>
        <w:t xml:space="preserve">The heavy plume row carries an operational note that matters more than its number. Before attenuation reaches a level that stops treatment, it reaches a level that stops the hover, because the pilot loses the visual reference needed to hold station 20 m above sloping ground. Smoke density is therefore a flight limitation before it is a treatment limitation, and the treatment system is never the reason operations stop on account of smoke.</w:t>
      </w:r>
    </w:p>
    <w:p>
      <w:pPr>
        <w:pStyle w:val="Heading2"/>
        <w:spacing w:after="110" w:before="240"/>
      </w:pPr>
      <w:r>
        <w:rPr>
          <w:rFonts w:ascii="Calibri" w:cs="Calibri" w:eastAsia="Calibri" w:hAnsi="Calibri"/>
          <w:b/>
          <w:bCs/>
          <w:color w:val="3A2E28"/>
          <w:sz w:val="24"/>
          <w:szCs w:val="24"/>
        </w:rPr>
        <w:t xml:space="preserve">13.2 Measuring It Rather Than Assuming It</w:t>
      </w:r>
    </w:p>
    <w:p>
      <w:pPr>
        <w:spacing w:after="120" w:before="60" w:line="276"/>
        <w:jc w:val="left"/>
      </w:pPr>
      <w:r>
        <w:rPr>
          <w:rFonts w:ascii="Calibri" w:cs="Calibri" w:eastAsia="Calibri" w:hAnsi="Calibri"/>
          <w:b w:val="false"/>
          <w:bCs w:val="false"/>
          <w:i w:val="false"/>
          <w:iCs w:val="false"/>
          <w:color w:val="3A2E28"/>
          <w:sz w:val="20"/>
          <w:szCs w:val="20"/>
        </w:rPr>
        <w:t xml:space="preserve">An assumption of 0.80 applied to a term that varies between 0.98 and 0.41 is not good enough to control a dose. The turret therefore carries two transmissometers operating at the source wavelength, each measuring the round-trip return from the treated surface against the commanded output, and the dose controller divides commanded dwell by the measured transmission in real time.</w:t>
      </w:r>
    </w:p>
    <w:p>
      <w:pPr>
        <w:spacing w:after="120" w:before="60" w:line="276"/>
        <w:jc w:val="left"/>
      </w:pPr>
      <w:r>
        <w:rPr>
          <w:rFonts w:ascii="Calibri" w:cs="Calibri" w:eastAsia="Calibri" w:hAnsi="Calibri"/>
          <w:b w:val="false"/>
          <w:bCs w:val="false"/>
          <w:i w:val="false"/>
          <w:iCs w:val="false"/>
          <w:color w:val="3A2E28"/>
          <w:sz w:val="20"/>
          <w:szCs w:val="20"/>
        </w:rPr>
        <w:t xml:space="preserve">This makes path transmission a measured input rather than a design assumption, in the same way that fuel moisture is a measured input rather than an assumed one. The design figure of 0.80 exists so that the mass, power and throughput budgets of this document have a stated basis, and the aircraft in service does not use it.</w:t>
      </w:r>
    </w:p>
    <w:p>
      <w:pPr>
        <w:spacing w:after="120" w:before="60" w:line="276"/>
        <w:jc w:val="left"/>
      </w:pPr>
      <w:r>
        <w:rPr>
          <w:rFonts w:ascii="Calibri" w:cs="Calibri" w:eastAsia="Calibri" w:hAnsi="Calibri"/>
          <w:b w:val="false"/>
          <w:bCs w:val="false"/>
          <w:i w:val="false"/>
          <w:iCs w:val="false"/>
          <w:color w:val="3A2E28"/>
          <w:sz w:val="20"/>
          <w:szCs w:val="20"/>
        </w:rPr>
        <w:t xml:space="preserve">The measurement also produces an interlock. If measured transmission falls below 0.45 the controller commands beam off, because below that level the required dwell exceeds the time the aircraft holds a given patch and the delivered dose becomes uncontrolled. That threshold sits well below the point at which the hover becomes unflyable, so it is a backstop rather than a working limit.</w:t>
      </w:r>
    </w:p>
    <w:p>
      <w:pPr>
        <w:pStyle w:val="Heading2"/>
        <w:spacing w:after="110" w:before="240"/>
      </w:pPr>
      <w:r>
        <w:rPr>
          <w:rFonts w:ascii="Calibri" w:cs="Calibri" w:eastAsia="Calibri" w:hAnsi="Calibri"/>
          <w:b/>
          <w:bCs/>
          <w:color w:val="3A2E28"/>
          <w:sz w:val="24"/>
          <w:szCs w:val="24"/>
        </w:rPr>
        <w:t xml:space="preserve">13.3 The Standoff Trade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100"/>
        <w:gridCol w:w="1900"/>
        <w:gridCol w:w="1900"/>
        <w:gridCol w:w="1900"/>
        <w:gridCol w:w="2280"/>
      </w:tblGrid>
      <w:tr>
        <w:trPr>
          <w:tblHeader/>
        </w:trPr>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Standoff</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Swath at 5 deg per head</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Transmission</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Wall jet at ground</w:t>
            </w:r>
          </w:p>
        </w:tc>
        <w:tc>
          <w:tcPr>
            <w:tcW w:type="dxa" w:w="2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Assessment</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0.89</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24.1 m/s</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Swath too narrow; aircraft close to the thermal plume</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10.5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0.85</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23.4 m/s</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Viable; carried as the low-altitude alternative</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0.80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22.8 m/s</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SELECTED</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0.71</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21.9 m/s</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Attenuation and hazard distance both grow faster than the benefit</w:t>
            </w:r>
          </w:p>
        </w:tc>
      </w:tr>
    </w:tbl>
    <w:p>
      <w:pPr>
        <w:spacing w:after="200" w:before="60"/>
      </w:pPr>
      <w:r>
        <w:rPr>
          <w:rFonts w:ascii="Calibri" w:cs="Calibri" w:eastAsia="Calibri" w:hAnsi="Calibri"/>
          <w:i/>
          <w:iCs/>
          <w:color w:val="6B5A4E"/>
          <w:sz w:val="17"/>
          <w:szCs w:val="17"/>
        </w:rPr>
        <w:t xml:space="preserve">Table 15: Standoff selection. Swath grows linearly with standoff, transmission falls exponentially, and the nominal ocular hazard distance of Section 20 grows linearly as well. Twenty metres balances the three.</w:t>
      </w:r>
    </w:p>
    <w:p>
      <w:pPr>
        <w:spacing w:after="120" w:before="60" w:line="276"/>
        <w:jc w:val="left"/>
      </w:pPr>
      <w:r>
        <w:rPr>
          <w:rFonts w:ascii="Calibri" w:cs="Calibri" w:eastAsia="Calibri" w:hAnsi="Calibri"/>
          <w:b w:val="false"/>
          <w:bCs w:val="false"/>
          <w:i w:val="false"/>
          <w:iCs w:val="false"/>
          <w:color w:val="3A2E28"/>
          <w:sz w:val="20"/>
          <w:szCs w:val="20"/>
        </w:rPr>
        <w:t xml:space="preserve">The wall jet column shows a result worth stating explicitly, because it runs against intuition. Ground-level downwash velocity falls only slightly as the aircraft climbs, because the rotor wake is a well-organised jet that decays slowly over the first few rotor radii. Climbing from 10 m to 30 m buys 9 percent less wall-jet velocity while costing 20 percent of path transmission. Standoff is therefore not a useful lever on the downwash problem, and Section 21 addresses that problem by other means.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14. Treatment Logic and the Dose Budget</w:t>
      </w:r>
    </w:p>
    <w:p>
      <w:pPr>
        <w:spacing w:after="120" w:before="60" w:line="276"/>
        <w:jc w:val="left"/>
      </w:pPr>
      <w:r>
        <w:rPr>
          <w:rFonts w:ascii="Calibri" w:cs="Calibri" w:eastAsia="Calibri" w:hAnsi="Calibri"/>
          <w:b w:val="false"/>
          <w:bCs w:val="false"/>
          <w:i w:val="false"/>
          <w:iCs w:val="false"/>
          <w:color w:val="3A2E28"/>
          <w:sz w:val="20"/>
          <w:szCs w:val="20"/>
        </w:rPr>
        <w:t xml:space="preserve">This section states the energy accounting from process demand to delivered dose, and the control law that governs the beam in flight. The process physics is inherited unchanged from Contra Favillas Aerial v1.5 Section 9 and v1.6 Section 22. The two new terms are path transmission and transmission-margin scheduling.</w:t>
      </w:r>
    </w:p>
    <w:p>
      <w:pPr>
        <w:pStyle w:val="Heading2"/>
        <w:spacing w:after="110" w:before="240"/>
      </w:pPr>
      <w:r>
        <w:rPr>
          <w:rFonts w:ascii="Calibri" w:cs="Calibri" w:eastAsia="Calibri" w:hAnsi="Calibri"/>
          <w:b/>
          <w:bCs/>
          <w:color w:val="3A2E28"/>
          <w:sz w:val="24"/>
          <w:szCs w:val="24"/>
        </w:rPr>
        <w:t xml:space="preserve">14.1 The Dose Ladder</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900"/>
        <w:gridCol w:w="2000"/>
        <w:gridCol w:w="4180"/>
      </w:tblGrid>
      <w:tr>
        <w:trPr>
          <w:tblHeader/>
        </w:trPr>
        <w:tc>
          <w:tcPr>
            <w:tcW w:type="dxa" w:w="3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Term</w:t>
            </w:r>
          </w:p>
        </w:tc>
        <w:tc>
          <w:tcPr>
            <w:tcW w:type="dxa" w:w="2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Value</w:t>
            </w:r>
          </w:p>
        </w:tc>
        <w:tc>
          <w:tcPr>
            <w:tcW w:type="dxa" w:w="4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Process energy demand, reference bed at 8 percent moisture</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432.1 kJ/m2</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Aerial v1.5 Section 9; heating, vaporisation, solids heating, endothermic pyrolysis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Coupling efficiency</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Aerial v1.6 Section 22.4; gated on Phase 3 calorimetry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Dose required at the fuel surface</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697 kJ/m2</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Process demand divided by coupling</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transmission at 20 m</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0.80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13; measured in service, assumed here</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DOSE COMMANDED AT THE APERTURE</w:t>
            </w:r>
          </w:p>
        </w:tc>
        <w:tc>
          <w:tcPr>
            <w:tcW w:type="dxa" w:w="20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871 kJ/m2</w:t>
            </w:r>
          </w:p>
        </w:tc>
        <w:tc>
          <w:tcPr>
            <w:tcW w:type="dxa" w:w="41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Surface dose divided by transmission</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 and turnaround efficiency</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0.985</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Retrace, sector handover and corridor turnaround</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Sensitivity: 20 percent moisture content</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 percent</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Process demand rises to 512 kJ/m2; controller compensates automatically</w:t>
            </w:r>
          </w:p>
        </w:tc>
      </w:tr>
    </w:tbl>
    <w:p>
      <w:pPr>
        <w:spacing w:after="200" w:before="60"/>
      </w:pPr>
      <w:r>
        <w:rPr>
          <w:rFonts w:ascii="Calibri" w:cs="Calibri" w:eastAsia="Calibri" w:hAnsi="Calibri"/>
          <w:i/>
          <w:iCs/>
          <w:color w:val="6B5A4E"/>
          <w:sz w:val="17"/>
          <w:szCs w:val="17"/>
        </w:rPr>
        <w:t xml:space="preserve">Table 16: The dose ladder from process physics to commanded aperture energy. The commanded dose of 871 kJ/m2 is 61 percent higher than the process demand, and the two efficiency terms account for the difference.</w:t>
      </w:r>
    </w:p>
    <w:p>
      <w:pPr>
        <w:spacing w:after="120" w:before="60" w:line="276"/>
        <w:jc w:val="left"/>
      </w:pPr>
      <w:r>
        <w:rPr>
          <w:rFonts w:ascii="Calibri" w:cs="Calibri" w:eastAsia="Calibri" w:hAnsi="Calibri"/>
          <w:b w:val="false"/>
          <w:bCs w:val="false"/>
          <w:i w:val="false"/>
          <w:iCs w:val="false"/>
          <w:color w:val="3A2E28"/>
          <w:sz w:val="20"/>
          <w:szCs w:val="20"/>
        </w:rPr>
        <w:t xml:space="preserve">Area treatment rate follows directly. Installed optical power multiplied by duty cycle, multiplied by coupling efficiency and path transmission, divided by process demand, gives 26 kW times 0.988 times 0.62 times 0.80 divided by 432.1 kJ/m2, which is 104.5 m2 per hour after the 0.985 scan efficiency. At the 14.0 m swath that is 7.47 m of corridor advance per hour.</w:t>
      </w:r>
    </w:p>
    <w:p>
      <w:pPr>
        <w:pStyle w:val="Heading2"/>
        <w:spacing w:after="110" w:before="240"/>
      </w:pPr>
      <w:r>
        <w:rPr>
          <w:rFonts w:ascii="Calibri" w:cs="Calibri" w:eastAsia="Calibri" w:hAnsi="Calibri"/>
          <w:b/>
          <w:bCs/>
          <w:color w:val="3A2E28"/>
          <w:sz w:val="24"/>
          <w:szCs w:val="24"/>
        </w:rPr>
        <w:t xml:space="preserve">14.2 The Control Law</w:t>
      </w:r>
    </w:p>
    <w:p>
      <w:pPr>
        <w:spacing w:after="120" w:before="60" w:line="276"/>
        <w:jc w:val="left"/>
      </w:pPr>
      <w:r>
        <w:rPr>
          <w:rFonts w:ascii="Calibri" w:cs="Calibri" w:eastAsia="Calibri" w:hAnsi="Calibri"/>
          <w:b w:val="false"/>
          <w:bCs w:val="false"/>
          <w:i w:val="false"/>
          <w:iCs w:val="false"/>
          <w:color w:val="3A2E28"/>
          <w:sz w:val="20"/>
          <w:szCs w:val="20"/>
        </w:rPr>
        <w:t xml:space="preserve">The dose controller runs a closed loop on delivered energy per unit area and takes six measured inputs. It does not run open-loop on time.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3100"/>
        <w:gridCol w:w="40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Input</w:t>
            </w:r>
          </w:p>
        </w:tc>
        <w:tc>
          <w:tcPr>
            <w:tcW w:type="dxa" w:w="3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Sensor</w:t>
            </w:r>
          </w:p>
        </w:tc>
        <w:tc>
          <w:tcPr>
            <w:tcW w:type="dxa" w:w="4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Use in the loop</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Surface temperature</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Radiometric thermal camera, one per sector</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Primary feedback; confirms the bed reaches the working temperature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Pyrolysis chemistry</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Optical emission spectrometer</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Confirms carbonisation is occurring rather than drying only</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transmission</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transmissometer</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Divides commanded dwell; Section 13</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moisture</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Multispectral camera</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Sets process demand; 8 to 20 percent changes it by 18 percent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Standoff and terrain slope</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Scanning lidar</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Corrects for slant range and obliquity across the swath</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margin</w:t>
            </w:r>
          </w:p>
        </w:tc>
        <w:tc>
          <w:tcPr>
            <w:tcW w:type="dxa" w:w="3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Dual-channel torque and rotor speed</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Sets the duty ceiling; Section 5.3</w:t>
            </w:r>
          </w:p>
        </w:tc>
      </w:tr>
    </w:tbl>
    <w:p>
      <w:pPr>
        <w:spacing w:after="200" w:before="60"/>
      </w:pPr>
      <w:r>
        <w:rPr>
          <w:rFonts w:ascii="Calibri" w:cs="Calibri" w:eastAsia="Calibri" w:hAnsi="Calibri"/>
          <w:i/>
          <w:iCs/>
          <w:color w:val="6B5A4E"/>
          <w:sz w:val="17"/>
          <w:szCs w:val="17"/>
        </w:rPr>
        <w:t xml:space="preserve">Table 17: Dose controller inputs. The transmission margin input is unique to this variant and it is the input that makes the aircraft treat more slowly at altitude without any crew action.</w:t>
      </w:r>
    </w:p>
    <w:p>
      <w:pPr>
        <w:spacing w:after="120" w:before="60" w:line="276"/>
        <w:jc w:val="left"/>
      </w:pPr>
      <w:r>
        <w:rPr>
          <w:rFonts w:ascii="Calibri" w:cs="Calibri" w:eastAsia="Calibri" w:hAnsi="Calibri"/>
          <w:b w:val="false"/>
          <w:bCs w:val="false"/>
          <w:i w:val="false"/>
          <w:iCs w:val="false"/>
          <w:color w:val="3A2E28"/>
          <w:sz w:val="20"/>
          <w:szCs w:val="20"/>
        </w:rPr>
        <w:t xml:space="preserve">The last input deserves emphasis because it is the piece of logic that distinguishes this installation from the E6. The controller reads available gearbox margin, computes the electrical power available to it, and sets duty cycle to the largest value that fits inside it. As fuel burns and the aircraft lightens, margin opens and duty rises. As the aircraft climbs or the day heats, margin closes and duty falls. The crew sees a treatment rate indication and nothing else.</w:t>
      </w:r>
    </w:p>
    <w:p>
      <w:pPr>
        <w:pStyle w:val="Heading2"/>
        <w:spacing w:after="110" w:before="240"/>
      </w:pPr>
      <w:r>
        <w:rPr>
          <w:rFonts w:ascii="Calibri" w:cs="Calibri" w:eastAsia="Calibri" w:hAnsi="Calibri"/>
          <w:b/>
          <w:bCs/>
          <w:color w:val="3A2E28"/>
          <w:sz w:val="24"/>
          <w:szCs w:val="24"/>
        </w:rPr>
        <w:t xml:space="preserve">14.3 Abort Conditions</w:t>
      </w:r>
    </w:p>
    <w:p>
      <w:pPr>
        <w:spacing w:after="120" w:before="60" w:line="276"/>
        <w:jc w:val="left"/>
      </w:pPr>
      <w:r>
        <w:rPr>
          <w:rFonts w:ascii="Calibri" w:cs="Calibri" w:eastAsia="Calibri" w:hAnsi="Calibri"/>
          <w:b w:val="false"/>
          <w:bCs w:val="false"/>
          <w:i w:val="false"/>
          <w:iCs w:val="false"/>
          <w:color w:val="3A2E28"/>
          <w:sz w:val="20"/>
          <w:szCs w:val="20"/>
        </w:rPr>
        <w:t xml:space="preserve">The controller commands beam off within 100 ms on any of seven conditions: flame detection by either dissimilar detector, H-alpha spectral signature indicating flaming rather than pyrolysis, surface temperature above the flare threshold, path transmission below 0.45, standoff outside the 15 to 25 m band, turret attitude outside the tilt envelope, or loss of the stabilisation solution. Section 19 states the hardware chain that executes these and Section 22 states the failure analysis behind them.</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15. Sensing and Perception</w:t>
      </w:r>
    </w:p>
    <w:p>
      <w:pPr>
        <w:spacing w:after="120" w:before="60" w:line="276"/>
        <w:jc w:val="left"/>
      </w:pPr>
      <w:r>
        <w:rPr>
          <w:rFonts w:ascii="Calibri" w:cs="Calibri" w:eastAsia="Calibri" w:hAnsi="Calibri"/>
          <w:b w:val="false"/>
          <w:bCs w:val="false"/>
          <w:i w:val="false"/>
          <w:iCs w:val="false"/>
          <w:color w:val="3A2E28"/>
          <w:sz w:val="20"/>
          <w:szCs w:val="20"/>
        </w:rPr>
        <w:t xml:space="preserve">The sensing package answers four questions continuously: where is the ground, what is on it, what is the beam doing to it, and is anything about to catch fire. This section states the sensors and what each one is for.</w:t>
      </w:r>
    </w:p>
    <w:p>
      <w:pPr>
        <w:pStyle w:val="Heading2"/>
        <w:spacing w:after="110" w:before="240"/>
      </w:pPr>
      <w:r>
        <w:rPr>
          <w:rFonts w:ascii="Calibri" w:cs="Calibri" w:eastAsia="Calibri" w:hAnsi="Calibri"/>
          <w:b/>
          <w:bCs/>
          <w:color w:val="3A2E28"/>
          <w:sz w:val="24"/>
          <w:szCs w:val="24"/>
        </w:rPr>
        <w:t xml:space="preserve">15.1 The Package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1200"/>
        <w:gridCol w:w="2300"/>
        <w:gridCol w:w="36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Sensor</w:t>
            </w:r>
          </w:p>
        </w:tc>
        <w:tc>
          <w:tcPr>
            <w:tcW w:type="dxa" w:w="12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Qty</w:t>
            </w:r>
          </w:p>
        </w:tc>
        <w:tc>
          <w:tcPr>
            <w:tcW w:type="dxa" w:w="23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Location</w:t>
            </w:r>
          </w:p>
        </w:tc>
        <w:tc>
          <w:tcPr>
            <w:tcW w:type="dxa" w:w="36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Function</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Radiometric thermal camera, 640 x 512 long-wave</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one per sector</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Primary dose feedback; surface temperature across the treated footprint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Optical emission spectrometer with H-alpha channel</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fore-optic</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Distinguishes pyrolysis from flaming; first abort channel</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Flame detector, ultraviolet</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Second abort channel; dissimilar technology</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Flame detector, multispectral infrared</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Third abort channel; independent power and signal path</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transmissometer at 1080 nm</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Measures smoke attenuation in real time; Section 13</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Scanning lidar, 200 m range</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Pod nose and tail</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Standoff, terrain slope, obstacle detection, corridor registration</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Multispectral fuel-moisture camera</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Pod</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Sets process demand; classifies fuel type across the swath</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Inertial measurement unit, tactical grade</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Line-of-sight stabilisation; Section 12.4</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Wide-field situational camera</w:t>
            </w:r>
          </w:p>
        </w:tc>
        <w:tc>
          <w:tcPr>
            <w:tcW w:type="dxa" w:w="1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2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Pod</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Crew display; exclusion zone monitoring</w:t>
            </w:r>
          </w:p>
        </w:tc>
      </w:tr>
    </w:tbl>
    <w:p>
      <w:pPr>
        <w:spacing w:after="200" w:before="60"/>
      </w:pPr>
      <w:r>
        <w:rPr>
          <w:rFonts w:ascii="Calibri" w:cs="Calibri" w:eastAsia="Calibri" w:hAnsi="Calibri"/>
          <w:i/>
          <w:iCs/>
          <w:color w:val="6B5A4E"/>
          <w:sz w:val="17"/>
          <w:szCs w:val="17"/>
        </w:rPr>
        <w:t xml:space="preserve">Table 18: Sensing package. The three flame and spectral channels are deliberately dissimilar in technology, power source and signal path, so that no single common-mode failure removes the ability to detect ignition.</w:t>
      </w:r>
    </w:p>
    <w:p>
      <w:pPr>
        <w:pStyle w:val="Heading2"/>
        <w:spacing w:after="110" w:before="240"/>
      </w:pPr>
      <w:r>
        <w:rPr>
          <w:rFonts w:ascii="Calibri" w:cs="Calibri" w:eastAsia="Calibri" w:hAnsi="Calibri"/>
          <w:b/>
          <w:bCs/>
          <w:color w:val="3A2E28"/>
          <w:sz w:val="24"/>
          <w:szCs w:val="24"/>
        </w:rPr>
        <w:t xml:space="preserve">15.2 Terrain and Standoff</w:t>
      </w:r>
    </w:p>
    <w:p>
      <w:pPr>
        <w:spacing w:after="120" w:before="60" w:line="276"/>
        <w:jc w:val="left"/>
      </w:pPr>
      <w:r>
        <w:rPr>
          <w:rFonts w:ascii="Calibri" w:cs="Calibri" w:eastAsia="Calibri" w:hAnsi="Calibri"/>
          <w:b w:val="false"/>
          <w:bCs w:val="false"/>
          <w:i w:val="false"/>
          <w:iCs w:val="false"/>
          <w:color w:val="3A2E28"/>
          <w:sz w:val="20"/>
          <w:szCs w:val="20"/>
        </w:rPr>
        <w:t xml:space="preserve">Holding 20 m above sloping ground is harder than holding 20 m above flat ground, and the swath is 14.0 m wide, so the terrain under one edge sits at a different height from the terrain under the other. On a 20 degree slope the difference across the swath is 5.1 m, which is a quarter of the standoff.</w:t>
      </w:r>
    </w:p>
    <w:p>
      <w:pPr>
        <w:spacing w:after="120" w:before="60" w:line="276"/>
        <w:jc w:val="left"/>
      </w:pPr>
      <w:r>
        <w:rPr>
          <w:rFonts w:ascii="Calibri" w:cs="Calibri" w:eastAsia="Calibri" w:hAnsi="Calibri"/>
          <w:b w:val="false"/>
          <w:bCs w:val="false"/>
          <w:i w:val="false"/>
          <w:iCs w:val="false"/>
          <w:color w:val="3A2E28"/>
          <w:sz w:val="20"/>
          <w:szCs w:val="20"/>
        </w:rPr>
        <w:t xml:space="preserve">The two lidars build a terrain model ahead of and beneath the aircraft, and the dose controller uses it in two ways. It corrects commanded dwell for actual slant range across the swath, since irradiance falls with the square of range and dose must not. And it feeds a standoff reference to the crew display so that the pilot holds a datum computed from the treated surface rather than from a radar altimeter return that averages across the slope.</w:t>
      </w:r>
    </w:p>
    <w:p>
      <w:pPr>
        <w:spacing w:after="120" w:before="60" w:line="276"/>
        <w:jc w:val="left"/>
      </w:pPr>
      <w:r>
        <w:rPr>
          <w:rFonts w:ascii="Calibri" w:cs="Calibri" w:eastAsia="Calibri" w:hAnsi="Calibri"/>
          <w:b w:val="false"/>
          <w:bCs w:val="false"/>
          <w:i w:val="false"/>
          <w:iCs w:val="false"/>
          <w:color w:val="3A2E28"/>
          <w:sz w:val="20"/>
          <w:szCs w:val="20"/>
        </w:rPr>
        <w:t xml:space="preserve">The lidar also performs the obstacle function. Standing timber, transmission structures and terrain features inside the treatment corridor are mapped before the beam reaches them, and the controller inhibits the affected sector rather than treating a tree trunk at 122.4 kW/m2.</w:t>
      </w:r>
    </w:p>
    <w:p>
      <w:pPr>
        <w:pStyle w:val="Heading2"/>
        <w:spacing w:after="110" w:before="240"/>
      </w:pPr>
      <w:r>
        <w:rPr>
          <w:rFonts w:ascii="Calibri" w:cs="Calibri" w:eastAsia="Calibri" w:hAnsi="Calibri"/>
          <w:b/>
          <w:bCs/>
          <w:color w:val="3A2E28"/>
          <w:sz w:val="24"/>
          <w:szCs w:val="24"/>
        </w:rPr>
        <w:t xml:space="preserve">15.3 Fuel Classification</w:t>
      </w:r>
    </w:p>
    <w:p>
      <w:pPr>
        <w:spacing w:after="120" w:before="60" w:line="276"/>
        <w:jc w:val="left"/>
      </w:pPr>
      <w:r>
        <w:rPr>
          <w:rFonts w:ascii="Calibri" w:cs="Calibri" w:eastAsia="Calibri" w:hAnsi="Calibri"/>
          <w:b w:val="false"/>
          <w:bCs w:val="false"/>
          <w:i w:val="false"/>
          <w:iCs w:val="false"/>
          <w:color w:val="3A2E28"/>
          <w:sz w:val="20"/>
          <w:szCs w:val="20"/>
        </w:rPr>
        <w:t xml:space="preserve">Process energy demand of 432.1 kJ/m2 assumes a 0.4 kg/m2 fine fuel bed at 8 percent moisture. Real ground varies in both. The multispectral camera classifies fuel type and estimates moisture across the swath ahead of the beam, and the controller adjusts commanded dose accordingly, rising 18 percent at 20 percent moisture content.</w:t>
      </w:r>
    </w:p>
    <w:p>
      <w:pPr>
        <w:spacing w:after="120" w:before="60" w:line="276"/>
        <w:jc w:val="left"/>
      </w:pPr>
      <w:r>
        <w:rPr>
          <w:rFonts w:ascii="Calibri" w:cs="Calibri" w:eastAsia="Calibri" w:hAnsi="Calibri"/>
          <w:b w:val="false"/>
          <w:bCs w:val="false"/>
          <w:i w:val="false"/>
          <w:iCs w:val="false"/>
          <w:color w:val="3A2E28"/>
          <w:sz w:val="20"/>
          <w:szCs w:val="20"/>
        </w:rPr>
        <w:t xml:space="preserve">Classification also drives inhibition. Ground the controller classifies as non-target, including mineral soil, standing water, rock and previously treated corridor, receives no beam. This is a throughput benefit as well as a safety one: treating ground that needs no treatment wastes the scarcest resource on the aircraft, which is gearbox margin.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16. Compute and Control</w:t>
      </w:r>
    </w:p>
    <w:p>
      <w:pPr>
        <w:spacing w:after="120" w:before="60" w:line="276"/>
        <w:jc w:val="left"/>
      </w:pPr>
      <w:r>
        <w:rPr>
          <w:rFonts w:ascii="Calibri" w:cs="Calibri" w:eastAsia="Calibri" w:hAnsi="Calibri"/>
          <w:b w:val="false"/>
          <w:bCs w:val="false"/>
          <w:i w:val="false"/>
          <w:iCs w:val="false"/>
          <w:color w:val="3A2E28"/>
          <w:sz w:val="20"/>
          <w:szCs w:val="20"/>
        </w:rPr>
        <w:t xml:space="preserve">The compute architecture separates three functions that have three different criticality levels, and keeps them on three different platforms. This section states the split, because it is the split a certification authority examines first.</w:t>
      </w:r>
    </w:p>
    <w:p>
      <w:pPr>
        <w:pStyle w:val="Heading2"/>
        <w:spacing w:after="110" w:before="240"/>
      </w:pPr>
      <w:r>
        <w:rPr>
          <w:rFonts w:ascii="Calibri" w:cs="Calibri" w:eastAsia="Calibri" w:hAnsi="Calibri"/>
          <w:b/>
          <w:bCs/>
          <w:color w:val="3A2E28"/>
          <w:sz w:val="24"/>
          <w:szCs w:val="24"/>
        </w:rPr>
        <w:t xml:space="preserve">16.1 Three Tiers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400"/>
        <w:gridCol w:w="2200"/>
        <w:gridCol w:w="2400"/>
        <w:gridCol w:w="3080"/>
      </w:tblGrid>
      <w:tr>
        <w:trPr>
          <w:tblHeader/>
        </w:trPr>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Tier</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Platform</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Criticality</w:t>
            </w:r>
          </w:p>
        </w:tc>
        <w:tc>
          <w:tcPr>
            <w:tcW w:type="dxa" w:w="3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Function</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Safety chain</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Relay and discrete logic, no software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Highest</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inhibit, shutter close, bus isolation, tilt interlock. Executes the seven abort conditions of Section 14.3</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Dose control</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Dual-redundant real-time controller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Closes the dose loop, schedules duty against transmission margin, drives the scan pattern</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Perception and mapping</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GPU-accelerated compute, single string</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classification, terrain model, corridor registration, crew display</w:t>
            </w:r>
          </w:p>
        </w:tc>
      </w:tr>
    </w:tbl>
    <w:p>
      <w:pPr>
        <w:spacing w:after="200" w:before="60"/>
      </w:pPr>
      <w:r>
        <w:rPr>
          <w:rFonts w:ascii="Calibri" w:cs="Calibri" w:eastAsia="Calibri" w:hAnsi="Calibri"/>
          <w:i/>
          <w:iCs/>
          <w:color w:val="6B5A4E"/>
          <w:sz w:val="17"/>
          <w:szCs w:val="17"/>
        </w:rPr>
        <w:t xml:space="preserve">Table 19: Compute tiers. The safety chain contains no software, which is the property that allows the safety case to rest on hardware rather than on software assurance.</w:t>
      </w:r>
    </w:p>
    <w:p>
      <w:pPr>
        <w:spacing w:after="120" w:before="60" w:line="276"/>
        <w:jc w:val="left"/>
      </w:pPr>
      <w:r>
        <w:rPr>
          <w:rFonts w:ascii="Calibri" w:cs="Calibri" w:eastAsia="Calibri" w:hAnsi="Calibri"/>
          <w:b w:val="false"/>
          <w:bCs w:val="false"/>
          <w:i w:val="false"/>
          <w:iCs w:val="false"/>
          <w:color w:val="3A2E28"/>
          <w:sz w:val="20"/>
          <w:szCs w:val="20"/>
        </w:rPr>
        <w:t xml:space="preserve">The tiering exists so that the certification argument scales with consequence. Failure of the perception tier degrades treatment quality and the aircraft keeps flying. Failure of the dose control tier stops treatment and the aircraft keeps flying. Failure of the safety chain is the only case that matters, and the safety chain is relay logic with no processor in it, so its failure modes are enumerable and testable rather than argued.</w:t>
      </w:r>
    </w:p>
    <w:p>
      <w:pPr>
        <w:pStyle w:val="Heading2"/>
        <w:spacing w:after="110" w:before="240"/>
      </w:pPr>
      <w:r>
        <w:rPr>
          <w:rFonts w:ascii="Calibri" w:cs="Calibri" w:eastAsia="Calibri" w:hAnsi="Calibri"/>
          <w:b/>
          <w:bCs/>
          <w:color w:val="3A2E28"/>
          <w:sz w:val="24"/>
          <w:szCs w:val="24"/>
        </w:rPr>
        <w:t xml:space="preserve">16.2 The Stabilisation Loop</w:t>
      </w:r>
    </w:p>
    <w:p>
      <w:pPr>
        <w:spacing w:after="120" w:before="60" w:line="276"/>
        <w:jc w:val="left"/>
      </w:pPr>
      <w:r>
        <w:rPr>
          <w:rFonts w:ascii="Calibri" w:cs="Calibri" w:eastAsia="Calibri" w:hAnsi="Calibri"/>
          <w:b w:val="false"/>
          <w:bCs w:val="false"/>
          <w:i w:val="false"/>
          <w:iCs w:val="false"/>
          <w:color w:val="3A2E28"/>
          <w:sz w:val="20"/>
          <w:szCs w:val="20"/>
        </w:rPr>
        <w:t xml:space="preserve">At 20 m standoff, a tenth of a degree of airframe angular motion moves the ground spot 35 mm. A helicopter in a hover moves considerably more than a tenth of a degree. Without correction the delivered pattern smears and the dose becomes uncontrolled at exactly the scale the process cares about.</w:t>
      </w:r>
    </w:p>
    <w:p>
      <w:pPr>
        <w:spacing w:after="120" w:before="60" w:line="276"/>
        <w:jc w:val="left"/>
      </w:pPr>
      <w:r>
        <w:rPr>
          <w:rFonts w:ascii="Calibri" w:cs="Calibri" w:eastAsia="Calibri" w:hAnsi="Calibri"/>
          <w:b w:val="false"/>
          <w:bCs w:val="false"/>
          <w:i w:val="false"/>
          <w:iCs w:val="false"/>
          <w:color w:val="3A2E28"/>
          <w:sz w:val="20"/>
          <w:szCs w:val="20"/>
        </w:rPr>
        <w:t xml:space="preserve">The turret carries two tactical-grade inertial measurement units. The scan controller reads them at 1 kHz, computes the line-of-sight error, and injects a correction into both galvanometer axes ahead of the raster command. The galvanometers have the bandwidth to do this because the correction amplitude is small and the mirrors are low-inertia; the same property that makes them useful for scanning makes them useful for stabilisation.</w:t>
      </w:r>
    </w:p>
    <w:p>
      <w:pPr>
        <w:spacing w:after="120" w:before="60" w:line="276"/>
        <w:jc w:val="left"/>
      </w:pPr>
      <w:r>
        <w:rPr>
          <w:rFonts w:ascii="Calibri" w:cs="Calibri" w:eastAsia="Calibri" w:hAnsi="Calibri"/>
          <w:b w:val="false"/>
          <w:bCs w:val="false"/>
          <w:i w:val="false"/>
          <w:iCs w:val="false"/>
          <w:color w:val="3A2E28"/>
          <w:sz w:val="20"/>
          <w:szCs w:val="20"/>
        </w:rPr>
        <w:t xml:space="preserve">The loop has an authority limit and a failure behaviour. Correction authority is capped at 2.5 degrees on each axis, which corresponds to 0.87 m at the ground. Beyond that the aircraft is manoeuvring rather than hovering, the controller declares loss of the stabilisation solution, and the safety chain commands beam off. This is the seventh abort condition of Section 14.3 and it is the one most likely to fire in service.</w:t>
      </w:r>
    </w:p>
    <w:p>
      <w:pPr>
        <w:pStyle w:val="Heading2"/>
        <w:spacing w:after="110" w:before="240"/>
      </w:pPr>
      <w:r>
        <w:rPr>
          <w:rFonts w:ascii="Calibri" w:cs="Calibri" w:eastAsia="Calibri" w:hAnsi="Calibri"/>
          <w:b/>
          <w:bCs/>
          <w:color w:val="3A2E28"/>
          <w:sz w:val="24"/>
          <w:szCs w:val="24"/>
        </w:rPr>
        <w:t xml:space="preserve">16.3 Recording</w:t>
      </w:r>
    </w:p>
    <w:p>
      <w:pPr>
        <w:spacing w:after="120" w:before="60" w:line="276"/>
        <w:jc w:val="left"/>
      </w:pPr>
      <w:r>
        <w:rPr>
          <w:rFonts w:ascii="Calibri" w:cs="Calibri" w:eastAsia="Calibri" w:hAnsi="Calibri"/>
          <w:b w:val="false"/>
          <w:bCs w:val="false"/>
          <w:i w:val="false"/>
          <w:iCs w:val="false"/>
          <w:color w:val="3A2E28"/>
          <w:sz w:val="20"/>
          <w:szCs w:val="20"/>
        </w:rPr>
        <w:t xml:space="preserve">A crash-protected recorder captures beam-on time, commanded and delivered dose, position, standoff, path transmission, surface temperature, every abort event with its trigger, transmission margin, and laser bus state. Recording exists for three reasons: it is the evidence base for the certification programme of Section 28, it is the audit trail a laser safety programme requires, and it is the data set from which measured coupling efficiency is eventually derived.</w:t>
      </w:r>
    </w:p>
    <w:p>
      <w:r>
        <w:br w:type="page"/>
      </w:r>
    </w:p>
    <w:p>
      <w:pPr>
        <w:spacing w:after="200" w:before="2400"/>
        <w:jc w:val="center"/>
      </w:pPr>
      <w:r>
        <w:rPr>
          <w:rFonts w:ascii="Calibri" w:cs="Calibri" w:eastAsia="Calibri" w:hAnsi="Calibri"/>
          <w:b/>
          <w:bCs/>
          <w:color w:val="8C7A6B"/>
          <w:sz w:val="34"/>
          <w:szCs w:val="34"/>
        </w:rPr>
        <w:t xml:space="preserve">PART IV</w:t>
      </w:r>
    </w:p>
    <w:p>
      <w:pPr>
        <w:spacing w:after="0"/>
        <w:jc w:val="center"/>
      </w:pPr>
      <w:r>
        <w:rPr>
          <w:rFonts w:ascii="Calibri" w:cs="Calibri" w:eastAsia="Calibri" w:hAnsi="Calibri"/>
          <w:b/>
          <w:bCs/>
          <w:color w:val="7B3F24"/>
          <w:sz w:val="44"/>
          <w:szCs w:val="44"/>
        </w:rPr>
        <w:t xml:space="preserve">OPERATIONS AND SAFETY</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17. Mission Profile and Endurance</w:t>
      </w:r>
    </w:p>
    <w:p>
      <w:pPr>
        <w:spacing w:after="120" w:before="60" w:line="276"/>
        <w:jc w:val="left"/>
      </w:pPr>
      <w:r>
        <w:rPr>
          <w:rFonts w:ascii="Calibri" w:cs="Calibri" w:eastAsia="Calibri" w:hAnsi="Calibri"/>
          <w:b w:val="false"/>
          <w:bCs w:val="false"/>
          <w:i w:val="false"/>
          <w:iCs w:val="false"/>
          <w:color w:val="3A2E28"/>
          <w:sz w:val="20"/>
          <w:szCs w:val="20"/>
        </w:rPr>
        <w:t xml:space="preserve">The E6 aerial variant is built around a six-hour sortie because a slow aircraft transiting at 54 km/h cannot afford to come home often. This aircraft transits at 246 km/h and refuels in twenty-four minutes, so it is built around a short cycle repeated many times. This section states the profile and the arithmetic behind it.</w:t>
      </w:r>
    </w:p>
    <w:p>
      <w:pPr>
        <w:pStyle w:val="Heading2"/>
        <w:spacing w:after="110" w:before="240"/>
      </w:pPr>
      <w:r>
        <w:rPr>
          <w:rFonts w:ascii="Calibri" w:cs="Calibri" w:eastAsia="Calibri" w:hAnsi="Calibri"/>
          <w:b/>
          <w:bCs/>
          <w:color w:val="3A2E28"/>
          <w:sz w:val="24"/>
          <w:szCs w:val="24"/>
        </w:rPr>
        <w:t xml:space="preserve">17.1 The Sortie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1500"/>
        <w:gridCol w:w="1700"/>
        <w:gridCol w:w="41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Phase</w:t>
            </w:r>
          </w:p>
        </w:tc>
        <w:tc>
          <w:tcPr>
            <w:tcW w:type="dxa" w:w="1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Duration h</w:t>
            </w:r>
          </w:p>
        </w:tc>
        <w:tc>
          <w:tcPr>
            <w:tcW w:type="dxa" w:w="17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Fuel kg</w:t>
            </w:r>
          </w:p>
        </w:tc>
        <w:tc>
          <w:tcPr>
            <w:tcW w:type="dxa" w:w="4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Start, run-up, departure</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0.05</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5.6</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idle and lift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out, 60 km at 246 km/h</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0.35</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39.1</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Cruise shaft power 300 kW</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Descent, hover entry, corridor acquisition</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0.08</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9.6</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Lidar registration against the planned corridor</w:t>
            </w:r>
          </w:p>
        </w:tc>
      </w:tr>
      <w:tr>
        <w:trPr>
          <w:tblHeader w:val="false"/>
        </w:trPr>
        <w:tc>
          <w:tcPr>
            <w:tcW w:type="dxa" w:w="2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TREATMENT BLOCK</w:t>
            </w:r>
          </w:p>
        </w:tc>
        <w:tc>
          <w:tcPr>
            <w:tcW w:type="dxa" w:w="1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1.97</w:t>
            </w:r>
          </w:p>
        </w:tc>
        <w:tc>
          <w:tcPr>
            <w:tcW w:type="dxa" w:w="17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298</w:t>
            </w:r>
          </w:p>
        </w:tc>
        <w:tc>
          <w:tcPr>
            <w:tcW w:type="dxa" w:w="41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Duty scheduled against transmission margin</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back, 60 km</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0.35</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39.1</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Cruise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Reserve, 30 minutes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0.50</w:t>
            </w:r>
          </w:p>
        </w:tc>
        <w:tc>
          <w:tcPr>
            <w:tcW w:type="dxa" w:w="17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55.9</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Held, not planned for use</w:t>
            </w:r>
          </w:p>
        </w:tc>
      </w:tr>
      <w:tr>
        <w:trPr>
          <w:tblHeader w:val="false"/>
        </w:trPr>
        <w:tc>
          <w:tcPr>
            <w:tcW w:type="dxa" w:w="2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SORTIE TOTAL</w:t>
            </w:r>
          </w:p>
        </w:tc>
        <w:tc>
          <w:tcPr>
            <w:tcW w:type="dxa" w:w="1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2.80</w:t>
            </w:r>
          </w:p>
        </w:tc>
        <w:tc>
          <w:tcPr>
            <w:tcW w:type="dxa" w:w="17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391</w:t>
            </w:r>
          </w:p>
        </w:tc>
        <w:tc>
          <w:tcPr>
            <w:tcW w:type="dxa" w:w="41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Block time 2.80 h against 447 kg loaded</w:t>
            </w:r>
          </w:p>
        </w:tc>
      </w:tr>
    </w:tbl>
    <w:p>
      <w:pPr>
        <w:spacing w:after="200" w:before="60"/>
      </w:pPr>
      <w:r>
        <w:rPr>
          <w:rFonts w:ascii="Calibri" w:cs="Calibri" w:eastAsia="Calibri" w:hAnsi="Calibri"/>
          <w:i/>
          <w:iCs/>
          <w:color w:val="6B5A4E"/>
          <w:sz w:val="17"/>
          <w:szCs w:val="17"/>
        </w:rPr>
        <w:t xml:space="preserve">Table 20: Sortie fuel plan at the design condition with a 60 km transit each way. On-station time of 1.97 h is 70 percent of block time, which is the figure that governs the economics of Section 25.</w:t>
      </w:r>
    </w:p>
    <w:p>
      <w:pPr>
        <w:spacing w:after="120" w:before="60" w:line="276"/>
        <w:jc w:val="left"/>
      </w:pPr>
      <w:r>
        <w:rPr>
          <w:rFonts w:ascii="Calibri" w:cs="Calibri" w:eastAsia="Calibri" w:hAnsi="Calibri"/>
          <w:b w:val="false"/>
          <w:bCs w:val="false"/>
          <w:i w:val="false"/>
          <w:iCs w:val="false"/>
          <w:color w:val="3A2E28"/>
          <w:sz w:val="20"/>
          <w:szCs w:val="20"/>
        </w:rPr>
        <w:t xml:space="preserve">The 60 km transit radius is a planning assumption rather than a limit. A shorter transit converts directly into on-station time at roughly 0.14 h per 20 km saved each way. Forward basing at a fire camp rather than at a permanent aerodrome is therefore worth more to this aircraft than any change to the treatment system, and Section 25 quantifies it.</w:t>
      </w:r>
    </w:p>
    <w:p>
      <w:pPr>
        <w:pStyle w:val="Heading2"/>
        <w:spacing w:after="110" w:before="240"/>
      </w:pPr>
      <w:r>
        <w:rPr>
          <w:rFonts w:ascii="Calibri" w:cs="Calibri" w:eastAsia="Calibri" w:hAnsi="Calibri"/>
          <w:b/>
          <w:bCs/>
          <w:color w:val="3A2E28"/>
          <w:sz w:val="24"/>
          <w:szCs w:val="24"/>
        </w:rPr>
        <w:t xml:space="preserve">17.2 Why Installed Power Peaks Where It Does</w:t>
      </w:r>
    </w:p>
    <w:p>
      <w:pPr>
        <w:spacing w:after="120" w:before="60" w:line="276"/>
        <w:jc w:val="left"/>
      </w:pPr>
      <w:r>
        <w:rPr>
          <w:rFonts w:ascii="Calibri" w:cs="Calibri" w:eastAsia="Calibri" w:hAnsi="Calibri"/>
          <w:b w:val="false"/>
          <w:bCs w:val="false"/>
          <w:i w:val="false"/>
          <w:iCs w:val="false"/>
          <w:color w:val="3A2E28"/>
          <w:sz w:val="20"/>
          <w:szCs w:val="20"/>
        </w:rPr>
        <w:t xml:space="preserve">Section 11.1 states that per-sortie treated area peaks at 26 kW installed. The mechanism is visible in the sortie plan. Adding installed optical power adds source and cooling mass, which comes out of fuel because the aircraft is already at gross weight. Less fuel means a shorter treatment block. Area rate rises linearly with installed power and on-station time falls, and the product turns over.</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1900"/>
        <w:gridCol w:w="1900"/>
        <w:gridCol w:w="1900"/>
        <w:gridCol w:w="1900"/>
        <w:gridCol w:w="1900"/>
        <w:gridCol w:w="1780"/>
      </w:tblGrid>
      <w:tr>
        <w:trPr>
          <w:tblHeader/>
        </w:trPr>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Installed kW</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Mission kg</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Fuel kg</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On-station h</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m2/h</w:t>
            </w:r>
          </w:p>
        </w:tc>
        <w:tc>
          <w:tcPr>
            <w:tcW w:type="dxa" w:w="178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m2/sortie</w:t>
            </w:r>
          </w:p>
        </w:tc>
      </w:tr>
      <w:tr>
        <w:trPr>
          <w:tblHeader w:val="false"/>
        </w:trPr>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16</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422</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447</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2.20</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65.1</w:t>
            </w:r>
          </w:p>
        </w:tc>
        <w:tc>
          <w:tcPr>
            <w:tcW w:type="dxa" w:w="17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143</w:t>
            </w:r>
          </w:p>
        </w:tc>
      </w:tr>
      <w:tr>
        <w:trPr>
          <w:tblHeader w:val="false"/>
        </w:trPr>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476</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447</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2.10</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81.4</w:t>
            </w:r>
          </w:p>
        </w:tc>
        <w:tc>
          <w:tcPr>
            <w:tcW w:type="dxa" w:w="17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171</w:t>
            </w:r>
          </w:p>
        </w:tc>
      </w:tr>
      <w:tr>
        <w:trPr>
          <w:tblHeader w:val="false"/>
        </w:trPr>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24</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529</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447</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2.01</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97.7</w:t>
            </w:r>
          </w:p>
        </w:tc>
        <w:tc>
          <w:tcPr>
            <w:tcW w:type="dxa" w:w="17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196</w:t>
            </w:r>
          </w:p>
        </w:tc>
      </w:tr>
      <w:tr>
        <w:trPr>
          <w:tblHeader w:val="false"/>
        </w:trPr>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26</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556</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447</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1.97</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104.5</w:t>
            </w:r>
          </w:p>
        </w:tc>
        <w:tc>
          <w:tcPr>
            <w:tcW w:type="dxa" w:w="17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206</w:t>
            </w:r>
          </w:p>
        </w:tc>
      </w:tr>
      <w:tr>
        <w:trPr>
          <w:tblHeader w:val="false"/>
        </w:trPr>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583</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432</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1.85</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109.8</w:t>
            </w:r>
          </w:p>
        </w:tc>
        <w:tc>
          <w:tcPr>
            <w:tcW w:type="dxa" w:w="17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203</w:t>
            </w:r>
          </w:p>
        </w:tc>
      </w:tr>
      <w:tr>
        <w:trPr>
          <w:tblHeader w:val="false"/>
        </w:trPr>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610</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405</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1.65</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114.5</w:t>
            </w:r>
          </w:p>
        </w:tc>
        <w:tc>
          <w:tcPr>
            <w:tcW w:type="dxa" w:w="17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189</w:t>
            </w:r>
          </w:p>
        </w:tc>
      </w:tr>
    </w:tbl>
    <w:p>
      <w:pPr>
        <w:spacing w:after="200" w:before="60"/>
      </w:pPr>
      <w:r>
        <w:rPr>
          <w:rFonts w:ascii="Calibri" w:cs="Calibri" w:eastAsia="Calibri" w:hAnsi="Calibri"/>
          <w:i/>
          <w:iCs/>
          <w:color w:val="6B5A4E"/>
          <w:sz w:val="17"/>
          <w:szCs w:val="17"/>
        </w:rPr>
        <w:t xml:space="preserve">Table 21: Installed optical power against per-sortie output. Fuel stays at tank capacity up to 26 kW and then begins to be displaced by mission mass, which is the point at which the curve turns over.</w:t>
      </w:r>
    </w:p>
    <w:p>
      <w:pPr>
        <w:spacing w:after="120" w:before="60" w:line="276"/>
        <w:jc w:val="left"/>
      </w:pPr>
      <w:r>
        <w:rPr>
          <w:rFonts w:ascii="Calibri" w:cs="Calibri" w:eastAsia="Calibri" w:hAnsi="Calibri"/>
          <w:b w:val="false"/>
          <w:bCs w:val="false"/>
          <w:i w:val="false"/>
          <w:iCs w:val="false"/>
          <w:color w:val="3A2E28"/>
          <w:sz w:val="20"/>
          <w:szCs w:val="20"/>
        </w:rPr>
        <w:t xml:space="preserve">Two ceilings appear in this table and they arrive close together. Below 26 kW the aircraft carries full tanks and has spare weight it does not use. Above it, mission mass displaces fuel directly. The selected point is where the tanks are exactly full and the weight is exactly used, which is a satisfying place for a design to land and is also the reason the peak is broad rather than sharp.</w:t>
      </w:r>
    </w:p>
    <w:p>
      <w:pPr>
        <w:pStyle w:val="Heading2"/>
        <w:spacing w:after="110" w:before="240"/>
      </w:pPr>
      <w:r>
        <w:rPr>
          <w:rFonts w:ascii="Calibri" w:cs="Calibri" w:eastAsia="Calibri" w:hAnsi="Calibri"/>
          <w:b/>
          <w:bCs/>
          <w:color w:val="3A2E28"/>
          <w:sz w:val="24"/>
          <w:szCs w:val="24"/>
        </w:rPr>
        <w:t xml:space="preserve">17.3 The Operating Day</w:t>
      </w:r>
    </w:p>
    <w:p>
      <w:pPr>
        <w:spacing w:after="120" w:before="60" w:line="276"/>
        <w:jc w:val="left"/>
      </w:pPr>
      <w:r>
        <w:rPr>
          <w:rFonts w:ascii="Calibri" w:cs="Calibri" w:eastAsia="Calibri" w:hAnsi="Calibri"/>
          <w:b w:val="false"/>
          <w:bCs w:val="false"/>
          <w:i w:val="false"/>
          <w:iCs w:val="false"/>
          <w:color w:val="3A2E28"/>
          <w:sz w:val="20"/>
          <w:szCs w:val="20"/>
        </w:rPr>
        <w:t xml:space="preserve">Cycle time is 1.97 h on station plus 0.70 h of transit plus 0.40 h of turnaround, which is 3.07 h. In a 12 hour operating day the aircraft flies 3.90 sorties, accumulates 10.44 flight hours and treats 806 m2.</w:t>
      </w:r>
    </w:p>
    <w:p>
      <w:pPr>
        <w:spacing w:after="120" w:before="60" w:line="276"/>
        <w:jc w:val="left"/>
      </w:pPr>
      <w:r>
        <w:rPr>
          <w:rFonts w:ascii="Calibri" w:cs="Calibri" w:eastAsia="Calibri" w:hAnsi="Calibri"/>
          <w:b w:val="false"/>
          <w:bCs w:val="false"/>
          <w:i w:val="false"/>
          <w:iCs w:val="false"/>
          <w:color w:val="3A2E28"/>
          <w:sz w:val="20"/>
          <w:szCs w:val="20"/>
        </w:rPr>
        <w:t xml:space="preserve">That is a demanding day for one airframe and it requires two pilot crews rotating, which the fixed daily cost of Section 25 carries. It is not an unusual day by fire-contract standards; bucket work on an active fire routinely accumulates comparable hours in shorter cycles. The maintenance implication is that the aircraft reaches its 5,000 hour transmission overhaul and 2,500 hour rotor hub overhaul in roughly five and two and a half seasons respectively, and Section 25 carries those reserves in the hourly cost.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18. Crew Station and Workload</w:t>
      </w:r>
    </w:p>
    <w:p>
      <w:pPr>
        <w:spacing w:after="120" w:before="60" w:line="276"/>
        <w:jc w:val="left"/>
      </w:pPr>
      <w:r>
        <w:rPr>
          <w:rFonts w:ascii="Calibri" w:cs="Calibri" w:eastAsia="Calibri" w:hAnsi="Calibri"/>
          <w:b w:val="false"/>
          <w:bCs w:val="false"/>
          <w:i w:val="false"/>
          <w:iCs w:val="false"/>
          <w:color w:val="3A2E28"/>
          <w:sz w:val="20"/>
          <w:szCs w:val="20"/>
        </w:rPr>
        <w:t xml:space="preserve">This installation carries two crew. This section states why, because a second seat costs 95 kg and 25.2 minutes of on-station time and the programme considered removing it.</w:t>
      </w:r>
    </w:p>
    <w:p>
      <w:pPr>
        <w:pStyle w:val="Heading2"/>
        <w:spacing w:after="110" w:before="240"/>
      </w:pPr>
      <w:r>
        <w:rPr>
          <w:rFonts w:ascii="Calibri" w:cs="Calibri" w:eastAsia="Calibri" w:hAnsi="Calibri"/>
          <w:b/>
          <w:bCs/>
          <w:color w:val="3A2E28"/>
          <w:sz w:val="24"/>
          <w:szCs w:val="24"/>
        </w:rPr>
        <w:t xml:space="preserve">18.1 Why Two</w:t>
      </w:r>
    </w:p>
    <w:p>
      <w:pPr>
        <w:spacing w:after="120" w:before="60" w:line="276"/>
        <w:jc w:val="left"/>
      </w:pPr>
      <w:r>
        <w:rPr>
          <w:rFonts w:ascii="Calibri" w:cs="Calibri" w:eastAsia="Calibri" w:hAnsi="Calibri"/>
          <w:b w:val="false"/>
          <w:bCs w:val="false"/>
          <w:i w:val="false"/>
          <w:iCs w:val="false"/>
          <w:color w:val="3A2E28"/>
          <w:sz w:val="20"/>
          <w:szCs w:val="20"/>
        </w:rPr>
        <w:t xml:space="preserve">The pilot flies a 20 m hover over sloping, often obscured terrain, advancing at 7.47 m per hour along a planned corridor, in the wind conditions that exist near an active fire, while monitoring transmission margin, rotor speed, fuel and the exclusion zone. That is a full workload before anything else is added.</w:t>
      </w:r>
    </w:p>
    <w:p>
      <w:pPr>
        <w:spacing w:after="120" w:before="60" w:line="276"/>
        <w:jc w:val="left"/>
      </w:pPr>
      <w:r>
        <w:rPr>
          <w:rFonts w:ascii="Calibri" w:cs="Calibri" w:eastAsia="Calibri" w:hAnsi="Calibri"/>
          <w:b w:val="false"/>
          <w:bCs w:val="false"/>
          <w:i w:val="false"/>
          <w:iCs w:val="false"/>
          <w:color w:val="3A2E28"/>
          <w:sz w:val="20"/>
          <w:szCs w:val="20"/>
        </w:rPr>
        <w:t xml:space="preserve">The system operator manages the corridor plan, monitors the treatment display, confirms fuel classification and inhibition decisions, watches the four sector thermal images for flare precursors, and holds the second of the two independent authorities required to arm the emitter. The operator also maintains the exclusion zone picture, which at a 1,200 m radius covers 4.5 km2 and is not something a hovering pilot monitors.</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two-authority rule</w:t>
            </w:r>
          </w:p>
          <w:p>
            <w:pPr>
              <w:spacing w:after="60" w:line="270"/>
            </w:pPr>
            <w:r>
              <w:rPr>
                <w:rFonts w:ascii="Calibri" w:cs="Calibri" w:eastAsia="Calibri" w:hAnsi="Calibri"/>
                <w:color w:val="3A2E28"/>
                <w:sz w:val="19"/>
                <w:szCs w:val="19"/>
              </w:rPr>
              <w:t xml:space="preserve">Arming the laser requires two independent actions by two crew members: the pilot arms the mission bus at the collective, and the operator arms the emitter at the console.</w:t>
            </w:r>
          </w:p>
          <w:p>
            <w:pPr>
              <w:spacing w:after="60" w:line="270"/>
            </w:pPr>
            <w:r>
              <w:rPr>
                <w:rFonts w:ascii="Calibri" w:cs="Calibri" w:eastAsia="Calibri" w:hAnsi="Calibri"/>
                <w:color w:val="3A2E28"/>
                <w:sz w:val="19"/>
                <w:szCs w:val="19"/>
              </w:rPr>
              <w:t xml:space="preserve">Either crew member disarms alone. Both are required to arm.</w:t>
            </w:r>
          </w:p>
          <w:p>
            <w:pPr>
              <w:spacing w:after="60" w:line="270"/>
            </w:pPr>
            <w:r>
              <w:rPr>
                <w:rFonts w:ascii="Calibri" w:cs="Calibri" w:eastAsia="Calibri" w:hAnsi="Calibri"/>
                <w:color w:val="3A2E28"/>
                <w:sz w:val="19"/>
                <w:szCs w:val="19"/>
              </w:rPr>
              <w:t xml:space="preserve">This is the same principle applied to any system where an inadvertent activation has consequences outside the aircraft, and it is a certification-relevant feature rather than a procedure.</w:t>
            </w:r>
          </w:p>
        </w:tc>
      </w:tr>
    </w:tbl>
    <w:p>
      <w:pPr>
        <w:spacing w:after="120" w:before="60" w:line="276"/>
        <w:jc w:val="left"/>
      </w:pPr>
      <w:r>
        <w:rPr>
          <w:rFonts w:ascii="Calibri" w:cs="Calibri" w:eastAsia="Calibri" w:hAnsi="Calibri"/>
          <w:b w:val="false"/>
          <w:bCs w:val="false"/>
          <w:i w:val="false"/>
          <w:iCs w:val="false"/>
          <w:color w:val="3A2E28"/>
          <w:sz w:val="20"/>
          <w:szCs w:val="20"/>
        </w:rPr>
        <w:t xml:space="preserve">The programme considered a single-pilot configuration with an autonomous treatment manager, on the basis that the E6 operates unmanned. It was rejected. The E6 treats from 4.0 m with a 68 m hazard distance over a 2.80 m corridor; this aircraft treats from 20 m with a 990 m hazard distance over a 14.0 m swath, and the consequence of an unmonitored emitter scales with both. The second seat is a safety requirement.</w:t>
      </w:r>
    </w:p>
    <w:p>
      <w:pPr>
        <w:pStyle w:val="Heading2"/>
        <w:spacing w:after="110" w:before="240"/>
      </w:pPr>
      <w:r>
        <w:rPr>
          <w:rFonts w:ascii="Calibri" w:cs="Calibri" w:eastAsia="Calibri" w:hAnsi="Calibri"/>
          <w:b/>
          <w:bCs/>
          <w:color w:val="3A2E28"/>
          <w:sz w:val="24"/>
          <w:szCs w:val="24"/>
        </w:rPr>
        <w:t xml:space="preserve">18.2 The Console</w:t>
      </w:r>
    </w:p>
    <w:p>
      <w:pPr>
        <w:spacing w:after="120" w:before="60" w:line="276"/>
        <w:jc w:val="left"/>
      </w:pPr>
      <w:r>
        <w:rPr>
          <w:rFonts w:ascii="Calibri" w:cs="Calibri" w:eastAsia="Calibri" w:hAnsi="Calibri"/>
          <w:b w:val="false"/>
          <w:bCs w:val="false"/>
          <w:i w:val="false"/>
          <w:iCs w:val="false"/>
          <w:color w:val="3A2E28"/>
          <w:sz w:val="20"/>
          <w:szCs w:val="20"/>
        </w:rPr>
        <w:t xml:space="preserve">The operator console replaces the two forward-facing outboard cabin seats on the left side and presents four displays: the fused sector thermal image with the treated corridor overlaid, the terrain and standoff picture from the lidar, the exclusion zone and traffic picture, and the system status page carrying transmission margin, duty cycle, path transmission, coolant state and bus condition.</w:t>
      </w:r>
    </w:p>
    <w:p>
      <w:pPr>
        <w:spacing w:after="120" w:before="60" w:line="276"/>
        <w:jc w:val="left"/>
      </w:pPr>
      <w:r>
        <w:rPr>
          <w:rFonts w:ascii="Calibri" w:cs="Calibri" w:eastAsia="Calibri" w:hAnsi="Calibri"/>
          <w:b w:val="false"/>
          <w:bCs w:val="false"/>
          <w:i w:val="false"/>
          <w:iCs w:val="false"/>
          <w:color w:val="3A2E28"/>
          <w:sz w:val="20"/>
          <w:szCs w:val="20"/>
        </w:rPr>
        <w:t xml:space="preserve">The console carries a hand controller for corridor adjustment and sector inhibition, the emitter arm switch under a guard, and a red beam-off control that acts through the hardwired safety chain with no software path. The pilot has an identical beam-off control on the collective.</w:t>
      </w:r>
    </w:p>
    <w:p>
      <w:pPr>
        <w:pStyle w:val="Heading2"/>
        <w:spacing w:after="110" w:before="240"/>
      </w:pPr>
      <w:r>
        <w:rPr>
          <w:rFonts w:ascii="Calibri" w:cs="Calibri" w:eastAsia="Calibri" w:hAnsi="Calibri"/>
          <w:b/>
          <w:bCs/>
          <w:color w:val="3A2E28"/>
          <w:sz w:val="24"/>
          <w:szCs w:val="24"/>
        </w:rPr>
        <w:t xml:space="preserve">18.3 Crew Protection</w:t>
      </w:r>
    </w:p>
    <w:p>
      <w:pPr>
        <w:spacing w:after="120" w:before="60" w:line="276"/>
        <w:jc w:val="left"/>
      </w:pPr>
      <w:r>
        <w:rPr>
          <w:rFonts w:ascii="Calibri" w:cs="Calibri" w:eastAsia="Calibri" w:hAnsi="Calibri"/>
          <w:b w:val="false"/>
          <w:bCs w:val="false"/>
          <w:i w:val="false"/>
          <w:iCs w:val="false"/>
          <w:color w:val="3A2E28"/>
          <w:sz w:val="20"/>
          <w:szCs w:val="20"/>
        </w:rPr>
        <w:t xml:space="preserve">The primary protection for both crew is the windscreen and chin bubble filter, which rejects 1080 nm at optical density 7 while passing the visible spectrum. This is a certification-relevant item because it protects against specular return from below, which is the credible in-flight exposure path, and because it must not degrade the pilot's visual acuity or colour discrimination in a way that affects flight safety.</w:t>
      </w:r>
    </w:p>
    <w:p>
      <w:pPr>
        <w:spacing w:after="120" w:before="60" w:line="276"/>
        <w:jc w:val="left"/>
      </w:pPr>
      <w:r>
        <w:rPr>
          <w:rFonts w:ascii="Calibri" w:cs="Calibri" w:eastAsia="Calibri" w:hAnsi="Calibri"/>
          <w:b w:val="false"/>
          <w:bCs w:val="false"/>
          <w:i w:val="false"/>
          <w:iCs w:val="false"/>
          <w:color w:val="3A2E28"/>
          <w:sz w:val="20"/>
          <w:szCs w:val="20"/>
        </w:rPr>
        <w:t xml:space="preserve">Laser safety eyewear at optical density 7 is carried for ground operations, maintenance and alignment, where the crew is outside the protected cabin. Eyewear is not worn in flight, because eyewear that blocks the source wavelength also affects cockpit display legibility and the filtered windscreen makes it unnecessary.</w:t>
      </w:r>
    </w:p>
    <w:p>
      <w:pPr>
        <w:spacing w:after="120" w:before="60" w:line="276"/>
        <w:jc w:val="left"/>
      </w:pPr>
      <w:r>
        <w:rPr>
          <w:rFonts w:ascii="Calibri" w:cs="Calibri" w:eastAsia="Calibri" w:hAnsi="Calibri"/>
          <w:b w:val="false"/>
          <w:bCs w:val="false"/>
          <w:i w:val="false"/>
          <w:iCs w:val="false"/>
          <w:color w:val="3A2E28"/>
          <w:sz w:val="20"/>
          <w:szCs w:val="20"/>
        </w:rPr>
        <w:t xml:space="preserve">The turret tilt hard stop of 12 degrees off nadir is the engineering guarantee that no beam reaches the cabin, the rotor disc, or the horizon. Section 20 states the geometry.</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19. Safety Architecture</w:t>
      </w:r>
    </w:p>
    <w:p>
      <w:pPr>
        <w:spacing w:after="120" w:before="60" w:line="276"/>
        <w:jc w:val="left"/>
      </w:pPr>
      <w:r>
        <w:rPr>
          <w:rFonts w:ascii="Calibri" w:cs="Calibri" w:eastAsia="Calibri" w:hAnsi="Calibri"/>
          <w:b w:val="false"/>
          <w:bCs w:val="false"/>
          <w:i w:val="false"/>
          <w:iCs w:val="false"/>
          <w:color w:val="3A2E28"/>
          <w:sz w:val="20"/>
          <w:szCs w:val="20"/>
        </w:rPr>
        <w:t xml:space="preserve">The safety case rests on four independent abort paths, a mechanical tilt limit, and a design principle that the mission system is never a flight-critical load. This section states each element and the failure it addresses.</w:t>
      </w:r>
    </w:p>
    <w:p>
      <w:pPr>
        <w:pStyle w:val="Heading2"/>
        <w:spacing w:after="110" w:before="240"/>
      </w:pPr>
      <w:r>
        <w:rPr>
          <w:rFonts w:ascii="Calibri" w:cs="Calibri" w:eastAsia="Calibri" w:hAnsi="Calibri"/>
          <w:b/>
          <w:bCs/>
          <w:color w:val="3A2E28"/>
          <w:sz w:val="24"/>
          <w:szCs w:val="24"/>
        </w:rPr>
        <w:t xml:space="preserve">19.1 The Four Abort Paths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2600"/>
        <w:gridCol w:w="1900"/>
        <w:gridCol w:w="30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Path</w:t>
            </w:r>
          </w:p>
        </w:tc>
        <w:tc>
          <w:tcPr>
            <w:tcW w:type="dxa" w:w="2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Trigger</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Response time</w:t>
            </w:r>
          </w:p>
        </w:tc>
        <w:tc>
          <w:tcPr>
            <w:tcW w:type="dxa" w:w="3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Independence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Spectral</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H-alpha emission indicating flaming combustion</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40 ms</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Optical emission spectrometer, own power and signal path</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Ultraviolet flame</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Ultraviolet flame detector pair</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60 ms</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Dissimilar technology, separate feeder</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Infrared flame</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Multispectral infrared detector pair</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60 ms</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Dissimilar technology, separate feeder</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 mirror park</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Loss of galvanometer drive current</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Under 40 ms</w:t>
            </w:r>
          </w:p>
        </w:tc>
        <w:tc>
          <w:tcPr>
            <w:tcW w:type="dxa" w:w="3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Mechanical spring return to an internal water-cooled dump; no electrical action required</w:t>
            </w:r>
          </w:p>
        </w:tc>
      </w:tr>
    </w:tbl>
    <w:p>
      <w:pPr>
        <w:spacing w:after="200" w:before="60"/>
      </w:pPr>
      <w:r>
        <w:rPr>
          <w:rFonts w:ascii="Calibri" w:cs="Calibri" w:eastAsia="Calibri" w:hAnsi="Calibri"/>
          <w:i/>
          <w:iCs/>
          <w:color w:val="6B5A4E"/>
          <w:sz w:val="17"/>
          <w:szCs w:val="17"/>
        </w:rPr>
        <w:t xml:space="preserve">Table 22: The four abort paths. Each closes the beam by a different mechanism and no two share a power source, a signal path or a technology. The fourth path is mechanical and functions with the aircraft electrical system entirely dead.</w:t>
      </w:r>
    </w:p>
    <w:p>
      <w:pPr>
        <w:spacing w:after="120" w:before="60" w:line="276"/>
        <w:jc w:val="left"/>
      </w:pPr>
      <w:r>
        <w:rPr>
          <w:rFonts w:ascii="Calibri" w:cs="Calibri" w:eastAsia="Calibri" w:hAnsi="Calibri"/>
          <w:b w:val="false"/>
          <w:bCs w:val="false"/>
          <w:i w:val="false"/>
          <w:iCs w:val="false"/>
          <w:color w:val="3A2E28"/>
          <w:sz w:val="20"/>
          <w:szCs w:val="20"/>
        </w:rPr>
        <w:t xml:space="preserve">The fourth path is inherited from Aerial v1.6 Section 21.5 and it is the one that carries the case in the worst condition. A spring-return galvanometer that parks the beam on an internal dump when drive current is lost removes the beam from the ground within one scan period regardless of what the shutters, the controller or the aircraft are doing. It is the only abort path that requires nothing to work in order to function.</w:t>
      </w:r>
    </w:p>
    <w:p>
      <w:pPr>
        <w:pStyle w:val="Heading2"/>
        <w:spacing w:after="110" w:before="240"/>
      </w:pPr>
      <w:r>
        <w:rPr>
          <w:rFonts w:ascii="Calibri" w:cs="Calibri" w:eastAsia="Calibri" w:hAnsi="Calibri"/>
          <w:b/>
          <w:bCs/>
          <w:color w:val="3A2E28"/>
          <w:sz w:val="24"/>
          <w:szCs w:val="24"/>
        </w:rPr>
        <w:t xml:space="preserve">19.2 The Tilt Limit</w:t>
      </w:r>
    </w:p>
    <w:p>
      <w:pPr>
        <w:spacing w:after="120" w:before="60" w:line="276"/>
        <w:jc w:val="left"/>
      </w:pPr>
      <w:r>
        <w:rPr>
          <w:rFonts w:ascii="Calibri" w:cs="Calibri" w:eastAsia="Calibri" w:hAnsi="Calibri"/>
          <w:b w:val="false"/>
          <w:bCs w:val="false"/>
          <w:i w:val="false"/>
          <w:iCs w:val="false"/>
          <w:color w:val="3A2E28"/>
          <w:sz w:val="20"/>
          <w:szCs w:val="20"/>
        </w:rPr>
        <w:t xml:space="preserve">The turret elevation axis is limited to 12 degrees off nadir by a hard stop machined into the spherical bearing race. It is structure. No software commands it, no software can override it, and no failure of the drive system defeats it.</w:t>
      </w:r>
    </w:p>
    <w:p>
      <w:pPr>
        <w:spacing w:after="120" w:before="60" w:line="276"/>
        <w:jc w:val="left"/>
      </w:pPr>
      <w:r>
        <w:rPr>
          <w:rFonts w:ascii="Calibri" w:cs="Calibri" w:eastAsia="Calibri" w:hAnsi="Calibri"/>
          <w:b w:val="false"/>
          <w:bCs w:val="false"/>
          <w:i w:val="false"/>
          <w:iCs w:val="false"/>
          <w:color w:val="3A2E28"/>
          <w:sz w:val="20"/>
          <w:szCs w:val="20"/>
        </w:rPr>
        <w:t xml:space="preserve">At 20 m standoff the stop places the beam ground intercept within 4.25 m of the point directly beneath the turret, at a slant range of 20.45 m and an obliquity factor of 1.022. The beam physically cannot reach the horizon, cannot reach the rotor disc, and cannot reach the cabin. The safety case for the most consequential hazard therefore rests on a machined stop rather than on an interlock chain, which is the strongest form the argument takes.</w:t>
      </w:r>
    </w:p>
    <w:p>
      <w:pPr>
        <w:spacing w:after="120" w:before="60" w:line="276"/>
        <w:jc w:val="left"/>
      </w:pPr>
      <w:r>
        <w:rPr>
          <w:rFonts w:ascii="Calibri" w:cs="Calibri" w:eastAsia="Calibri" w:hAnsi="Calibri"/>
          <w:b w:val="false"/>
          <w:bCs w:val="false"/>
          <w:i w:val="false"/>
          <w:iCs w:val="false"/>
          <w:color w:val="3A2E28"/>
          <w:sz w:val="20"/>
          <w:szCs w:val="20"/>
        </w:rPr>
        <w:t xml:space="preserve">The tilt stop is deliberately tighter than the E6 figure of 20 degrees. Two reasons: the longer standoff means a given tilt angle displaces the intercept five times further, and the higher power means the consequence of an escaped beam is larger. Twelve degrees at 20 m gives the same ground displacement as 46 degrees at 4 m.</w:t>
      </w:r>
    </w:p>
    <w:p>
      <w:pPr>
        <w:pStyle w:val="Heading2"/>
        <w:spacing w:after="110" w:before="240"/>
      </w:pPr>
      <w:r>
        <w:rPr>
          <w:rFonts w:ascii="Calibri" w:cs="Calibri" w:eastAsia="Calibri" w:hAnsi="Calibri"/>
          <w:b/>
          <w:bCs/>
          <w:color w:val="3A2E28"/>
          <w:sz w:val="24"/>
          <w:szCs w:val="24"/>
        </w:rPr>
        <w:t xml:space="preserve">19.3 Interlocks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200"/>
        <w:gridCol w:w="3000"/>
        <w:gridCol w:w="3880"/>
      </w:tblGrid>
      <w:tr>
        <w:trPr>
          <w:tblHeader/>
        </w:trPr>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Interlock</w:t>
            </w:r>
          </w:p>
        </w:tc>
        <w:tc>
          <w:tcPr>
            <w:tcW w:type="dxa" w:w="3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Condition</w:t>
            </w:r>
          </w:p>
        </w:tc>
        <w:tc>
          <w:tcPr>
            <w:tcW w:type="dxa" w:w="3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Action</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Altitude</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Standoff outside 15 to 25 m</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inhibited; dose control cannot command emission</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Attitude</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Bank or pitch beyond the stabilisation authority</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off; loss of stabilisation solution declared</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Stabilisation</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Line-of-sight error beyond 2.5 degrees on either axis</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off</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transmission</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transmission below 0.45</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off; dose becomes uncontrolled below this</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Airspeed</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Groundspeed above 8 km/h</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inhibited; treatment is a hover task</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Coolant</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Flow, pressure or temperature outside band</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off, shutters closed, within 500 ms</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margin</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Shaft power above the load-shed threshold</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Duty reduced, then mission bus opened</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speed</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speed decay</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Mission bus opened within 100 ms</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Crew</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Either beam-off control, pilot or operator</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Immediate, hardwired, no software path</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Arming</w:t>
            </w:r>
          </w:p>
        </w:tc>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Two-authority arm not satisfied</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Emitter cannot be energised</w:t>
            </w:r>
          </w:p>
        </w:tc>
      </w:tr>
    </w:tbl>
    <w:p>
      <w:pPr>
        <w:spacing w:after="200" w:before="60"/>
      </w:pPr>
      <w:r>
        <w:rPr>
          <w:rFonts w:ascii="Calibri" w:cs="Calibri" w:eastAsia="Calibri" w:hAnsi="Calibri"/>
          <w:i/>
          <w:iCs/>
          <w:color w:val="6B5A4E"/>
          <w:sz w:val="17"/>
          <w:szCs w:val="17"/>
        </w:rPr>
        <w:t xml:space="preserve">Table 23: The interlock set. Every entry acts by removing energy rather than by adding a corrective action, which is the property that makes the chain analysable.</w:t>
      </w:r>
    </w:p>
    <w:p>
      <w:pPr>
        <w:pStyle w:val="Heading2"/>
        <w:spacing w:after="110" w:before="240"/>
      </w:pPr>
      <w:r>
        <w:rPr>
          <w:rFonts w:ascii="Calibri" w:cs="Calibri" w:eastAsia="Calibri" w:hAnsi="Calibri"/>
          <w:b/>
          <w:bCs/>
          <w:color w:val="3A2E28"/>
          <w:sz w:val="24"/>
          <w:szCs w:val="24"/>
        </w:rPr>
        <w:t xml:space="preserve">19.4 Fire and Jettison</w:t>
      </w:r>
    </w:p>
    <w:p>
      <w:pPr>
        <w:spacing w:after="120" w:before="60" w:line="276"/>
        <w:jc w:val="left"/>
      </w:pPr>
      <w:r>
        <w:rPr>
          <w:rFonts w:ascii="Calibri" w:cs="Calibri" w:eastAsia="Calibri" w:hAnsi="Calibri"/>
          <w:b w:val="false"/>
          <w:bCs w:val="false"/>
          <w:i w:val="false"/>
          <w:iCs w:val="false"/>
          <w:color w:val="3A2E28"/>
          <w:sz w:val="20"/>
          <w:szCs w:val="20"/>
        </w:rPr>
        <w:t xml:space="preserve">The source bay in the cabin rack carries fire detection and suppression independent of the engine bay system, and nitrogen inerting for the case of a coolant or fibre failure onto hot equipment. The belly pod carries its own detection and suppression.</w:t>
      </w:r>
    </w:p>
    <w:p>
      <w:pPr>
        <w:spacing w:after="120" w:before="60" w:line="276"/>
        <w:jc w:val="left"/>
      </w:pPr>
      <w:r>
        <w:rPr>
          <w:rFonts w:ascii="Calibri" w:cs="Calibri" w:eastAsia="Calibri" w:hAnsi="Calibri"/>
          <w:b w:val="false"/>
          <w:bCs w:val="false"/>
          <w:i w:val="false"/>
          <w:iCs w:val="false"/>
          <w:color w:val="3A2E28"/>
          <w:sz w:val="20"/>
          <w:szCs w:val="20"/>
        </w:rPr>
        <w:t xml:space="preserve">The pod jettisons as a unit at 210 kg through four explosive-bolt attachments and a guillotine on the coolant and fibre bundle. Jettison is armed automatically on engine failure and commanded manually by the pilot. It sheds 8.9 percent of gross weight, which converts to 51 kW of hover power at the design point and materially improves the autorotation entry and the survivable landing options.</w:t>
      </w:r>
    </w:p>
    <w:p>
      <w:pPr>
        <w:spacing w:after="120" w:before="60" w:line="276"/>
        <w:jc w:val="left"/>
      </w:pPr>
      <w:r>
        <w:rPr>
          <w:rFonts w:ascii="Calibri" w:cs="Calibri" w:eastAsia="Calibri" w:hAnsi="Calibri"/>
          <w:b w:val="false"/>
          <w:bCs w:val="false"/>
          <w:i w:val="false"/>
          <w:iCs w:val="false"/>
          <w:color w:val="3A2E28"/>
          <w:sz w:val="20"/>
          <w:szCs w:val="20"/>
        </w:rPr>
        <w:t xml:space="preserve">Jettison is a considered act with consequences on the ground, so the arming logic requires the pilot to have selected a jettison area or to be in an engine-out condition. The pod contains a 6.0 kWh battery and four laser sources, and dropping it into unburned fuel is a poor outcome. The crew display carries a jettison footprint prediction continuously.</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20. Laser Hazard Analysis and the Exclusion Zone</w:t>
      </w:r>
    </w:p>
    <w:p>
      <w:pPr>
        <w:spacing w:after="120" w:before="60" w:line="276"/>
        <w:jc w:val="left"/>
      </w:pPr>
      <w:r>
        <w:rPr>
          <w:rFonts w:ascii="Calibri" w:cs="Calibri" w:eastAsia="Calibri" w:hAnsi="Calibri"/>
          <w:b w:val="false"/>
          <w:bCs w:val="false"/>
          <w:i w:val="false"/>
          <w:iCs w:val="false"/>
          <w:color w:val="3A2E28"/>
          <w:sz w:val="20"/>
          <w:szCs w:val="20"/>
        </w:rPr>
        <w:t xml:space="preserve">This is the section that most constrains where this aircraft works. Nominal ocular hazard distance rises from the E6 figure of 68 m to 990 m, and the operational exclusion radius rises from 150 m to 1,200 m. The reason is not principally power. It is collimation.</w:t>
      </w:r>
    </w:p>
    <w:p>
      <w:pPr>
        <w:pStyle w:val="Heading2"/>
        <w:spacing w:after="110" w:before="240"/>
      </w:pPr>
      <w:r>
        <w:rPr>
          <w:rFonts w:ascii="Calibri" w:cs="Calibri" w:eastAsia="Calibri" w:hAnsi="Calibri"/>
          <w:b/>
          <w:bCs/>
          <w:color w:val="3A2E28"/>
          <w:sz w:val="24"/>
          <w:szCs w:val="24"/>
        </w:rPr>
        <w:t xml:space="preserve">20.1 The Derivation</w:t>
      </w:r>
    </w:p>
    <w:p>
      <w:pPr>
        <w:spacing w:after="120" w:before="60" w:line="276"/>
        <w:jc w:val="left"/>
      </w:pPr>
      <w:r>
        <w:rPr>
          <w:rFonts w:ascii="Calibri" w:cs="Calibri" w:eastAsia="Calibri" w:hAnsi="Calibri"/>
          <w:b w:val="false"/>
          <w:bCs w:val="false"/>
          <w:i w:val="false"/>
          <w:iCs w:val="false"/>
          <w:color w:val="3A2E28"/>
          <w:sz w:val="20"/>
          <w:szCs w:val="20"/>
        </w:rPr>
        <w:t xml:space="preserve">Maximum permissible exposure at 1080 nm for exposures of 10 seconds or longer is 50 W/m2. A 6.5 kW beam falls to that level when it has expanded to 130 m2. The beam leaves the aperture as a 260 mm spot occupying 531 cm2 and expands geometrically, so the range at which it reaches the hazard area is the standoff multiplied by the square root of the area ratio, which is 20 times 49.5, or 990 m.</w:t>
      </w:r>
    </w:p>
    <w:p>
      <w:pPr>
        <w:spacing w:after="60" w:before="180"/>
        <w:jc w:val="center"/>
      </w:pPr>
      <w:r>
        <w:drawing>
          <wp:inline distT="0" distB="0" distL="0" distR="0">
            <wp:extent cx="59912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91225" cy="21050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4: Left, nominal ocular hazard distance across the programme on a logarithmic scale, with the adopted exclusion radius marked. Right, diffuse reflection hazard radius against surface reflectance. Diffuse return is a local hazard measured in metres. Specular return is a range hazard measured in kilometres, and it is the case that sizes the exclusion zone.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200"/>
        <w:gridCol w:w="2000"/>
        <w:gridCol w:w="2000"/>
        <w:gridCol w:w="2880"/>
      </w:tblGrid>
      <w:tr>
        <w:trPr>
          <w:tblHeader/>
        </w:trPr>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Case</w:t>
            </w:r>
          </w:p>
        </w:tc>
        <w:tc>
          <w:tcPr>
            <w:tcW w:type="dxa" w:w="2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Optical power</w:t>
            </w:r>
          </w:p>
        </w:tc>
        <w:tc>
          <w:tcPr>
            <w:tcW w:type="dxa" w:w="2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Hazard distance</w:t>
            </w:r>
          </w:p>
        </w:tc>
        <w:tc>
          <w:tcPr>
            <w:tcW w:type="dxa" w:w="2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E6 aerial, single source at 4.0 m</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 kW</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68 m</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Reference; Aerial v1.5 Table 14</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variant, single head at 20 m</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 kW</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990 m</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Design case</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variant, four heads coincident</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26 kW</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1,979 m</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Fault case; the geometry separates the sectors</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Diffuse return, reflectance 0.20, one head</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 kW</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2.88 m</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Local hazard only</w:t>
            </w:r>
          </w:p>
        </w:tc>
      </w:tr>
      <w:tr>
        <w:trPr>
          <w:tblHeader w:val="false"/>
        </w:trPr>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Diffuse return, reflectance 0.40, one head</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 kW</w:t>
            </w:r>
          </w:p>
        </w:tc>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4.07 m</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Wet foliage; still local</w:t>
            </w:r>
          </w:p>
        </w:tc>
      </w:tr>
    </w:tbl>
    <w:p>
      <w:pPr>
        <w:spacing w:after="200" w:before="60"/>
      </w:pPr>
      <w:r>
        <w:rPr>
          <w:rFonts w:ascii="Calibri" w:cs="Calibri" w:eastAsia="Calibri" w:hAnsi="Calibri"/>
          <w:i/>
          <w:iCs/>
          <w:color w:val="6B5A4E"/>
          <w:sz w:val="17"/>
          <w:szCs w:val="17"/>
        </w:rPr>
        <w:t xml:space="preserve">Table 24: Hazard distances. Power rises by a factor of 3.25 against the E6 while hazard distance rises by a factor of 14.6, because the longer standoff requires a better collimated beam and a better collimated beam stays dangerous further.</w:t>
      </w:r>
    </w:p>
    <w:p>
      <w:pPr>
        <w:spacing w:after="120" w:before="60" w:line="276"/>
        <w:jc w:val="left"/>
      </w:pPr>
      <w:r>
        <w:rPr>
          <w:rFonts w:ascii="Calibri" w:cs="Calibri" w:eastAsia="Calibri" w:hAnsi="Calibri"/>
          <w:b w:val="false"/>
          <w:bCs w:val="false"/>
          <w:i w:val="false"/>
          <w:iCs w:val="false"/>
          <w:color w:val="3A2E28"/>
          <w:sz w:val="20"/>
          <w:szCs w:val="20"/>
        </w:rPr>
        <w:t xml:space="preserve">The result that matters is stated plainly: collimation dominates power in this calculation. A better beam is a more dangerous beam at range, and the design decisions that make treatment work at 20 m are the same decisions that push the hazard distance to a kilometre. There is no version of this installation that treats a 14.0 m swath from 20 m and has a small hazard footprint.</w:t>
      </w:r>
    </w:p>
    <w:p>
      <w:pPr>
        <w:pStyle w:val="Heading2"/>
        <w:spacing w:after="110" w:before="240"/>
      </w:pPr>
      <w:r>
        <w:rPr>
          <w:rFonts w:ascii="Calibri" w:cs="Calibri" w:eastAsia="Calibri" w:hAnsi="Calibri"/>
          <w:b/>
          <w:bCs/>
          <w:color w:val="3A2E28"/>
          <w:sz w:val="24"/>
          <w:szCs w:val="24"/>
        </w:rPr>
        <w:t xml:space="preserve">20.2 Why the Exclusion Radius Is 1,200 m</w:t>
      </w:r>
    </w:p>
    <w:p>
      <w:pPr>
        <w:spacing w:after="120" w:before="60" w:line="276"/>
        <w:jc w:val="left"/>
      </w:pPr>
      <w:r>
        <w:rPr>
          <w:rFonts w:ascii="Calibri" w:cs="Calibri" w:eastAsia="Calibri" w:hAnsi="Calibri"/>
          <w:b w:val="false"/>
          <w:bCs w:val="false"/>
          <w:i w:val="false"/>
          <w:iCs w:val="false"/>
          <w:color w:val="3A2E28"/>
          <w:sz w:val="20"/>
          <w:szCs w:val="20"/>
        </w:rPr>
        <w:t xml:space="preserve">The direct beam terminates on the ground inside a footprint bounded by the tilt stop of Section 19.2, so under normal operation nothing at range is exposed to the direct beam at all. Diffuse return from the treated surface is a local hazard of a few metres. Neither case sizes the exclusion zone.</w:t>
      </w:r>
    </w:p>
    <w:p>
      <w:pPr>
        <w:spacing w:after="120" w:before="60" w:line="276"/>
        <w:jc w:val="left"/>
      </w:pPr>
      <w:r>
        <w:rPr>
          <w:rFonts w:ascii="Calibri" w:cs="Calibri" w:eastAsia="Calibri" w:hAnsi="Calibri"/>
          <w:b w:val="false"/>
          <w:bCs w:val="false"/>
          <w:i w:val="false"/>
          <w:iCs w:val="false"/>
          <w:color w:val="3A2E28"/>
          <w:sz w:val="20"/>
          <w:szCs w:val="20"/>
        </w:rPr>
        <w:t xml:space="preserve">The case that sizes it is specular return. A beam striking standing water, sheet metal, a vehicle windscreen or wet foliage at the right angle reflects with beam quality largely preserved, and a reflection that preserves beam quality preserves hazard distance. The exclusion radius is therefore set against the single-head nominal ocular hazard distance with a modest margin, giving 1,200 m, which is 1.21 times that figure.</w:t>
      </w:r>
    </w:p>
    <w:p>
      <w:pPr>
        <w:spacing w:after="120" w:before="60" w:line="276"/>
        <w:jc w:val="left"/>
      </w:pPr>
      <w:r>
        <w:rPr>
          <w:rFonts w:ascii="Calibri" w:cs="Calibri" w:eastAsia="Calibri" w:hAnsi="Calibri"/>
          <w:b w:val="false"/>
          <w:bCs w:val="false"/>
          <w:i w:val="false"/>
          <w:iCs w:val="false"/>
          <w:color w:val="3A2E28"/>
          <w:sz w:val="20"/>
          <w:szCs w:val="20"/>
        </w:rPr>
        <w:t xml:space="preserve">At 1,200 m the excluded area is 4.52 km2. That is a substantial piece of ground and it is the principal operational limitation of this variant. It is also, on an active fire with a temporary flight restriction and a ground exclusion already in force, frequently a piece of ground that is already excluded for other reasons. Section 27 treats the integration of the laser exclusion zone with existing incident command exclusions as a regulatory deliverable rather than an operational afterthought.</w:t>
      </w:r>
    </w:p>
    <w:p>
      <w:pPr>
        <w:pStyle w:val="Heading2"/>
        <w:spacing w:after="110" w:before="240"/>
      </w:pPr>
      <w:r>
        <w:rPr>
          <w:rFonts w:ascii="Calibri" w:cs="Calibri" w:eastAsia="Calibri" w:hAnsi="Calibri"/>
          <w:b/>
          <w:bCs/>
          <w:color w:val="3A2E28"/>
          <w:sz w:val="24"/>
          <w:szCs w:val="24"/>
        </w:rPr>
        <w:t xml:space="preserve">20.3 Mitigations Considered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000"/>
        <w:gridCol w:w="3200"/>
        <w:gridCol w:w="3880"/>
      </w:tblGrid>
      <w:tr>
        <w:trPr>
          <w:tblHeader/>
        </w:trPr>
        <w:tc>
          <w:tcPr>
            <w:tcW w:type="dxa" w:w="3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Mitigation</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Effect</w:t>
            </w:r>
          </w:p>
        </w:tc>
        <w:tc>
          <w:tcPr>
            <w:tcW w:type="dxa" w:w="3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Assessment</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expansion at the aperture</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Reduces hazard distance as the inverse of aperture diameter</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Rejected. A larger aperture at the same power reduces irradiance at the target below the pyrolysis threshold</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Wavelength change to an eye-safe band</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MPE rises by roughly four orders of magnitude near 1550 nm</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Carried as a growth item in Section 30. High-power sources at that wavelength are not currently available at this power and efficiency</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Specular return detection and inhibit</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Detects the geometry before the beam reaches it</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ADOPTED. The multispectral classifier inhibits sectors over water and identified specular surfaces</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Reduced standoff</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Hazard distance falls linearly with standoff</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Rejected. Costs swath width proportionally, which is the capability the variant exists for</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Terrain screening in corridor planning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Uses topography to bound the hazard footprint</w:t>
            </w:r>
          </w:p>
        </w:tc>
        <w:tc>
          <w:tcPr>
            <w:tcW w:type="dxa" w:w="3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ADOPTED. The corridor planner accounts for line of sight and reduces the cleared radius where terrain screens it</w:t>
            </w:r>
          </w:p>
        </w:tc>
      </w:tr>
    </w:tbl>
    <w:p>
      <w:pPr>
        <w:spacing w:after="200" w:before="60"/>
      </w:pPr>
      <w:r>
        <w:rPr>
          <w:rFonts w:ascii="Calibri" w:cs="Calibri" w:eastAsia="Calibri" w:hAnsi="Calibri"/>
          <w:i/>
          <w:iCs/>
          <w:color w:val="6B5A4E"/>
          <w:sz w:val="17"/>
          <w:szCs w:val="17"/>
        </w:rPr>
        <w:t xml:space="preserve">Table 25: Hazard mitigations. Two are adopted, two are rejected on capability grounds, and one is deferred to the growth path because the hardware does not yet exist.</w:t>
      </w:r>
    </w:p>
    <w:p>
      <w:pPr>
        <w:spacing w:after="120" w:before="60" w:line="276"/>
        <w:jc w:val="left"/>
      </w:pPr>
      <w:r>
        <w:rPr>
          <w:rFonts w:ascii="Calibri" w:cs="Calibri" w:eastAsia="Calibri" w:hAnsi="Calibri"/>
          <w:b w:val="false"/>
          <w:bCs w:val="false"/>
          <w:i w:val="false"/>
          <w:iCs w:val="false"/>
          <w:color w:val="3A2E28"/>
          <w:sz w:val="20"/>
          <w:szCs w:val="20"/>
        </w:rPr>
        <w:t xml:space="preserve">The wavelength item deserves a note because it is the only mitigation that solves the problem rather than managing it. Maximum permissible exposure near 1550 nm is roughly four orders of magnitude higher than at 1080 nm, because the ocular media absorb before the retina. A 26 kW source at that wavelength reduces the exclusion radius from 1,200 m to a few tens of metres. Sources at that power, efficiency and cost do not exist today. Section 30 records this as the single highest-value external technology dependency in the programme.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21. Downwash and Ember Management</w:t>
      </w:r>
    </w:p>
    <w:p>
      <w:pPr>
        <w:spacing w:after="120" w:before="60" w:line="276"/>
        <w:jc w:val="left"/>
      </w:pPr>
      <w:r>
        <w:rPr>
          <w:rFonts w:ascii="Calibri" w:cs="Calibri" w:eastAsia="Calibri" w:hAnsi="Calibri"/>
          <w:b w:val="false"/>
          <w:bCs w:val="false"/>
          <w:i w:val="false"/>
          <w:iCs w:val="false"/>
          <w:color w:val="3A2E28"/>
          <w:sz w:val="20"/>
          <w:szCs w:val="20"/>
        </w:rPr>
        <w:t xml:space="preserve">Aerial v1.6 rates downwash lofting embers as a Medium risk closing only on measured plot data. This installation inherits that risk in a larger form, because the rotor is larger and the affected ground area scales with it. This section states the numbers and the mitigations.</w:t>
      </w:r>
    </w:p>
    <w:p>
      <w:pPr>
        <w:pStyle w:val="Heading2"/>
        <w:spacing w:after="110" w:before="240"/>
      </w:pPr>
      <w:r>
        <w:rPr>
          <w:rFonts w:ascii="Calibri" w:cs="Calibri" w:eastAsia="Calibri" w:hAnsi="Calibri"/>
          <w:b/>
          <w:bCs/>
          <w:color w:val="3A2E28"/>
          <w:sz w:val="24"/>
          <w:szCs w:val="24"/>
        </w:rPr>
        <w:t xml:space="preserve">21.1 The Numbers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2200"/>
        <w:gridCol w:w="2200"/>
        <w:gridCol w:w="22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Quantity</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E6 Aerial v1.6</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Bell Variant v1.0</w:t>
            </w:r>
          </w:p>
        </w:tc>
        <w:tc>
          <w:tcPr>
            <w:tcW w:type="dxa" w:w="2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Ratio</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Disc area</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43.84 m2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89.42 m2</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2.04x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Disc loading</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22.8 kg/m2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26.5 kg/m2</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1.16x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Induced velocity at the disc</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9.56 m/s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11.38 m/s</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1.19x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Far-wake velocity</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19.1 m/s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22.8 m/s</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1.19x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Hover height above ground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 m</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Height in rotor radii</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3.03</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3.75</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1.24x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area under significant outwash</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roughly 110 m2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roughly 480 m2</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4.4x</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Treated area per hour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12.59 m2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104.5 m2</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8.3x</w:t>
            </w:r>
          </w:p>
        </w:tc>
      </w:tr>
    </w:tbl>
    <w:p>
      <w:pPr>
        <w:spacing w:after="200" w:before="60"/>
      </w:pPr>
      <w:r>
        <w:rPr>
          <w:rFonts w:ascii="Calibri" w:cs="Calibri" w:eastAsia="Calibri" w:hAnsi="Calibri"/>
          <w:i/>
          <w:iCs/>
          <w:color w:val="6B5A4E"/>
          <w:sz w:val="17"/>
          <w:szCs w:val="17"/>
        </w:rPr>
        <w:t xml:space="preserve">Table 26: Downwash comparison. Wall-jet velocity is 1.19 times the E6 figure, but the affected ground area is 4.4 times larger while the treated area per hour is 8.3 times larger. Per unit of ground treated, the exposure is roughly half.</w:t>
      </w:r>
    </w:p>
    <w:p>
      <w:pPr>
        <w:spacing w:after="120" w:before="60" w:line="276"/>
        <w:jc w:val="left"/>
      </w:pPr>
      <w:r>
        <w:rPr>
          <w:rFonts w:ascii="Calibri" w:cs="Calibri" w:eastAsia="Calibri" w:hAnsi="Calibri"/>
          <w:b w:val="false"/>
          <w:bCs w:val="false"/>
          <w:i w:val="false"/>
          <w:iCs w:val="false"/>
          <w:color w:val="3A2E28"/>
          <w:sz w:val="20"/>
          <w:szCs w:val="20"/>
        </w:rPr>
        <w:t xml:space="preserve">The honest reading of this table is mixed. Wall-jet velocity rises by 19 percent, which is the wrong direction. The affected footprint grows by a factor of 4.4, which is also the wrong direction. But treated area per hour grows by a factor of 8.3, so the exposure per square metre of finished fuel break falls by roughly half. The aircraft disturbs more ground at any instant and less ground per unit of work done.</w:t>
      </w:r>
    </w:p>
    <w:p>
      <w:pPr>
        <w:pStyle w:val="Heading2"/>
        <w:spacing w:after="110" w:before="240"/>
      </w:pPr>
      <w:r>
        <w:rPr>
          <w:rFonts w:ascii="Calibri" w:cs="Calibri" w:eastAsia="Calibri" w:hAnsi="Calibri"/>
          <w:b/>
          <w:bCs/>
          <w:color w:val="3A2E28"/>
          <w:sz w:val="24"/>
          <w:szCs w:val="24"/>
        </w:rPr>
        <w:t xml:space="preserve">21.2 Mitigations</w:t>
      </w:r>
    </w:p>
    <w:p>
      <w:pPr>
        <w:spacing w:after="120" w:before="60" w:line="276"/>
        <w:jc w:val="left"/>
      </w:pPr>
      <w:r>
        <w:rPr>
          <w:rFonts w:ascii="Calibri" w:cs="Calibri" w:eastAsia="Calibri" w:hAnsi="Calibri"/>
          <w:b w:val="false"/>
          <w:bCs w:val="false"/>
          <w:i w:val="false"/>
          <w:iCs w:val="false"/>
          <w:color w:val="3A2E28"/>
          <w:sz w:val="20"/>
          <w:szCs w:val="20"/>
        </w:rPr>
        <w:t xml:space="preserve">The downwind-first treatment sequence is inherited from Aerial v1.6 Section 21.4. The swath advances upwind, so any particulate the wall jet lifts travels over ground already treated and therefore already depleted of fine fuel. At a 14.0 m swath this is more effective than it is on the E6, because the treated apron behind the aircraft is five times wider.</w:t>
      </w:r>
    </w:p>
    <w:p>
      <w:pPr>
        <w:spacing w:after="120" w:before="60" w:line="276"/>
        <w:jc w:val="left"/>
      </w:pPr>
      <w:r>
        <w:rPr>
          <w:rFonts w:ascii="Calibri" w:cs="Calibri" w:eastAsia="Calibri" w:hAnsi="Calibri"/>
          <w:b w:val="false"/>
          <w:bCs w:val="false"/>
          <w:i w:val="false"/>
          <w:iCs w:val="false"/>
          <w:color w:val="3A2E28"/>
          <w:sz w:val="20"/>
          <w:szCs w:val="20"/>
        </w:rPr>
        <w:t xml:space="preserve">The wind gate is set at 8 m/s measured at the aircraft rather than at a ground station, and it is tied to the treatment inhibit rather than to crew judgement. Above that figure the combination of ambient wind and wall jet produces transport distances the treated apron does not cover.</w:t>
      </w:r>
    </w:p>
    <w:p>
      <w:pPr>
        <w:spacing w:after="120" w:before="60" w:line="276"/>
        <w:jc w:val="left"/>
      </w:pPr>
      <w:r>
        <w:rPr>
          <w:rFonts w:ascii="Calibri" w:cs="Calibri" w:eastAsia="Calibri" w:hAnsi="Calibri"/>
          <w:b w:val="false"/>
          <w:bCs w:val="false"/>
          <w:i w:val="false"/>
          <w:iCs w:val="false"/>
          <w:color w:val="3A2E28"/>
          <w:sz w:val="20"/>
          <w:szCs w:val="20"/>
        </w:rPr>
        <w:t xml:space="preserve">The standoff itself contributes less than intuition suggests, and Section 13.3 states why: rotor wake decays slowly over the first few radii, so climbing does not buy much. Standoff is selected for swath and path transmission, not for downwash.</w:t>
      </w:r>
    </w:p>
    <w:p>
      <w:pPr>
        <w:spacing w:after="120" w:before="60" w:line="276"/>
        <w:jc w:val="left"/>
      </w:pPr>
      <w:r>
        <w:rPr>
          <w:rFonts w:ascii="Calibri" w:cs="Calibri" w:eastAsia="Calibri" w:hAnsi="Calibri"/>
          <w:b w:val="false"/>
          <w:bCs w:val="false"/>
          <w:i w:val="false"/>
          <w:iCs w:val="false"/>
          <w:color w:val="3A2E28"/>
          <w:sz w:val="20"/>
          <w:szCs w:val="20"/>
        </w:rPr>
        <w:t xml:space="preserve">The four sector thermal cameras monitor the treated corridor for 10 minutes after beam-off on every pass, and the recorder captures it. This is the data set that eventually closes the risk, and until Phase 4 produces it from instrumented plots the risk stays open. Section 29 carries it as the highest-rated technical risk in the register.</w:t>
      </w:r>
    </w:p>
    <w:p>
      <w:pPr>
        <w:pStyle w:val="Heading2"/>
        <w:spacing w:after="110" w:before="240"/>
      </w:pPr>
      <w:r>
        <w:rPr>
          <w:rFonts w:ascii="Calibri" w:cs="Calibri" w:eastAsia="Calibri" w:hAnsi="Calibri"/>
          <w:b/>
          <w:bCs/>
          <w:color w:val="3A2E28"/>
          <w:sz w:val="24"/>
          <w:szCs w:val="24"/>
        </w:rPr>
        <w:t xml:space="preserve">21.3 What Remains Unresolved</w:t>
      </w:r>
    </w:p>
    <w:p>
      <w:pPr>
        <w:spacing w:after="120" w:before="60" w:line="276"/>
        <w:jc w:val="left"/>
      </w:pPr>
      <w:r>
        <w:rPr>
          <w:rFonts w:ascii="Calibri" w:cs="Calibri" w:eastAsia="Calibri" w:hAnsi="Calibri"/>
          <w:b w:val="false"/>
          <w:bCs w:val="false"/>
          <w:i w:val="false"/>
          <w:iCs w:val="false"/>
          <w:color w:val="3A2E28"/>
          <w:sz w:val="20"/>
          <w:szCs w:val="20"/>
        </w:rPr>
        <w:t xml:space="preserve">No plot data exists for a rotorcraft of this size treating fuel at this rate. The E6 programme identified the same gap and gated operational sorties on closing it. This programme inherits the gate and widens it: Phase 4 instruments prepared fuel beds at three moisture contents with particulate sampling at 15, 50 and 150 m downwind, and thermal imaging of the treated patch for 10 minutes after beam-off, across 20 consecutive plots with no ignition outside the corridor.</w:t>
      </w:r>
    </w:p>
    <w:p>
      <w:pPr>
        <w:spacing w:after="120" w:before="60" w:line="276"/>
        <w:jc w:val="left"/>
      </w:pPr>
      <w:r>
        <w:rPr>
          <w:rFonts w:ascii="Calibri" w:cs="Calibri" w:eastAsia="Calibri" w:hAnsi="Calibri"/>
          <w:b w:val="false"/>
          <w:bCs w:val="false"/>
          <w:i w:val="false"/>
          <w:iCs w:val="false"/>
          <w:color w:val="3A2E28"/>
          <w:sz w:val="20"/>
          <w:szCs w:val="20"/>
        </w:rPr>
        <w:t xml:space="preserve">The recovery path if the measurement disappoints is a reduction in treated area per pass rather than a change of aircraft. Treating alternate sectors and returning on a second pass halves the instantaneous heat release into the wall jet at the cost of halving the advance rate. That is a throughput penalty of 50 percent and it is available without hardware change, which is why the risk is rated as it is rather than higher.</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22. Failure Modes and Effects</w:t>
      </w:r>
    </w:p>
    <w:p>
      <w:pPr>
        <w:spacing w:after="120" w:before="60" w:line="276"/>
        <w:jc w:val="left"/>
      </w:pPr>
      <w:r>
        <w:rPr>
          <w:rFonts w:ascii="Calibri" w:cs="Calibri" w:eastAsia="Calibri" w:hAnsi="Calibri"/>
          <w:b w:val="false"/>
          <w:bCs w:val="false"/>
          <w:i w:val="false"/>
          <w:iCs w:val="false"/>
          <w:color w:val="3A2E28"/>
          <w:sz w:val="20"/>
          <w:szCs w:val="20"/>
        </w:rPr>
        <w:t xml:space="preserve">This section states the failure analysis for the installation. The governing principle throughout is that the mission system is never a flight-critical load, so every mission system failure has the same worst outcome: the sortie ends and the aircraft flies home.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600"/>
        <w:gridCol w:w="2400"/>
        <w:gridCol w:w="2400"/>
        <w:gridCol w:w="2680"/>
      </w:tblGrid>
      <w:tr>
        <w:trPr>
          <w:tblHeader/>
        </w:trPr>
        <w:tc>
          <w:tcPr>
            <w:tcW w:type="dxa" w:w="2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Failure</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Detection</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Immediate action</w:t>
            </w:r>
          </w:p>
        </w:tc>
        <w:tc>
          <w:tcPr>
            <w:tcW w:type="dxa" w:w="26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Outcome</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failure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FADEC discrete and torque collapse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Mission bus opened, pod jettison armed, autorotation entry</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Certified aircraft procedure applies unchanged; jettison sheds 210 kg</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take-off seizure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Torque and speed instrumentation</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Shear coupling releases at 128 percent of rating</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Main and tail rotor drive unaffected; mission system dead</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failure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 collapse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Mission bus opened</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ends; aircraft returns under normal power</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laser source failure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Output power monitor per module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Affected sector inhibited</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continues at 10.50 m swath and 75 percent rate</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source failures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Output power monitors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sectors inhibited</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continues at 7.0 m; crew decision on continuing</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Coolant loop failure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Flow, pressure, temperature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off, shutters closed within 500 ms</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ends; 90 s of thermal inventory covers the detection window</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coolant pump failure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Differential pressure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Second pump carries the loop</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Duty reduced to 0.7; sortie continues</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 head drive failure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Drive current monitor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Spring return parks the beam on the internal dump</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Sector lost; other three continue</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Stabilisation loss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Line-of-sight error beyond 2.5 degrees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off</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Resumes automatically when the hover stabilises</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azimuth drive failure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Position feedback</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off; turret free to centre</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ends; turret is not a flight item</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fault</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Battery management system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Affected string isolated</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quality degrades; flight unaffected</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Arc fault on the mission bus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Arc fault detection per feeder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Feeder opened within 20 ms</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Half the sources lost; sortie ends</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Insulation failure to airframe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Continuous insulation monitor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isolated within 200 ms</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ends; airframe never energised</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margin exceedance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Dual-channel torque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Duty reduced, then bus opened</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power restored before any exceedance is recorded</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Loss of all mission electrical power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Spring-return mirrors park the beam mechanically</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removed from the ground with no powered action required</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Fire in the source bay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Detection in the cabin rack</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Suppression discharged, bus opened, inerting released</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Crew procedure; rack is forward of the crew and accessible</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Fire in the belly pod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Detection in the pod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Suppression discharged; jettison available</w:t>
            </w:r>
          </w:p>
        </w:tc>
        <w:tc>
          <w:tcPr>
            <w:tcW w:type="dxa" w:w="2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Pod is outside the pressure vessel and jettisonable</w:t>
            </w:r>
          </w:p>
        </w:tc>
      </w:tr>
    </w:tbl>
    <w:p>
      <w:pPr>
        <w:spacing w:after="200" w:before="60"/>
      </w:pPr>
      <w:r>
        <w:rPr>
          <w:rFonts w:ascii="Calibri" w:cs="Calibri" w:eastAsia="Calibri" w:hAnsi="Calibri"/>
          <w:i/>
          <w:iCs/>
          <w:color w:val="6B5A4E"/>
          <w:sz w:val="17"/>
          <w:szCs w:val="17"/>
        </w:rPr>
        <w:t xml:space="preserve">Table 27: Failure modes and effects summary. No entry in this table has an outcome worse than an ended sortie, which is the property the certification argument of Section 27 rests on.</w:t>
      </w:r>
    </w:p>
    <w:p>
      <w:pPr>
        <w:spacing w:after="120" w:before="60" w:line="276"/>
        <w:jc w:val="left"/>
      </w:pPr>
      <w:r>
        <w:rPr>
          <w:rFonts w:ascii="Calibri" w:cs="Calibri" w:eastAsia="Calibri" w:hAnsi="Calibri"/>
          <w:b w:val="false"/>
          <w:bCs w:val="false"/>
          <w:i w:val="false"/>
          <w:iCs w:val="false"/>
          <w:color w:val="3A2E28"/>
          <w:sz w:val="20"/>
          <w:szCs w:val="20"/>
        </w:rPr>
        <w:t xml:space="preserve">Two rows carry the analysis. The power take-off seizure row is the one a certification authority examines first, because it is the only failure in the installation that touches the drive train the aircraft depends on. The shear coupling is the answer, and Section 28 states the test that demonstrates it: a deliberate seizure on a transmission test stand at full rated torque, with the gearbox stripped and inspected afterwards.</w:t>
      </w:r>
    </w:p>
    <w:p>
      <w:pPr>
        <w:spacing w:after="120" w:before="60" w:line="276"/>
        <w:jc w:val="left"/>
      </w:pPr>
      <w:r>
        <w:rPr>
          <w:rFonts w:ascii="Calibri" w:cs="Calibri" w:eastAsia="Calibri" w:hAnsi="Calibri"/>
          <w:b w:val="false"/>
          <w:bCs w:val="false"/>
          <w:i w:val="false"/>
          <w:iCs w:val="false"/>
          <w:color w:val="3A2E28"/>
          <w:sz w:val="20"/>
          <w:szCs w:val="20"/>
        </w:rPr>
        <w:t xml:space="preserve">The loss of all mission electrical power row is the one that carries the laser safety case. The spring-return scan mirrors park the beam on an internal water-cooled dump when drive current is lost, so the condition in which everything electrical has failed is also a condition in which the beam is off, mechanically, without any action by anything.</w:t>
      </w:r>
    </w:p>
    <w:p>
      <w:r>
        <w:br w:type="page"/>
      </w:r>
    </w:p>
    <w:p>
      <w:pPr>
        <w:spacing w:after="200" w:before="2400"/>
        <w:jc w:val="center"/>
      </w:pPr>
      <w:r>
        <w:rPr>
          <w:rFonts w:ascii="Calibri" w:cs="Calibri" w:eastAsia="Calibri" w:hAnsi="Calibri"/>
          <w:b/>
          <w:bCs/>
          <w:color w:val="8C7A6B"/>
          <w:sz w:val="34"/>
          <w:szCs w:val="34"/>
        </w:rPr>
        <w:t xml:space="preserve">PART V</w:t>
      </w:r>
    </w:p>
    <w:p>
      <w:pPr>
        <w:spacing w:after="0"/>
        <w:jc w:val="center"/>
      </w:pPr>
      <w:r>
        <w:rPr>
          <w:rFonts w:ascii="Calibri" w:cs="Calibri" w:eastAsia="Calibri" w:hAnsi="Calibri"/>
          <w:b/>
          <w:bCs/>
          <w:color w:val="7B3F24"/>
          <w:sz w:val="44"/>
          <w:szCs w:val="44"/>
        </w:rPr>
        <w:t xml:space="preserve">PROGRAM</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23. Consolidated Bill of Materials</w:t>
      </w:r>
    </w:p>
    <w:p>
      <w:pPr>
        <w:spacing w:after="120" w:before="60" w:line="276"/>
        <w:jc w:val="left"/>
      </w:pPr>
      <w:r>
        <w:rPr>
          <w:rFonts w:ascii="Calibri" w:cs="Calibri" w:eastAsia="Calibri" w:hAnsi="Calibri"/>
          <w:b w:val="false"/>
          <w:bCs w:val="false"/>
          <w:i w:val="false"/>
          <w:iCs w:val="false"/>
          <w:color w:val="3A2E28"/>
          <w:sz w:val="20"/>
          <w:szCs w:val="20"/>
        </w:rPr>
        <w:t xml:space="preserve">Every line names a real, procurable part or a clearly flagged budgetary class. Prices are Canadian dollars. Appendix A states sourcing notes and exchange assumptions. This bill covers the treatment system only: the airframe is a separate acquisition at 5,200,000 CAD and the certification programme is a separate development at 3,500,000 CAD, and Section 24 assembles all three.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800"/>
        <w:gridCol w:w="560"/>
        <w:gridCol w:w="1000"/>
        <w:gridCol w:w="1100"/>
        <w:gridCol w:w="3620"/>
      </w:tblGrid>
      <w:tr>
        <w:trPr>
          <w:tblHeader/>
        </w:trPr>
        <w:tc>
          <w:tcPr>
            <w:tcW w:type="dxa" w:w="38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Part</w:t>
            </w:r>
          </w:p>
        </w:tc>
        <w:tc>
          <w:tcPr>
            <w:tcW w:type="dxa" w:w="56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Qty</w:t>
            </w:r>
          </w:p>
        </w:tc>
        <w:tc>
          <w:tcPr>
            <w:tcW w:type="dxa" w:w="10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Unit CAD</w:t>
            </w:r>
          </w:p>
        </w:tc>
        <w:tc>
          <w:tcPr>
            <w:tcW w:type="dxa" w:w="11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Total CAD</w:t>
            </w:r>
          </w:p>
        </w:tc>
        <w:tc>
          <w:tcPr>
            <w:tcW w:type="dxa" w:w="362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Source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Fibre laser module, 6.5 kW CW 1080 nm, aviation-integrated, air-cooled head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298,000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IPG YLS-series or nLIGHT alta class; budgetary; module and pump diodes without industrial chiller</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driver and power conditioning unit, 800 V input, per module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47,200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 integrates with active rectifier bus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combiner, isolator and armoured process fibre, 6 m</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28,800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Optoskand QBH class terminations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Flight spare source module, bonded stock</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27 supply-chain closure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Two-axis galvanometer scan head, 150 mm clear aperture, water-cooled mirrors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106,000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Raylase or Scanlab large-aperture class; budgetary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expander and defocus assembly, motorised, 260 mm working spot at 20 m</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37,600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structure, azimuth drive, elevation drive with 12 degree hard stop</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88,000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88,000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Custom; hard stop is a certification-relevant feature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Protective window, fused silica with anti-reflection coating and purge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19,200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Purge air from bleed manifold</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Optical service loop, plus or minus 270 degrees azimuth</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 high-power rotary joint; fibre loop only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Long-wave thermal camera, calibrated radiometric, 640x512</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52,800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FLIR A700f class; one per head sector</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Optical emission spectrometer with fore-optic, H-alpha channel</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43,000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Avantes class; pyrolysis chemistry and flare abort</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Dissimilar flame detector pair, ultraviolet and multispectral infrared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6,900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27,600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Independent power and signal paths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transmissometer, 1080 nm, turret-mounted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25,600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Measures smoke attenuation in real time; new for this variant</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Scanning lidar, 200 m range, for standoff and terrain profile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34,500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69,000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Sets and holds the 20 m standoff over sloping ground</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Multispectral fuel-moisture camera</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Feeds the dose controller</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Inertial measurement unit, tactical grade, turret-mounted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33,600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Line-of-sight stabilisation against airframe motion</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Main gearbox power take-off drive, 100 kW continuous rating</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142,000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142,000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Custom; the single largest STC engineering item</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Permanent-magnet generator, 90 kW continuous, oil-cooled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68,000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68,000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EMRAX or Safran class; budgetary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Active rectifier and 800 V DC bus controller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Regenerative capable; feeds laser drivers directly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Torque and shaft-speed instrumentation, dual channel</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Feeds the load-shed controller</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 voltage distribution, contactors, arc-fault protection</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38,500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38,500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DC; two independent feeders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6.0 kWh lithium iron phosphate with battery management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Rides through load transients; not a flight-critical item</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harness, shielded, high-temperature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27,500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27,500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Routed clear of flight controls per Section 20</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Emergency load-shed and laser bus isolation contactor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19,600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Hardwired to the collective-mounted guarded switch</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Ram-air heat exchanger core, 3,261 cm2 face, brazed aluminium</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31,500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63,000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Downwash-fed in hover, ram-fed in cruise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Coolant pump, redundant pair, 91 L/min at 3.5 bar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24,800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Either pump carries the full loop at reduced margin</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Coolant reservoir, degas, plumbing and instrumentation</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Glycol-water 50/50</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Variable-pitch cooling fan for ground and low-speed operation</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29,600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Covers the case where downwash is unavailable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Dose controller, dual-redundant real-time platform</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57,000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or equivalent; certified development assurance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Perception and mapping compute, GPU-accelerated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classification and corridor registration</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Hardwired safety chain, relay logic, independent of software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32,000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32,000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Four abort paths per Section 19</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Mission recorder, crash-protected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Beam-on time, dose, position, abort events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System operator console, displays, hand controller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58,000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58,000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Replaces the left-hand forward cabin seats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safety eyewear, optical density 7 at 1080 nm, crew set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9,600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Windscreen filter is the primary protection</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Windscreen and chin bubble 1080 nm rejection filter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36,500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36,500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Certification-relevant; protects the pilot from specular return</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Belly pod primary structure, hardpoint interface to the cargo hook fittings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168,000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168,000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Custom; carries the turret, cores and part of the source bay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Cabin equipment rack, crashworthy to 16 g forward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drivers and compute mount here, not in the pod</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Fairings, inlet and exhaust ducting for the cooling cores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Aerodynamic and vibration qualification in Phase 4</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Vibration isolation cradles, tuned to measured airframe spectra</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1 survey sets the tuning</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Fire detection and suppression, source bay and pod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36,500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36,500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Independent of the engine bay system</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Nitrogen inerting for the source bay</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Reduces the consequence of a coolant or fibre failure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Pod jettison provision, 210 kg, electrically armed and mechanically actuated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Restores hover margin in a power-loss case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Wiring, brackets, plumbing, fasteners and consumables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64,000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 allowance at 5 percent of hardware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Weight and balance ballast provision</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8,500</w:t>
            </w:r>
          </w:p>
        </w:tc>
        <w:tc>
          <w:tcPr>
            <w:tcW w:type="dxa" w:w="36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Longitudinal centre of gravity management</w:t>
            </w:r>
          </w:p>
        </w:tc>
      </w:tr>
      <w:tr>
        <w:trPr>
          <w:tblHeader w:val="false"/>
        </w:trPr>
        <w:tc>
          <w:tcPr>
            <w:tcW w:type="dxa" w:w="38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SUBTOTAL</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2,273,000</w:t>
            </w:r>
          </w:p>
        </w:tc>
        <w:tc>
          <w:tcPr>
            <w:tcW w:type="dxa" w:w="36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
            </w:r>
          </w:p>
        </w:tc>
      </w:tr>
      <w:tr>
        <w:trPr>
          <w:tblHeader w:val="false"/>
        </w:trPr>
        <w:tc>
          <w:tcPr>
            <w:tcW w:type="dxa" w:w="38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Programme contingency, 15 percent</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340,950</w:t>
            </w:r>
          </w:p>
        </w:tc>
        <w:tc>
          <w:tcPr>
            <w:tcW w:type="dxa" w:w="36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Applied across all budgetary lines</w:t>
            </w:r>
          </w:p>
        </w:tc>
      </w:tr>
      <w:tr>
        <w:trPr>
          <w:tblHeader w:val="false"/>
        </w:trPr>
        <w:tc>
          <w:tcPr>
            <w:tcW w:type="dxa" w:w="38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treatment system as specified</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2,613,950</w:t>
            </w:r>
          </w:p>
        </w:tc>
        <w:tc>
          <w:tcPr>
            <w:tcW w:type="dxa" w:w="36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Excludes the airframe and the certification programme</w:t>
            </w:r>
          </w:p>
        </w:tc>
      </w:tr>
    </w:tbl>
    <w:p>
      <w:pPr>
        <w:spacing w:after="200" w:before="60"/>
      </w:pPr>
      <w:r>
        <w:rPr>
          <w:rFonts w:ascii="Calibri" w:cs="Calibri" w:eastAsia="Calibri" w:hAnsi="Calibri"/>
          <w:i/>
          <w:iCs/>
          <w:color w:val="6B5A4E"/>
          <w:sz w:val="17"/>
          <w:szCs w:val="17"/>
        </w:rPr>
        <w:t xml:space="preserve">Table 28: Treatment system bill of materials, 44 lines. The four laser source modules and the flight spare account for 19.7 percent of the subtotal, and the power take-off is the single largest individual line at 142,000 CAD.</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24. Cost Summary</w:t>
      </w:r>
    </w:p>
    <w:p>
      <w:pPr>
        <w:pStyle w:val="Heading2"/>
        <w:spacing w:after="110" w:before="240"/>
      </w:pPr>
      <w:r>
        <w:rPr>
          <w:rFonts w:ascii="Calibri" w:cs="Calibri" w:eastAsia="Calibri" w:hAnsi="Calibri"/>
          <w:b/>
          <w:bCs/>
          <w:color w:val="3A2E28"/>
          <w:sz w:val="24"/>
          <w:szCs w:val="24"/>
        </w:rPr>
        <w:t xml:space="preserve">24.1 Treatment System by Group</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200"/>
        <w:gridCol w:w="2600"/>
        <w:gridCol w:w="3280"/>
      </w:tblGrid>
      <w:tr>
        <w:trPr>
          <w:tblHeader/>
        </w:trPr>
        <w:tc>
          <w:tcPr>
            <w:tcW w:type="dxa" w:w="4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Group</w:t>
            </w:r>
          </w:p>
        </w:tc>
        <w:tc>
          <w:tcPr>
            <w:tcW w:type="dxa" w:w="26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w:t>
            </w:r>
          </w:p>
        </w:tc>
        <w:tc>
          <w:tcPr>
            <w:tcW w:type="dxa" w:w="328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Share of subtotal</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sources</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448,500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19.7%</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Structure</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313,500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13.8%</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generation</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270,500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11.9%</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Sensing</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270,100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11.9%</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Optics and turret</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265,300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11.7%</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Compute and control</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152,500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6.7%</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Thermal</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138,400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6.1%</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129,600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5.7%</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Safety</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108,000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4.8%</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Crew station</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104,100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Integration</w:t>
            </w:r>
          </w:p>
        </w:tc>
        <w:tc>
          <w:tcPr>
            <w:tcW w:type="dxa" w:w="26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72,500</w:t>
            </w:r>
          </w:p>
        </w:tc>
        <w:tc>
          <w:tcPr>
            <w:tcW w:type="dxa" w:w="32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3.2%</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Subtotal</w:t>
            </w:r>
          </w:p>
        </w:tc>
        <w:tc>
          <w:tcPr>
            <w:tcW w:type="dxa" w:w="2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2,273,000</w:t>
            </w:r>
          </w:p>
        </w:tc>
        <w:tc>
          <w:tcPr>
            <w:tcW w:type="dxa" w:w="328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100%</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Contingency, 15 percent</w:t>
            </w:r>
          </w:p>
        </w:tc>
        <w:tc>
          <w:tcPr>
            <w:tcW w:type="dxa" w:w="2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340,950</w:t>
            </w:r>
          </w:p>
        </w:tc>
        <w:tc>
          <w:tcPr>
            <w:tcW w:type="dxa" w:w="328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Treatment system total</w:t>
            </w:r>
          </w:p>
        </w:tc>
        <w:tc>
          <w:tcPr>
            <w:tcW w:type="dxa" w:w="26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2,613,950</w:t>
            </w:r>
          </w:p>
        </w:tc>
        <w:tc>
          <w:tcPr>
            <w:tcW w:type="dxa" w:w="328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r>
    </w:tbl>
    <w:p>
      <w:pPr>
        <w:spacing w:after="200" w:before="60"/>
      </w:pPr>
      <w:r>
        <w:rPr>
          <w:rFonts w:ascii="Calibri" w:cs="Calibri" w:eastAsia="Calibri" w:hAnsi="Calibri"/>
          <w:i/>
          <w:iCs/>
          <w:color w:val="6B5A4E"/>
          <w:sz w:val="17"/>
          <w:szCs w:val="17"/>
        </w:rPr>
        <w:t xml:space="preserve">Table 29: Treatment system cost by group. Laser sources, structure, power generation, sensing and optics each take between 11 and 20 percent, which is a well-distributed bill with no single dominant item beyond the sources.</w:t>
      </w:r>
    </w:p>
    <w:p>
      <w:pPr>
        <w:pStyle w:val="Heading2"/>
        <w:spacing w:after="110" w:before="240"/>
      </w:pPr>
      <w:r>
        <w:rPr>
          <w:rFonts w:ascii="Calibri" w:cs="Calibri" w:eastAsia="Calibri" w:hAnsi="Calibri"/>
          <w:b/>
          <w:bCs/>
          <w:color w:val="3A2E28"/>
          <w:sz w:val="24"/>
          <w:szCs w:val="24"/>
        </w:rPr>
        <w:t xml:space="preserve">24.2 Programme Capital</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400"/>
        <w:gridCol w:w="2400"/>
        <w:gridCol w:w="3280"/>
      </w:tblGrid>
      <w:tr>
        <w:trPr>
          <w:tblHeader/>
        </w:trPr>
        <w:tc>
          <w:tcPr>
            <w:tcW w:type="dxa" w:w="4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Element</w:t>
            </w:r>
          </w:p>
        </w:tc>
        <w:tc>
          <w:tcPr>
            <w:tcW w:type="dxa" w:w="2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407GXi airframe, new</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5,200,000</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List configuration plus the increased gross weight kit and auxiliary tank</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system, as specified</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2,613,950</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23, including 15 percent contingency</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Certification programme, 3,500,000 CAD over 6 aircraft</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583,333</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27; the per-aircraft share falls with fleet size</w:t>
            </w:r>
          </w:p>
        </w:tc>
      </w:tr>
      <w:tr>
        <w:trPr>
          <w:tblHeader w:val="false"/>
        </w:trPr>
        <w:tc>
          <w:tcPr>
            <w:tcW w:type="dxa" w:w="44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CAPITAL PER AIRCRAFT</w:t>
            </w:r>
          </w:p>
        </w:tc>
        <w:tc>
          <w:tcPr>
            <w:tcW w:type="dxa" w:w="24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8,397,283</w:t>
            </w:r>
          </w:p>
        </w:tc>
        <w:tc>
          <w:tcPr>
            <w:tcW w:type="dxa" w:w="32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Against 797,302 CAD for the E6 aerial variant</w:t>
            </w:r>
          </w:p>
        </w:tc>
      </w:tr>
    </w:tbl>
    <w:p>
      <w:pPr>
        <w:spacing w:after="200" w:before="60"/>
      </w:pPr>
      <w:r>
        <w:rPr>
          <w:rFonts w:ascii="Calibri" w:cs="Calibri" w:eastAsia="Calibri" w:hAnsi="Calibri"/>
          <w:i/>
          <w:iCs/>
          <w:color w:val="6B5A4E"/>
          <w:sz w:val="17"/>
          <w:szCs w:val="17"/>
        </w:rPr>
        <w:t xml:space="preserve">Table 30: Capital per aircraft. The airframe is 62 percent of the total, the treatment system 31 percent, and the amortised certification programme 7 percent.</w:t>
      </w:r>
    </w:p>
    <w:p>
      <w:pPr>
        <w:spacing w:after="120" w:before="60" w:line="276"/>
        <w:jc w:val="left"/>
      </w:pPr>
      <w:r>
        <w:rPr>
          <w:rFonts w:ascii="Calibri" w:cs="Calibri" w:eastAsia="Calibri" w:hAnsi="Calibri"/>
          <w:b w:val="false"/>
          <w:bCs w:val="false"/>
          <w:i w:val="false"/>
          <w:iCs w:val="false"/>
          <w:color w:val="3A2E28"/>
          <w:sz w:val="20"/>
          <w:szCs w:val="20"/>
        </w:rPr>
        <w:t xml:space="preserve">The certification share is the term most sensitive to programme decisions. At a fleet of 6 aircraft it contributes 583,333 CAD per airframe. At a fleet of two it contributes 1,750,000 CAD, which raises capital per aircraft by 13.9 percent and cost per hectare by roughly the same. At a fleet of twelve it falls to 291,667 CAD. Certification economics reward fleet commitment more than any other decision available to the programme.</w:t>
      </w:r>
    </w:p>
    <w:p>
      <w:pPr>
        <w:pStyle w:val="Heading2"/>
        <w:spacing w:after="110" w:before="240"/>
      </w:pPr>
      <w:r>
        <w:rPr>
          <w:rFonts w:ascii="Calibri" w:cs="Calibri" w:eastAsia="Calibri" w:hAnsi="Calibri"/>
          <w:b/>
          <w:bCs/>
          <w:color w:val="3A2E28"/>
          <w:sz w:val="24"/>
          <w:szCs w:val="24"/>
        </w:rPr>
        <w:t xml:space="preserve">24.3 Operating Cost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000"/>
        <w:gridCol w:w="2000"/>
        <w:gridCol w:w="4080"/>
      </w:tblGrid>
      <w:tr>
        <w:trPr>
          <w:tblHeader/>
        </w:trPr>
        <w:tc>
          <w:tcPr>
            <w:tcW w:type="dxa" w:w="4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Element</w:t>
            </w:r>
          </w:p>
        </w:tc>
        <w:tc>
          <w:tcPr>
            <w:tcW w:type="dxa" w:w="20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 per flight hour</w:t>
            </w:r>
          </w:p>
        </w:tc>
        <w:tc>
          <w:tcPr>
            <w:tcW w:type="dxa" w:w="4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4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Airframe and powerplant direct maintenance</w:t>
            </w:r>
          </w:p>
        </w:tc>
        <w:tc>
          <w:tcPr>
            <w:tcW w:type="dxa" w:w="2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670</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published 380.44 USD per hour, 2020 basis, inflated and converted</w:t>
            </w:r>
          </w:p>
        </w:tc>
      </w:tr>
      <w:tr>
        <w:trPr>
          <w:tblHeader w:val="false"/>
        </w:trPr>
        <w:tc>
          <w:tcPr>
            <w:tcW w:type="dxa" w:w="4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w:t>
            </w:r>
          </w:p>
        </w:tc>
        <w:tc>
          <w:tcPr>
            <w:tcW w:type="dxa" w:w="2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407</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185 L per hour at 2.20 CAD per litre delivered to a forward base</w:t>
            </w:r>
          </w:p>
        </w:tc>
      </w:tr>
      <w:tr>
        <w:trPr>
          <w:tblHeader w:val="false"/>
        </w:trPr>
        <w:tc>
          <w:tcPr>
            <w:tcW w:type="dxa" w:w="4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system maintenance reserve</w:t>
            </w:r>
          </w:p>
        </w:tc>
        <w:tc>
          <w:tcPr>
            <w:tcW w:type="dxa" w:w="2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145</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diode life, optics, coolant, scanner service</w:t>
            </w:r>
          </w:p>
        </w:tc>
      </w:tr>
      <w:tr>
        <w:trPr>
          <w:tblHeader w:val="false"/>
        </w:trPr>
        <w:tc>
          <w:tcPr>
            <w:tcW w:type="dxa" w:w="40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VARIABLE</w:t>
            </w:r>
          </w:p>
        </w:tc>
        <w:tc>
          <w:tcPr>
            <w:tcW w:type="dxa" w:w="2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1222</w:t>
            </w:r>
          </w:p>
        </w:tc>
        <w:tc>
          <w:tcPr>
            <w:tcW w:type="dxa" w:w="40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Per flight hour</w:t>
            </w:r>
          </w:p>
        </w:tc>
      </w:tr>
      <w:tr>
        <w:trPr>
          <w:tblHeader w:val="false"/>
        </w:trPr>
        <w:tc>
          <w:tcPr>
            <w:tcW w:type="dxa" w:w="40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Fixed daily cost</w:t>
            </w:r>
          </w:p>
        </w:tc>
        <w:tc>
          <w:tcPr>
            <w:tcW w:type="dxa" w:w="2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3,200</w:t>
            </w:r>
          </w:p>
        </w:tc>
        <w:tc>
          <w:tcPr>
            <w:tcW w:type="dxa" w:w="40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Two pilot crews, system operator, engineer, insurance, base facility</w:t>
            </w:r>
          </w:p>
        </w:tc>
      </w:tr>
    </w:tbl>
    <w:p>
      <w:pPr>
        <w:spacing w:after="200" w:before="60"/>
      </w:pPr>
      <w:r>
        <w:rPr>
          <w:rFonts w:ascii="Calibri" w:cs="Calibri" w:eastAsia="Calibri" w:hAnsi="Calibri"/>
          <w:i/>
          <w:iCs/>
          <w:color w:val="6B5A4E"/>
          <w:sz w:val="17"/>
          <w:szCs w:val="17"/>
        </w:rPr>
        <w:t xml:space="preserve">Table 31: Operating cost. The treatment system reserve of 145 CAD per hour covers pump diode replacement at 20,000 hours, optics refurbishment and coolant service, and it is a budgetary figure pending service experience.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25. Operational Economics</w:t>
      </w:r>
    </w:p>
    <w:p>
      <w:pPr>
        <w:spacing w:after="120" w:before="60" w:line="276"/>
        <w:jc w:val="left"/>
      </w:pPr>
      <w:r>
        <w:rPr>
          <w:rFonts w:ascii="Calibri" w:cs="Calibri" w:eastAsia="Calibri" w:hAnsi="Calibri"/>
          <w:b w:val="false"/>
          <w:bCs w:val="false"/>
          <w:i w:val="false"/>
          <w:iCs w:val="false"/>
          <w:color w:val="3A2E28"/>
          <w:sz w:val="20"/>
          <w:szCs w:val="20"/>
        </w:rPr>
        <w:t xml:space="preserve">This section states cost per treated area and compares it with the rest of the Contra Favillas family and with what fire agencies pay for fuel break construction today. It reaches an unfavourable conclusion in one comparison and states it plainly, in keeping with the practice established in Aerial v1.6 Section 24.</w:t>
      </w:r>
    </w:p>
    <w:p>
      <w:pPr>
        <w:pStyle w:val="Heading2"/>
        <w:spacing w:after="110" w:before="240"/>
      </w:pPr>
      <w:r>
        <w:rPr>
          <w:rFonts w:ascii="Calibri" w:cs="Calibri" w:eastAsia="Calibri" w:hAnsi="Calibri"/>
          <w:b/>
          <w:bCs/>
          <w:color w:val="3A2E28"/>
          <w:sz w:val="24"/>
          <w:szCs w:val="24"/>
        </w:rPr>
        <w:t xml:space="preserve">25.1 The Calculation</w:t>
      </w:r>
    </w:p>
    <w:p>
      <w:pPr>
        <w:spacing w:after="120" w:before="60" w:line="276"/>
        <w:jc w:val="left"/>
      </w:pPr>
      <w:r>
        <w:rPr>
          <w:rFonts w:ascii="Calibri" w:cs="Calibri" w:eastAsia="Calibri" w:hAnsi="Calibri"/>
          <w:b w:val="false"/>
          <w:bCs w:val="false"/>
          <w:i w:val="false"/>
          <w:iCs w:val="false"/>
          <w:color w:val="3A2E28"/>
          <w:sz w:val="20"/>
          <w:szCs w:val="20"/>
        </w:rPr>
        <w:t xml:space="preserve">Capital of 8,397,283 CAD amortises over five years at 250 operating days, giving 6,718 CAD per day. Fixed daily cost is 3,200 CAD. Variable cost is 1222 CAD per flight hour across 10.44 flight hours, giving 12,756 CAD. Total daily cost is 22,674 CAD.</w:t>
      </w:r>
    </w:p>
    <w:p>
      <w:pPr>
        <w:spacing w:after="120" w:before="60" w:line="276"/>
        <w:jc w:val="left"/>
      </w:pPr>
      <w:r>
        <w:rPr>
          <w:rFonts w:ascii="Calibri" w:cs="Calibri" w:eastAsia="Calibri" w:hAnsi="Calibri"/>
          <w:b w:val="false"/>
          <w:bCs w:val="false"/>
          <w:i w:val="false"/>
          <w:iCs w:val="false"/>
          <w:color w:val="3A2E28"/>
          <w:sz w:val="20"/>
          <w:szCs w:val="20"/>
        </w:rPr>
        <w:t xml:space="preserve">Daily treated area is 3.90 sorties multiplied by 206 m2, which is 806 m2. Cost per square metre is therefore 28.14 CAD, or 281,434 CAD per hectare.</w:t>
      </w:r>
    </w:p>
    <w:p>
      <w:pPr>
        <w:pStyle w:val="Heading2"/>
        <w:spacing w:after="110" w:before="240"/>
      </w:pPr>
      <w:r>
        <w:rPr>
          <w:rFonts w:ascii="Calibri" w:cs="Calibri" w:eastAsia="Calibri" w:hAnsi="Calibri"/>
          <w:b/>
          <w:bCs/>
          <w:color w:val="3A2E28"/>
          <w:sz w:val="24"/>
          <w:szCs w:val="24"/>
        </w:rPr>
        <w:t xml:space="preserve">25.2 Against the Family</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1900"/>
        <w:gridCol w:w="1900"/>
        <w:gridCol w:w="29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Platform</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 per m2</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 per ha</w:t>
            </w:r>
          </w:p>
        </w:tc>
        <w:tc>
          <w:tcPr>
            <w:tcW w:type="dxa" w:w="2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E6 aerial v1.6 Configuration A</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55.78</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557,800</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2 kW sources, 2.80 m swath</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E6 aerial v1.6 Configuration B</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46.75</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467,500</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One 6 kW source, 2.80 m swath</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variant v1.0</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28.14</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281,434</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1.98x better than E6 Configuration A</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unit, estimated</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8.08</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80,800</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Four 2 kW sources, no mass constraint, nine hour day</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E6 tethered, Configuration B</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5.31</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53,100</w:t>
            </w:r>
          </w:p>
        </w:tc>
        <w:tc>
          <w:tcPr>
            <w:tcW w:type="dxa" w:w="2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 fuel, no engine hours, fixed site only</w:t>
            </w:r>
          </w:p>
        </w:tc>
      </w:tr>
    </w:tbl>
    <w:p>
      <w:pPr>
        <w:spacing w:after="200" w:before="60"/>
      </w:pPr>
      <w:r>
        <w:rPr>
          <w:rFonts w:ascii="Calibri" w:cs="Calibri" w:eastAsia="Calibri" w:hAnsi="Calibri"/>
          <w:i/>
          <w:iCs/>
          <w:color w:val="6B5A4E"/>
          <w:sz w:val="17"/>
          <w:szCs w:val="17"/>
        </w:rPr>
        <w:t xml:space="preserve">Table 32: Cost per treated area across the Contra Favillas family. The Bell variant improves on the free-flight E6 by a factor of 1.98 and remains more expensive than both the ground unit and the tethered E6.</w:t>
      </w:r>
    </w:p>
    <w:p>
      <w:pPr>
        <w:spacing w:after="60" w:before="180"/>
        <w:jc w:val="center"/>
      </w:pPr>
      <w:r>
        <w:drawing>
          <wp:inline distT="0" distB="0" distL="0" distR="0">
            <wp:extent cx="59912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91225" cy="217170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6: Cost per hectare across the family and against conventional practice, on a logarithmic scale. The Bell variant sits between the free-flight E6 configurations and the ground unit, and roughly an order of magnitude above helitack fuel break construction.</w:t>
      </w:r>
    </w:p>
    <w:p>
      <w:pPr>
        <w:pStyle w:val="Heading2"/>
        <w:spacing w:after="110" w:before="240"/>
      </w:pPr>
      <w:r>
        <w:rPr>
          <w:rFonts w:ascii="Calibri" w:cs="Calibri" w:eastAsia="Calibri" w:hAnsi="Calibri"/>
          <w:b/>
          <w:bCs/>
          <w:color w:val="3A2E28"/>
          <w:sz w:val="24"/>
          <w:szCs w:val="24"/>
        </w:rPr>
        <w:t xml:space="preserve">25.3 Against Conventional Practice</w:t>
      </w:r>
    </w:p>
    <w:p>
      <w:pPr>
        <w:spacing w:after="120" w:before="60" w:line="276"/>
        <w:jc w:val="left"/>
      </w:pPr>
      <w:r>
        <w:rPr>
          <w:rFonts w:ascii="Calibri" w:cs="Calibri" w:eastAsia="Calibri" w:hAnsi="Calibri"/>
          <w:b w:val="false"/>
          <w:bCs w:val="false"/>
          <w:i w:val="false"/>
          <w:iCs w:val="false"/>
          <w:color w:val="3A2E28"/>
          <w:sz w:val="20"/>
          <w:szCs w:val="20"/>
        </w:rPr>
        <w:t xml:space="preserve">The comparison that decides procurement is against what a fire agency does today. Hand crew fuel break construction on accessible slope runs near 4,200 CAD per hectare. The same crew inserted by helicopter onto remote slope runs near 21,500 CAD. Helitack fuel break construction runs near 34,000 CAD. Prescribed burning, where a window exists, runs near 1,800 CAD and remains the cheapest tool available by a wide margin.</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finding stated plainly</w:t>
            </w:r>
          </w:p>
          <w:p>
            <w:pPr>
              <w:spacing w:after="60" w:line="270"/>
            </w:pPr>
            <w:r>
              <w:rPr>
                <w:rFonts w:ascii="Calibri" w:cs="Calibri" w:eastAsia="Calibri" w:hAnsi="Calibri"/>
                <w:color w:val="3A2E28"/>
                <w:sz w:val="19"/>
                <w:szCs w:val="19"/>
              </w:rPr>
              <w:t xml:space="preserve">The Bell variant at 281,434 CAD per hectare sits 8.3 times above helitack fuel break construction and 67 times above a hand crew on accessible ground.</w:t>
            </w:r>
          </w:p>
          <w:p>
            <w:pPr>
              <w:spacing w:after="60" w:line="270"/>
            </w:pPr>
            <w:r>
              <w:rPr>
                <w:rFonts w:ascii="Calibri" w:cs="Calibri" w:eastAsia="Calibri" w:hAnsi="Calibri"/>
                <w:color w:val="3A2E28"/>
                <w:sz w:val="19"/>
                <w:szCs w:val="19"/>
              </w:rPr>
              <w:t xml:space="preserve">It is a factor of 1.98 better than the free-flight E6 and it does not close the gap to conventional practice.</w:t>
            </w:r>
          </w:p>
          <w:p>
            <w:pPr>
              <w:spacing w:after="60" w:line="270"/>
            </w:pPr>
            <w:r>
              <w:rPr>
                <w:rFonts w:ascii="Calibri" w:cs="Calibri" w:eastAsia="Calibri" w:hAnsi="Calibri"/>
                <w:color w:val="3A2E28"/>
                <w:sz w:val="19"/>
                <w:szCs w:val="19"/>
              </w:rPr>
              <w:t xml:space="preserve">This document does not present broadcast area treatment by this aircraft as economically competitive with conventional fuel break construction, because the arithmetic does not support that presentation.</w:t>
            </w:r>
          </w:p>
        </w:tc>
      </w:tr>
    </w:tbl>
    <w:p>
      <w:pPr>
        <w:spacing w:after="120" w:before="60" w:line="276"/>
        <w:jc w:val="left"/>
      </w:pPr>
      <w:r>
        <w:rPr>
          <w:rFonts w:ascii="Calibri" w:cs="Calibri" w:eastAsia="Calibri" w:hAnsi="Calibri"/>
          <w:b w:val="false"/>
          <w:bCs w:val="false"/>
          <w:i w:val="false"/>
          <w:iCs w:val="false"/>
          <w:color w:val="3A2E28"/>
          <w:sz w:val="20"/>
          <w:szCs w:val="20"/>
        </w:rPr>
        <w:t xml:space="preserve">Three uses survive the analysis and they are the same three the E6 programme identified, with one addition. Treatment of high-value linear assets where the treated area is small and its value is disproportionate, and where the comparison is against the consequence of losing the asset rather than a cost per hectare. Terrain where no crew can be safely inserted at any price, where the alternative is no treatment rather than a cheaper treatment. And operation inside an active fire perimeter during a burning period, where hand crews and conventional aviation cannot work at all and this aircraft can, because its exclusion zone is already inside a larger one.</w:t>
      </w:r>
    </w:p>
    <w:p>
      <w:pPr>
        <w:spacing w:after="120" w:before="60" w:line="276"/>
        <w:jc w:val="left"/>
      </w:pPr>
      <w:r>
        <w:rPr>
          <w:rFonts w:ascii="Calibri" w:cs="Calibri" w:eastAsia="Calibri" w:hAnsi="Calibri"/>
          <w:b w:val="false"/>
          <w:bCs w:val="false"/>
          <w:i w:val="false"/>
          <w:iCs w:val="false"/>
          <w:color w:val="3A2E28"/>
          <w:sz w:val="20"/>
          <w:szCs w:val="20"/>
        </w:rPr>
        <w:t xml:space="preserve">The addition specific to this variant is width. A 14.0 m swath in a single pass is a fuel break of the width agencies actually build. None of the cost figures in this section capture the difference between producing that product in one pass and producing a 2.80 m strip that requires four more passes to become useful. Section 26 treats it.</w:t>
      </w:r>
    </w:p>
    <w:p>
      <w:pPr>
        <w:pStyle w:val="Heading2"/>
        <w:spacing w:after="110" w:before="240"/>
      </w:pPr>
      <w:r>
        <w:rPr>
          <w:rFonts w:ascii="Calibri" w:cs="Calibri" w:eastAsia="Calibri" w:hAnsi="Calibri"/>
          <w:b/>
          <w:bCs/>
          <w:color w:val="3A2E28"/>
          <w:sz w:val="24"/>
          <w:szCs w:val="24"/>
        </w:rPr>
        <w:t xml:space="preserve">25.4 Sensitivity</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600"/>
        <w:gridCol w:w="2200"/>
        <w:gridCol w:w="2200"/>
        <w:gridCol w:w="2180"/>
      </w:tblGrid>
      <w:tr>
        <w:trPr>
          <w:tblHeader/>
        </w:trPr>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Variable</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Change</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Effect on CAD per m2</w:t>
            </w:r>
          </w:p>
        </w:tc>
        <w:tc>
          <w:tcPr>
            <w:tcW w:type="dxa" w:w="2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Assessment</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Coupling efficiency 0.62 to 0.75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 percent area rate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23.26 CAD</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3 calorimetry decides this, not design</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transmission 0.80 to 0.92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percent area rate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24.47 CAD</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Operating on flanking rather than heading fire</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radius 60 km to 20 km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+0.28 h on station per sortie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24.20 CAD</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Forward basing; the cheapest lever available</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Fleet 6 to 12 aircraft</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Certification share halves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27.85 CAD</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Programme commitment rather than engineering</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specific power 120 to 100 W per kg</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+43 kg, fuel displaced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29.83 CAD</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mass assumption most likely to move</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Utilisation 250 to 150 days per year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Amortisation rises 67 percent</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33.70 CAD</w:t>
            </w:r>
          </w:p>
        </w:tc>
        <w:tc>
          <w:tcPr>
            <w:tcW w:type="dxa" w:w="2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Fire season length governs this</w:t>
            </w:r>
          </w:p>
        </w:tc>
      </w:tr>
    </w:tbl>
    <w:p>
      <w:pPr>
        <w:spacing w:after="200" w:before="60"/>
      </w:pPr>
      <w:r>
        <w:rPr>
          <w:rFonts w:ascii="Calibri" w:cs="Calibri" w:eastAsia="Calibri" w:hAnsi="Calibri"/>
          <w:i/>
          <w:iCs/>
          <w:color w:val="6B5A4E"/>
          <w:sz w:val="17"/>
          <w:szCs w:val="17"/>
        </w:rPr>
        <w:t xml:space="preserve">Table 33: Sensitivity of cost per square metre. Forward basing and fleet size both beat any engineering change available, which is a common finding for capital-intensive aviation and is stated here so that programme effort goes where it pays.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26. Position in the Contra Favillas Family</w:t>
      </w:r>
    </w:p>
    <w:p>
      <w:pPr>
        <w:spacing w:after="120" w:before="60" w:line="276"/>
        <w:jc w:val="left"/>
      </w:pPr>
      <w:r>
        <w:rPr>
          <w:rFonts w:ascii="Calibri" w:cs="Calibri" w:eastAsia="Calibri" w:hAnsi="Calibri"/>
          <w:b w:val="false"/>
          <w:bCs w:val="false"/>
          <w:i w:val="false"/>
          <w:iCs w:val="false"/>
          <w:color w:val="3A2E28"/>
          <w:sz w:val="20"/>
          <w:szCs w:val="20"/>
        </w:rPr>
        <w:t xml:space="preserve">Three platforms now exist in the programme: the ground unit, the E6 aerial variant, and this rotorcraft installation. They are not competitors and the procurement question is not which one to buy. This section states what each is for.</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200"/>
        <w:gridCol w:w="2100"/>
        <w:gridCol w:w="2100"/>
        <w:gridCol w:w="2100"/>
        <w:gridCol w:w="1980"/>
      </w:tblGrid>
      <w:tr>
        <w:trPr>
          <w:tblHeader/>
        </w:trPr>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Attribute</w:t>
            </w:r>
          </w:p>
        </w:tc>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Ground unit</w:t>
            </w:r>
          </w:p>
        </w:tc>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E6 aerial</w:t>
            </w:r>
          </w:p>
        </w:tc>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Bell variant</w:t>
            </w:r>
          </w:p>
        </w:tc>
        <w:tc>
          <w:tcPr>
            <w:tcW w:type="dxa" w:w="1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Tethered E6</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Installed optical power</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kW</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 kW</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26 kW</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 kW</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Treated swath</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stated</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2.80 m</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 m</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2.80 m</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Area rate</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38.7 m2/h</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12.6 m2/h</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104.5 m2/h</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30.5 m2/h</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Daily output</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348 m2</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 m2</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806 m2</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611 m2</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per hectare</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80,800</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557,800</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281,434</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53,100</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Capital</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298,000</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797,302</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8,397,283</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818,200</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Reaches</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Where a tracked vehicle drives</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Anywhere within 25 km</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Anywhere within 100 km</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Fixed sites only</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Approval route</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Machinery directive</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SFOC and first-of-type</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Supplemental type certificate</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SFOC, bounded case</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Approval timeline</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Months</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 months</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24 months</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 months</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Exclusion radius</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 m</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 m</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1,200 m</w:t>
            </w:r>
          </w:p>
        </w:tc>
        <w:tc>
          <w:tcPr>
            <w:tcW w:type="dxa" w:w="1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 m</w:t>
            </w:r>
          </w:p>
        </w:tc>
      </w:tr>
    </w:tbl>
    <w:p>
      <w:pPr>
        <w:spacing w:after="200" w:before="60"/>
      </w:pPr>
      <w:r>
        <w:rPr>
          <w:rFonts w:ascii="Calibri" w:cs="Calibri" w:eastAsia="Calibri" w:hAnsi="Calibri"/>
          <w:i/>
          <w:iCs/>
          <w:color w:val="6B5A4E"/>
          <w:sz w:val="17"/>
          <w:szCs w:val="17"/>
        </w:rPr>
        <w:t xml:space="preserve">Table 34: The Contra Favillas family. Each platform occupies a different point on the access, throughput and cost surface, and no platform dominates another on every axis.</w:t>
      </w:r>
    </w:p>
    <w:p>
      <w:pPr>
        <w:pStyle w:val="Heading2"/>
        <w:spacing w:after="110" w:before="240"/>
      </w:pPr>
      <w:r>
        <w:rPr>
          <w:rFonts w:ascii="Calibri" w:cs="Calibri" w:eastAsia="Calibri" w:hAnsi="Calibri"/>
          <w:b/>
          <w:bCs/>
          <w:color w:val="3A2E28"/>
          <w:sz w:val="24"/>
          <w:szCs w:val="24"/>
        </w:rPr>
        <w:t xml:space="preserve">26.1 What Each Is For</w:t>
      </w:r>
    </w:p>
    <w:p>
      <w:pPr>
        <w:spacing w:after="120" w:before="60" w:line="276"/>
        <w:jc w:val="left"/>
      </w:pPr>
      <w:r>
        <w:rPr>
          <w:rFonts w:ascii="Calibri" w:cs="Calibri" w:eastAsia="Calibri" w:hAnsi="Calibri"/>
          <w:b w:val="false"/>
          <w:bCs w:val="false"/>
          <w:i w:val="false"/>
          <w:iCs w:val="false"/>
          <w:color w:val="3A2E28"/>
          <w:sz w:val="20"/>
          <w:szCs w:val="20"/>
        </w:rPr>
        <w:t xml:space="preserve">The ground unit treats accessible ground cheaply. It is the correct answer wherever a tracked vehicle can drive, it is four times cheaper per hectare than any airborne option, and any procurement case that compares an airborne unit against it on accessible terrain reaches the correct answer, which is to buy the ground unit.</w:t>
      </w:r>
    </w:p>
    <w:p>
      <w:pPr>
        <w:spacing w:after="120" w:before="60" w:line="276"/>
        <w:jc w:val="left"/>
      </w:pPr>
      <w:r>
        <w:rPr>
          <w:rFonts w:ascii="Calibri" w:cs="Calibri" w:eastAsia="Calibri" w:hAnsi="Calibri"/>
          <w:b w:val="false"/>
          <w:bCs w:val="false"/>
          <w:i w:val="false"/>
          <w:iCs w:val="false"/>
          <w:color w:val="3A2E28"/>
          <w:sz w:val="20"/>
          <w:szCs w:val="20"/>
        </w:rPr>
        <w:t xml:space="preserve">The tethered E6 treats fixed high-value sites. It has no fuel constraint, no engine hours and the best cost figure in the family, and it is confined to sites within tether radius of a ground power set. It is the strongest economic case in the programme and the narrowest application.</w:t>
      </w:r>
    </w:p>
    <w:p>
      <w:pPr>
        <w:spacing w:after="120" w:before="60" w:line="276"/>
        <w:jc w:val="left"/>
      </w:pPr>
      <w:r>
        <w:rPr>
          <w:rFonts w:ascii="Calibri" w:cs="Calibri" w:eastAsia="Calibri" w:hAnsi="Calibri"/>
          <w:b w:val="false"/>
          <w:bCs w:val="false"/>
          <w:i w:val="false"/>
          <w:iCs w:val="false"/>
          <w:color w:val="3A2E28"/>
          <w:sz w:val="20"/>
          <w:szCs w:val="20"/>
        </w:rPr>
        <w:t xml:space="preserve">The free-flight E6 treats small, difficult, precise targets. Its 2.80 m swath is narrow, its endurance is long, its exclusion radius is modest and it can work close to structures and inside terrain a helicopter cannot enter. It is a scalpel.</w:t>
      </w:r>
    </w:p>
    <w:p>
      <w:pPr>
        <w:spacing w:after="120" w:before="60" w:line="276"/>
        <w:jc w:val="left"/>
      </w:pPr>
      <w:r>
        <w:rPr>
          <w:rFonts w:ascii="Calibri" w:cs="Calibri" w:eastAsia="Calibri" w:hAnsi="Calibri"/>
          <w:b w:val="false"/>
          <w:bCs w:val="false"/>
          <w:i w:val="false"/>
          <w:iCs w:val="false"/>
          <w:color w:val="3A2E28"/>
          <w:sz w:val="20"/>
          <w:szCs w:val="20"/>
        </w:rPr>
        <w:t xml:space="preserve">The Bell variant builds fuel break. It is the only platform in the family that produces a break of usable width in a single pass, the only one that covers a region rather than a site, and the only one that mounts on an airframe fire agencies already operate. It is also the most expensive to acquire and carries by far the largest hazard footprint.</w:t>
      </w:r>
    </w:p>
    <w:p>
      <w:pPr>
        <w:pStyle w:val="Heading2"/>
        <w:spacing w:after="110" w:before="240"/>
      </w:pPr>
      <w:r>
        <w:rPr>
          <w:rFonts w:ascii="Calibri" w:cs="Calibri" w:eastAsia="Calibri" w:hAnsi="Calibri"/>
          <w:b/>
          <w:bCs/>
          <w:color w:val="3A2E28"/>
          <w:sz w:val="24"/>
          <w:szCs w:val="24"/>
        </w:rPr>
        <w:t xml:space="preserve">26.2 The Swath Argument</w:t>
      </w:r>
    </w:p>
    <w:p>
      <w:pPr>
        <w:spacing w:after="120" w:before="60" w:line="276"/>
        <w:jc w:val="left"/>
      </w:pPr>
      <w:r>
        <w:rPr>
          <w:rFonts w:ascii="Calibri" w:cs="Calibri" w:eastAsia="Calibri" w:hAnsi="Calibri"/>
          <w:b w:val="false"/>
          <w:bCs w:val="false"/>
          <w:i w:val="false"/>
          <w:iCs w:val="false"/>
          <w:color w:val="3A2E28"/>
          <w:sz w:val="20"/>
          <w:szCs w:val="20"/>
        </w:rPr>
        <w:t xml:space="preserve">The cost tables of Section 25 measure treated area and they are blind to the shape of it. A hectare treated as a 14.0 m wide corridor 7.1 km long is a fuel break. A hectare treated as a 2.80 m strip 35.7 km long is not, because a 2.80 m strip does not break fuel continuity for anything but a surface fire in light fuels.</w:t>
      </w:r>
    </w:p>
    <w:p>
      <w:pPr>
        <w:spacing w:after="120" w:before="60" w:line="276"/>
        <w:jc w:val="left"/>
      </w:pPr>
      <w:r>
        <w:rPr>
          <w:rFonts w:ascii="Calibri" w:cs="Calibri" w:eastAsia="Calibri" w:hAnsi="Calibri"/>
          <w:b w:val="false"/>
          <w:bCs w:val="false"/>
          <w:i w:val="false"/>
          <w:iCs w:val="false"/>
          <w:color w:val="3A2E28"/>
          <w:sz w:val="20"/>
          <w:szCs w:val="20"/>
        </w:rPr>
        <w:t xml:space="preserve">Reaching a 14.0 m break with the E6 requires five parallel passes with registration between them, and registration error between passes leaves untreated ribbons that defeat the purpose. The correct comparison is therefore not area for area. It is finished fuel break per day, and on that measure the Bell variant produces 58 m of finished break per day against the E6 producing 8.9 m of equivalent-width break, a ratio of 6 to one.</w:t>
      </w:r>
    </w:p>
    <w:p>
      <w:pPr>
        <w:spacing w:after="120" w:before="60" w:line="276"/>
        <w:jc w:val="left"/>
      </w:pPr>
      <w:r>
        <w:rPr>
          <w:rFonts w:ascii="Calibri" w:cs="Calibri" w:eastAsia="Calibri" w:hAnsi="Calibri"/>
          <w:b w:val="false"/>
          <w:bCs w:val="false"/>
          <w:i w:val="false"/>
          <w:iCs w:val="false"/>
          <w:color w:val="3A2E28"/>
          <w:sz w:val="20"/>
          <w:szCs w:val="20"/>
        </w:rPr>
        <w:t xml:space="preserve">That ratio is not carried into the cost figures of Section 25 because it depends on an assumption about required break width that belongs to the fire behaviour programme rather than to an engineering specification. It is stated here because a procurement decision that ignores it is making an error, and because Section 30 records the required-width question as the highest-value open item in the programme.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27. Regulatory Pathway: the Supplemental Type Certificate Route</w:t>
      </w:r>
    </w:p>
    <w:p>
      <w:pPr>
        <w:spacing w:after="120" w:before="60" w:line="276"/>
        <w:jc w:val="left"/>
      </w:pPr>
      <w:r>
        <w:rPr>
          <w:rFonts w:ascii="Calibri" w:cs="Calibri" w:eastAsia="Calibri" w:hAnsi="Calibri"/>
          <w:b w:val="false"/>
          <w:bCs w:val="false"/>
          <w:i w:val="false"/>
          <w:iCs w:val="false"/>
          <w:color w:val="3A2E28"/>
          <w:sz w:val="20"/>
          <w:szCs w:val="20"/>
        </w:rPr>
        <w:t xml:space="preserve">Aerial v1.6 Section 25 rates regulatory timeline as the only High risk in the E6 register, at 30 months and 845,000 CAD, because no certification basis exists for a 1,000 kg unmanned multirotor. This installation modifies an aircraft that holds a type certificate, which replaces a negotiation with a delta. This section states the route.</w:t>
      </w:r>
    </w:p>
    <w:p>
      <w:pPr>
        <w:pStyle w:val="Heading2"/>
        <w:spacing w:after="110" w:before="240"/>
      </w:pPr>
      <w:r>
        <w:rPr>
          <w:rFonts w:ascii="Calibri" w:cs="Calibri" w:eastAsia="Calibri" w:hAnsi="Calibri"/>
          <w:b/>
          <w:bCs/>
          <w:color w:val="3A2E28"/>
          <w:sz w:val="24"/>
          <w:szCs w:val="24"/>
        </w:rPr>
        <w:t xml:space="preserve">27.1 The Instrument</w:t>
      </w:r>
    </w:p>
    <w:p>
      <w:pPr>
        <w:spacing w:after="120" w:before="60" w:line="276"/>
        <w:jc w:val="left"/>
      </w:pPr>
      <w:r>
        <w:rPr>
          <w:rFonts w:ascii="Calibri" w:cs="Calibri" w:eastAsia="Calibri" w:hAnsi="Calibri"/>
          <w:b w:val="false"/>
          <w:bCs w:val="false"/>
          <w:i w:val="false"/>
          <w:iCs w:val="false"/>
          <w:color w:val="3A2E28"/>
          <w:sz w:val="20"/>
          <w:szCs w:val="20"/>
        </w:rPr>
        <w:t xml:space="preserve">A supplemental type certificate approves a major change to a type-certificated product. The applicant establishes the certification basis of the original type certificate, identifies the changed and affected areas, and demonstrates compliance for those areas. Bell lists more than 1,200 supplemental type certificates against this model family and the manufacturer itself installs many of them at the factory. The mechanism is routine.</w:t>
      </w:r>
    </w:p>
    <w:p>
      <w:pPr>
        <w:spacing w:after="120" w:before="60" w:line="276"/>
        <w:jc w:val="left"/>
      </w:pPr>
      <w:r>
        <w:rPr>
          <w:rFonts w:ascii="Calibri" w:cs="Calibri" w:eastAsia="Calibri" w:hAnsi="Calibri"/>
          <w:b w:val="false"/>
          <w:bCs w:val="false"/>
          <w:i w:val="false"/>
          <w:iCs w:val="false"/>
          <w:color w:val="3A2E28"/>
          <w:sz w:val="20"/>
          <w:szCs w:val="20"/>
        </w:rPr>
        <w:t xml:space="preserve">What is not routine is the content. Two changes in this installation have no direct precedent on this airframe, and the compliance programme is built around them.</w:t>
      </w:r>
    </w:p>
    <w:p>
      <w:pPr>
        <w:pStyle w:val="ListParagraph"/>
        <w:numPr>
          <w:ilvl w:val="0"/>
          <w:numId w:val="2"/>
        </w:numPr>
        <w:spacing w:after="70" w:before="40" w:line="264"/>
      </w:pPr>
      <w:r>
        <w:rPr>
          <w:rFonts w:ascii="Calibri" w:cs="Calibri" w:eastAsia="Calibri" w:hAnsi="Calibri"/>
          <w:color w:val="3A2E28"/>
          <w:sz w:val="20"/>
          <w:szCs w:val="20"/>
        </w:rPr>
        <w:t xml:space="preserve">Extraction of 95 kW of shaft power from the main transmission accessory pad. Hoist, camera and air conditioning installations extract a few kilowatts. This installation extracts a fifth of the gearbox continuous rating, and no existing supplemental type certificate on the type covers extraction at that scale.</w:t>
      </w:r>
    </w:p>
    <w:p>
      <w:pPr>
        <w:pStyle w:val="ListParagraph"/>
        <w:numPr>
          <w:ilvl w:val="0"/>
          <w:numId w:val="2"/>
        </w:numPr>
        <w:spacing w:after="70" w:before="40" w:line="264"/>
      </w:pPr>
      <w:r>
        <w:rPr>
          <w:rFonts w:ascii="Calibri" w:cs="Calibri" w:eastAsia="Calibri" w:hAnsi="Calibri"/>
          <w:color w:val="3A2E28"/>
          <w:sz w:val="20"/>
          <w:szCs w:val="20"/>
        </w:rPr>
        <w:t xml:space="preserve">A Class 4 emitter directed at the ground from a certified rotorcraft. Aerial survey lidar and searchlight installations exist and none of them approaches this optical power. The compliance argument rests on the mechanical tilt stop of Section 19.2, the four abort paths of Section 19.1, and the hazard analysis of Section 20.</w:t>
      </w:r>
    </w:p>
    <w:p>
      <w:pPr>
        <w:pStyle w:val="Heading2"/>
        <w:spacing w:after="110" w:before="240"/>
      </w:pPr>
      <w:r>
        <w:rPr>
          <w:rFonts w:ascii="Calibri" w:cs="Calibri" w:eastAsia="Calibri" w:hAnsi="Calibri"/>
          <w:b/>
          <w:bCs/>
          <w:color w:val="3A2E28"/>
          <w:sz w:val="24"/>
          <w:szCs w:val="24"/>
        </w:rPr>
        <w:t xml:space="preserve">27.2 The Sequence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900"/>
        <w:gridCol w:w="2900"/>
        <w:gridCol w:w="1300"/>
        <w:gridCol w:w="1500"/>
        <w:gridCol w:w="3480"/>
      </w:tblGrid>
      <w:tr>
        <w:trPr>
          <w:tblHeader/>
        </w:trPr>
        <w:tc>
          <w:tcPr>
            <w:tcW w:type="dxa" w:w="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Stage</w:t>
            </w:r>
          </w:p>
        </w:tc>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Activity</w:t>
            </w:r>
          </w:p>
        </w:tc>
        <w:tc>
          <w:tcPr>
            <w:tcW w:type="dxa" w:w="13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Months</w:t>
            </w:r>
          </w:p>
        </w:tc>
        <w:tc>
          <w:tcPr>
            <w:tcW w:type="dxa" w:w="1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Cost CAD</w:t>
            </w:r>
          </w:p>
        </w:tc>
        <w:tc>
          <w:tcPr>
            <w:tcW w:type="dxa" w:w="34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Dependency</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S-1</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Pre-application meeting; certification plan and compliance checklist agreed</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 to 3</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85,000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None; begins immediately</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S-2</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take-off detail design and transmission stress substantiation</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 to 9</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620,000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Gearbox loads model agreed with the manufacturer</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S-3</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test stand programme, full torque endurance and seizure demonstration</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to 14</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780,000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S-2 hardware; gate before any flight</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S-4</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Structural substantiation, cabin rack and belly pod, 16 g and flutter</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 to 12</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340,000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Loads from S-2</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S-5</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system, isolation, arc fault and load shed compliance</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 to 13</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215,000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Runs parallel</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S-6</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hazard analysis and provincial laser safety programme</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 to 11</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135,000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20 analysis complete</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S-7</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Health Canada laser product file, IEC 60825-1 classification</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 to 10</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48,000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vendor evidence; product regulation, not use</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S-8</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and flight test programme, Section 28 Phases 3 to 5</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13 to 21</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740,000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S-3 gate passed</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S-9</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Systems safety assessment, software and complex hardware plans</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to 18</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280,000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22 analysis is the starting point</w:t>
            </w:r>
          </w:p>
        </w:tc>
      </w:tr>
      <w:tr>
        <w:trPr>
          <w:tblHeader w:val="false"/>
        </w:trPr>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S-10</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Supplemental type certificate issue and instructions for continued airworthiness</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 to 24</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257,000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All prior stages</w:t>
            </w:r>
          </w:p>
        </w:tc>
      </w:tr>
      <w:tr>
        <w:trPr>
          <w:tblHeader w:val="false"/>
        </w:trPr>
        <w:tc>
          <w:tcPr>
            <w:tcW w:type="dxa" w:w="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w:t>
            </w:r>
          </w:p>
        </w:tc>
        <w:tc>
          <w:tcPr>
            <w:tcW w:type="dxa" w:w="2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Ten stages, single authority</w:t>
            </w:r>
          </w:p>
        </w:tc>
        <w:tc>
          <w:tcPr>
            <w:tcW w:type="dxa" w:w="13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24</w:t>
            </w:r>
          </w:p>
        </w:tc>
        <w:tc>
          <w:tcPr>
            <w:tcW w:type="dxa" w:w="1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3,500,000</w:t>
            </w:r>
          </w:p>
        </w:tc>
        <w:tc>
          <w:tcPr>
            <w:tcW w:type="dxa" w:w="34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Against 30 months and 845,000 CAD for the E6</w:t>
            </w:r>
          </w:p>
        </w:tc>
      </w:tr>
    </w:tbl>
    <w:p>
      <w:pPr>
        <w:spacing w:after="200" w:before="60"/>
      </w:pPr>
      <w:r>
        <w:rPr>
          <w:rFonts w:ascii="Calibri" w:cs="Calibri" w:eastAsia="Calibri" w:hAnsi="Calibri"/>
          <w:i/>
          <w:iCs/>
          <w:color w:val="6B5A4E"/>
          <w:sz w:val="17"/>
          <w:szCs w:val="17"/>
        </w:rPr>
        <w:t xml:space="preserve">Table 35: Certification sequence. Total cost of 3,500,000 CAD is four times the E6 figure, and the timeline is six months shorter. The programme buys certainty and a shorter schedule with money.</w:t>
      </w:r>
    </w:p>
    <w:p>
      <w:pPr>
        <w:spacing w:after="120" w:before="60" w:line="276"/>
        <w:jc w:val="left"/>
      </w:pPr>
      <w:r>
        <w:rPr>
          <w:rFonts w:ascii="Calibri" w:cs="Calibri" w:eastAsia="Calibri" w:hAnsi="Calibri"/>
          <w:b w:val="false"/>
          <w:bCs w:val="false"/>
          <w:i w:val="false"/>
          <w:iCs w:val="false"/>
          <w:color w:val="3A2E28"/>
          <w:sz w:val="20"/>
          <w:szCs w:val="20"/>
        </w:rPr>
        <w:t xml:space="preserve">The cost comparison deserves comment because it runs opposite to the timeline comparison. The E6 pathway costs 845,000 CAD and takes 30 months. This pathway costs 3,500,000 CAD and takes 24 months. The difference is that the E6 figure buys a negotiation whose outcome is uncertain, while this figure buys a defined compliance demonstration against a known basis. A programme manager choosing between them is choosing between a cheap uncertain path and an expensive defined one, and Section 29 rates the residual risk accordingly.</w:t>
      </w:r>
    </w:p>
    <w:p>
      <w:pPr>
        <w:pStyle w:val="Heading2"/>
        <w:spacing w:after="110" w:before="240"/>
      </w:pPr>
      <w:r>
        <w:rPr>
          <w:rFonts w:ascii="Calibri" w:cs="Calibri" w:eastAsia="Calibri" w:hAnsi="Calibri"/>
          <w:b/>
          <w:bCs/>
          <w:color w:val="3A2E28"/>
          <w:sz w:val="24"/>
          <w:szCs w:val="24"/>
        </w:rPr>
        <w:t xml:space="preserve">27.3 The Single-Authority Advantage</w:t>
      </w:r>
    </w:p>
    <w:p>
      <w:pPr>
        <w:spacing w:after="120" w:before="60" w:line="276"/>
        <w:jc w:val="left"/>
      </w:pPr>
      <w:r>
        <w:rPr>
          <w:rFonts w:ascii="Calibri" w:cs="Calibri" w:eastAsia="Calibri" w:hAnsi="Calibri"/>
          <w:b w:val="false"/>
          <w:bCs w:val="false"/>
          <w:i w:val="false"/>
          <w:iCs w:val="false"/>
          <w:color w:val="3A2E28"/>
          <w:sz w:val="20"/>
          <w:szCs w:val="20"/>
        </w:rPr>
        <w:t xml:space="preserve">The E6 pathway involves six authorities: Transport Canada for the operating certificate and airworthiness, Health Canada for the laser product, the province for laser safety in the workplace, ISED for spectrum, Transport Canada again for dangerous goods, and the provincial wildfire agency for airspace integration. Aerial v1.6 Appendix F lists twenty documents across those six.</w:t>
      </w:r>
    </w:p>
    <w:p>
      <w:pPr>
        <w:spacing w:after="120" w:before="60" w:line="276"/>
        <w:jc w:val="left"/>
      </w:pPr>
      <w:r>
        <w:rPr>
          <w:rFonts w:ascii="Calibri" w:cs="Calibri" w:eastAsia="Calibri" w:hAnsi="Calibri"/>
          <w:b w:val="false"/>
          <w:bCs w:val="false"/>
          <w:i w:val="false"/>
          <w:iCs w:val="false"/>
          <w:color w:val="3A2E28"/>
          <w:sz w:val="20"/>
          <w:szCs w:val="20"/>
        </w:rPr>
        <w:t xml:space="preserve">This installation reduces that to three authorities in practice. Transport Canada issues the supplemental type certificate and the operation proceeds under the existing commercial air operator certificate of whichever operator flies the aircraft, because a Bell 407 on a fire contract is already an approved commercial operation. Health Canada retains the laser product file. The province retains laser safety in the workplace. Spectrum, dangerous goods and airspace integration are all covered by arrangements the operator already holds.</w:t>
      </w:r>
    </w:p>
    <w:p>
      <w:pPr>
        <w:spacing w:after="120" w:before="60" w:line="276"/>
        <w:jc w:val="left"/>
      </w:pPr>
      <w:r>
        <w:rPr>
          <w:rFonts w:ascii="Calibri" w:cs="Calibri" w:eastAsia="Calibri" w:hAnsi="Calibri"/>
          <w:b w:val="false"/>
          <w:bCs w:val="false"/>
          <w:i w:val="false"/>
          <w:iCs w:val="false"/>
          <w:color w:val="3A2E28"/>
          <w:sz w:val="20"/>
          <w:szCs w:val="20"/>
        </w:rPr>
        <w:t xml:space="preserve">That reduction is the strongest single argument in this document. The aircraft is not seeking permission to exist. It is seeking approval for a modification to an aircraft that already flies fire contracts under an operating certificate that already exists.</w:t>
      </w:r>
    </w:p>
    <w:p>
      <w:pPr>
        <w:pStyle w:val="Heading2"/>
        <w:spacing w:after="110" w:before="240"/>
      </w:pPr>
      <w:r>
        <w:rPr>
          <w:rFonts w:ascii="Calibri" w:cs="Calibri" w:eastAsia="Calibri" w:hAnsi="Calibri"/>
          <w:b/>
          <w:bCs/>
          <w:color w:val="3A2E28"/>
          <w:sz w:val="24"/>
          <w:szCs w:val="24"/>
        </w:rPr>
        <w:t xml:space="preserve">27.4 The Exclusion Zone as a Regulatory Deliverable</w:t>
      </w:r>
    </w:p>
    <w:p>
      <w:pPr>
        <w:spacing w:after="120" w:before="60" w:line="276"/>
        <w:jc w:val="left"/>
      </w:pPr>
      <w:r>
        <w:rPr>
          <w:rFonts w:ascii="Calibri" w:cs="Calibri" w:eastAsia="Calibri" w:hAnsi="Calibri"/>
          <w:b w:val="false"/>
          <w:bCs w:val="false"/>
          <w:i w:val="false"/>
          <w:iCs w:val="false"/>
          <w:color w:val="3A2E28"/>
          <w:sz w:val="20"/>
          <w:szCs w:val="20"/>
        </w:rPr>
        <w:t xml:space="preserve">The 1,200 m exclusion radius of Section 20 is an operational limitation and it is written into the flight manual supplement rather than left to procedure. The supplement states the radius, the conditions under which terrain screening reduces it, the requirement for a designated laser safety officer on the incident, and the integration with incident command exclusions already in force.</w:t>
      </w:r>
    </w:p>
    <w:p>
      <w:pPr>
        <w:spacing w:after="120" w:before="60" w:line="276"/>
        <w:jc w:val="left"/>
      </w:pPr>
      <w:r>
        <w:rPr>
          <w:rFonts w:ascii="Calibri" w:cs="Calibri" w:eastAsia="Calibri" w:hAnsi="Calibri"/>
          <w:b w:val="false"/>
          <w:bCs w:val="false"/>
          <w:i w:val="false"/>
          <w:iCs w:val="false"/>
          <w:color w:val="3A2E28"/>
          <w:sz w:val="20"/>
          <w:szCs w:val="20"/>
        </w:rPr>
        <w:t xml:space="preserve">This is treated as a deliverable rather than an afterthought because the exclusion zone is the item most likely to constrain adoption. An operator who discovers after certification that the aircraft cannot work within 1.2 km of a road, a camp or a water source has bought an aircraft that works in fewer places than expected. Stating the constraint in the supplement, and stating the terrain screening relief alongside it, is how the constraint becomes manageable.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28. Test and Validation Program</w:t>
      </w:r>
    </w:p>
    <w:p>
      <w:pPr>
        <w:spacing w:after="120" w:before="60" w:line="276"/>
        <w:jc w:val="left"/>
      </w:pPr>
      <w:r>
        <w:rPr>
          <w:rFonts w:ascii="Calibri" w:cs="Calibri" w:eastAsia="Calibri" w:hAnsi="Calibri"/>
          <w:b w:val="false"/>
          <w:bCs w:val="false"/>
          <w:i w:val="false"/>
          <w:iCs w:val="false"/>
          <w:color w:val="3A2E28"/>
          <w:sz w:val="20"/>
          <w:szCs w:val="20"/>
        </w:rPr>
        <w:t xml:space="preserve">Five phases, each with a gate that stops the programme if it fails. The sequence is arranged so that the item with the highest consequence, being the power take-off, is demonstrated on a test stand before it flies.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1100"/>
        <w:gridCol w:w="2900"/>
        <w:gridCol w:w="1600"/>
        <w:gridCol w:w="4180"/>
      </w:tblGrid>
      <w:tr>
        <w:trPr>
          <w:tblHeader/>
        </w:trPr>
        <w:tc>
          <w:tcPr>
            <w:tcW w:type="dxa" w:w="1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Phase</w:t>
            </w:r>
          </w:p>
        </w:tc>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Activity</w:t>
            </w:r>
          </w:p>
        </w:tc>
        <w:tc>
          <w:tcPr>
            <w:tcW w:type="dxa" w:w="1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Gate</w:t>
            </w:r>
          </w:p>
        </w:tc>
        <w:tc>
          <w:tcPr>
            <w:tcW w:type="dxa" w:w="4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Pass criterion</w:t>
            </w:r>
          </w:p>
        </w:tc>
      </w:tr>
      <w:tr>
        <w:trPr>
          <w:tblHeader w:val="false"/>
        </w:trPr>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Vibration survey of the cabin rack and pod attachments under representative rotor and engine excitation; mass properties survey of every delivered subsystem</w:t>
            </w:r>
          </w:p>
        </w:tc>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Before source installation</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spectrum characterised; measured mission system mass at or below 584 kg</w:t>
            </w:r>
          </w:p>
        </w:tc>
      </w:tr>
      <w:tr>
        <w:trPr>
          <w:tblHeader w:val="false"/>
        </w:trPr>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and rectifier bench qualification; laser source characterisation, wall-plug efficiency and specific power verified by weighing</w:t>
            </w:r>
          </w:p>
        </w:tc>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Before pod build</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Wall-plug efficiency 0.36 or better; source subsystem 110 W per kg or better</w:t>
            </w:r>
          </w:p>
        </w:tc>
      </w:tr>
      <w:tr>
        <w:trPr>
          <w:tblHeader w:val="false"/>
        </w:trPr>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test stand: 200 hours at full extraction with the gearbox at rated through-power, plus a deliberate generator seizure at full torque</w:t>
            </w:r>
          </w:p>
        </w:tc>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Before any flight with the power take-off installed</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 gearbox distress on strip and inspection; shear coupling releases within its band; no damage upstream</w:t>
            </w:r>
          </w:p>
        </w:tc>
      </w:tr>
      <w:tr>
        <w:trPr>
          <w:tblHeader w:val="false"/>
        </w:trPr>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3b</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calorimetry on instrumented fuel beds at fixed standoff; coupling efficiency measured rather than assumed</w:t>
            </w:r>
          </w:p>
        </w:tc>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Before any throughput figure is published</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Coupling efficiency 0.55 or better at the design irradiance</w:t>
            </w:r>
          </w:p>
        </w:tc>
      </w:tr>
      <w:tr>
        <w:trPr>
          <w:tblHeader w:val="false"/>
        </w:trPr>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Instrumented plot trials at three moisture contents; particulate sampling at 15, 50 and 150 m downwind; thermal imaging for 10 minutes after beam-off</w:t>
            </w:r>
          </w:p>
        </w:tc>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Before any operational sortie</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 ignition outside the corridor across 20 consecutive plots</w:t>
            </w:r>
          </w:p>
        </w:tc>
      </w:tr>
      <w:tr>
        <w:trPr>
          <w:tblHeader w:val="false"/>
        </w:trPr>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Full aircraft ground and flight test: hover performance with extraction, load shed demonstration, abort chain fault injection, MIL-STD-810H qualification of the installed system</w:t>
            </w:r>
          </w:p>
        </w:tc>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Before certificate issue</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All interlocks within stated times across 200 injected faults; hover performance within 3 percent of Section 4 prediction</w:t>
            </w:r>
          </w:p>
        </w:tc>
      </w:tr>
    </w:tbl>
    <w:p>
      <w:pPr>
        <w:spacing w:after="200" w:before="60"/>
      </w:pPr>
      <w:r>
        <w:rPr>
          <w:rFonts w:ascii="Calibri" w:cs="Calibri" w:eastAsia="Calibri" w:hAnsi="Calibri"/>
          <w:i/>
          <w:iCs/>
          <w:color w:val="6B5A4E"/>
          <w:sz w:val="17"/>
          <w:szCs w:val="17"/>
        </w:rPr>
        <w:t xml:space="preserve">Table 36: Test and validation programme. Phase 3 is the gate that matters most, because a transmission finding after flight testing has begun ends the programme rather than delaying it.</w:t>
      </w:r>
    </w:p>
    <w:p>
      <w:pPr>
        <w:spacing w:after="120" w:before="60" w:line="276"/>
        <w:jc w:val="left"/>
      </w:pPr>
      <w:r>
        <w:rPr>
          <w:rFonts w:ascii="Calibri" w:cs="Calibri" w:eastAsia="Calibri" w:hAnsi="Calibri"/>
          <w:b w:val="false"/>
          <w:bCs w:val="false"/>
          <w:i w:val="false"/>
          <w:iCs w:val="false"/>
          <w:color w:val="3A2E28"/>
          <w:sz w:val="20"/>
          <w:szCs w:val="20"/>
        </w:rPr>
        <w:t xml:space="preserve">Phase 3b is separated from Phase 3 deliberately. Coupling efficiency of 0.62 is inherited from the E6 programme as a design assumption gated on measurement, and it has not yet been measured anywhere in the programme. Every throughput figure in this document, and in Aerial v1.5 and v1.6, is conditional on it. The measurement is inexpensive, it requires no aircraft, and it can be performed on a bench at any point. It is placed early for that reason and the programme performs it before committing to either variant.</w:t>
      </w:r>
    </w:p>
    <w:p>
      <w:pPr>
        <w:spacing w:after="120" w:before="60" w:line="276"/>
        <w:jc w:val="left"/>
      </w:pPr>
      <w:r>
        <w:rPr>
          <w:rFonts w:ascii="Calibri" w:cs="Calibri" w:eastAsia="Calibri" w:hAnsi="Calibri"/>
          <w:b w:val="false"/>
          <w:bCs w:val="false"/>
          <w:i w:val="false"/>
          <w:iCs w:val="false"/>
          <w:color w:val="3A2E28"/>
          <w:sz w:val="20"/>
          <w:szCs w:val="20"/>
        </w:rPr>
        <w:t xml:space="preserve">Phase 1 mass verification carries the same character. The 120 W per kilogram source specific power assumption of Section 11.3 carries 217 kg of the mass budget, and it is verified by placing delivered hardware on a scale. That is a cheap measurement of an expensive assumption and it happens first.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29. Risks and Mitigations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1100"/>
        <w:gridCol w:w="2200"/>
        <w:gridCol w:w="41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Risk</w:t>
            </w:r>
          </w:p>
        </w:tc>
        <w:tc>
          <w:tcPr>
            <w:tcW w:type="dxa" w:w="1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Level</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w:t>
            </w:r>
          </w:p>
        </w:tc>
        <w:tc>
          <w:tcPr>
            <w:tcW w:type="dxa" w:w="4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Mitigation and closure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cannot accept 95 kW extraction without redesign</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Architecture invalid; no power source remains</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3 test stand programme is the gate and it runs before flight. Recovery path: reduce extraction to 60 kW, which reduces installed optical power to 16 kW and area rate to 65.1 m2/h, and the aircraft still exceeds every E6 configuration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Exclusion radius of 1,200 m restricts operations severely</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Aircraft works in fewer places than the business case assumes</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Terrain screening relief in the flight manual supplement; specular surface inhibition; integration with existing incident command exclusions. No engineering mitigation removes this and Section 20.3 states why</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 lofts embers</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Fire spread beyond the corridor</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4 plot trials are the gate before any operational sortie. Downwind-first sequence, 8 m/s wind gate. Recovery path: alternate-sector treatment halves instantaneous heat release at 50 percent throughput cost</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Coupling efficiency below 0.62</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Throughput falls proportionally</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3b calorimetry measures it early and cheaply. At 0.50 the area rate falls to 84.3 m2/h and cost per hectare rises to 348,978 CAD, which remains better than every E6 configuration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specific power below 120 W per kg</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Mass growth displaces fuel</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1 weighing. At 100 W per kg the source set gains 43 kg and on-station time falls 11.5 minutes. Section 6.2 states the ladder; recovery is a reduction to 24 kW installed</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transmission worse than 0.80 in service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Throughput falls; operations suspended more often</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in real time rather than assumed, so the effect is visible rather than silent. Flanking-fire operation rather than heading-fire operation is the operational mitigation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Certification cost exceeds 3,500,000 CAD</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Programme funding gap</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Stage-gated funding with the certification plan agreed at S-1 before major commitment. The transmission programme is 40 percent of the total and its scope is fixed by S-2</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Airframe availability during fire season</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Aircraft unavailable when needed</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installation is removable and the aircraft returns to baseline with a blanking plate, so a fleet operator retains conventional utility. Also a mitigation for the business case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Crew workload in the hover with a Class 4 emitter</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Human factors finding late in certification</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Two-crew configuration with two-authority arming; Phase 5 includes a human factors assessment with agency pilots rather than test pilots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supply chain</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Schedule slip</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Flight spare in bonded stock; two qualified sources from separate jurisdictions on a common optical interface, inherited from Aerial v1.6 Section 21.8</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engine over a fuel bed</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Forced landing in the treatment area</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Pod jettison sheds 210 kg and 51 kW of hover power; certified autorotation procedure applies unchanged; the 20 m standoff gives more height for entry than the E6 4 m</w:t>
            </w:r>
          </w:p>
        </w:tc>
      </w:tr>
    </w:tbl>
    <w:p>
      <w:pPr>
        <w:spacing w:after="200" w:before="60"/>
      </w:pPr>
      <w:r>
        <w:rPr>
          <w:rFonts w:ascii="Calibri" w:cs="Calibri" w:eastAsia="Calibri" w:hAnsi="Calibri"/>
          <w:i/>
          <w:iCs/>
          <w:color w:val="6B5A4E"/>
          <w:sz w:val="17"/>
          <w:szCs w:val="17"/>
        </w:rPr>
        <w:t xml:space="preserve">Table 37: Risk register. Two items are rated High. The transmission item closes on a test stand before flight. The exclusion radius item does not close at all, and Section 30 records the wavelength change that closes it.</w:t>
      </w:r>
    </w:p>
    <w:p>
      <w:pPr>
        <w:spacing w:after="120" w:before="60" w:line="276"/>
        <w:jc w:val="left"/>
      </w:pPr>
      <w:r>
        <w:rPr>
          <w:rFonts w:ascii="Calibri" w:cs="Calibri" w:eastAsia="Calibri" w:hAnsi="Calibri"/>
          <w:b w:val="false"/>
          <w:bCs w:val="false"/>
          <w:i w:val="false"/>
          <w:iCs w:val="false"/>
          <w:color w:val="3A2E28"/>
          <w:sz w:val="20"/>
          <w:szCs w:val="20"/>
        </w:rPr>
        <w:t xml:space="preserve">The two High items differ in kind and the distinction matters. The transmission risk is a technical unknown with a defined measurement that resolves it and a costed recovery path if it disappoints. The exclusion radius is not a risk in that sense: it is a known consequence of the physics, derived rather than estimated, and no measurement changes it. It is carried in the High row because it constrains the business case, not because it is uncertain.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30. Growth Path and Open Questions</w:t>
      </w:r>
    </w:p>
    <w:p>
      <w:pPr>
        <w:pStyle w:val="Heading2"/>
        <w:spacing w:after="110" w:before="240"/>
      </w:pPr>
      <w:r>
        <w:rPr>
          <w:rFonts w:ascii="Calibri" w:cs="Calibri" w:eastAsia="Calibri" w:hAnsi="Calibri"/>
          <w:b/>
          <w:bCs/>
          <w:color w:val="3A2E28"/>
          <w:sz w:val="24"/>
          <w:szCs w:val="24"/>
        </w:rPr>
        <w:t xml:space="preserve">30.1 Growth Items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2200"/>
        <w:gridCol w:w="2200"/>
        <w:gridCol w:w="27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Item</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Effect</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Availability</w:t>
            </w:r>
          </w:p>
        </w:tc>
        <w:tc>
          <w:tcPr>
            <w:tcW w:type="dxa" w:w="27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Assessment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wavelength near 1550 nm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Exclusion radius from 1,200 m to a few tens of metres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available at this power, efficiency or cost</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single highest-value external technology dependency in the programme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specific power 120 to 180 W per kg</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+72 kg released to fuel or to more laser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Plausible within a product generation</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Raises installed power to roughly 30 kW at the same gross weight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Wall-plug efficiency 0.38 to 0.45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electrical falls 10.6 kW; heat falls with it</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Current best industrial practice</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Releases transmission margin directly; the cheapest gain available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Intermediate gross weight increase above 2,381 kg</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More payload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Requires manufacturer participation</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pursued. Hover power rises faster than the margin allows</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Larger host airframe, Bell 412 or 429 class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Twin engine, higher transmission rating, larger disc</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Available today</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30.3 states the case and does not resolve it</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Forward fuel cache and hot refuelling</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fraction falls, on-station fraction rises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Operational, not technical</w:t>
            </w:r>
          </w:p>
        </w:tc>
        <w:tc>
          <w:tcPr>
            <w:tcW w:type="dxa" w:w="2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Table 33 shows this beats every engineering lever</w:t>
            </w:r>
          </w:p>
        </w:tc>
      </w:tr>
    </w:tbl>
    <w:p>
      <w:pPr>
        <w:spacing w:after="200" w:before="60"/>
      </w:pPr>
      <w:r>
        <w:rPr>
          <w:rFonts w:ascii="Calibri" w:cs="Calibri" w:eastAsia="Calibri" w:hAnsi="Calibri"/>
          <w:i/>
          <w:iCs/>
          <w:color w:val="6B5A4E"/>
          <w:sz w:val="17"/>
          <w:szCs w:val="17"/>
        </w:rPr>
        <w:t xml:space="preserve">Table 38: Growth items ranked by value. Two of the top three are external technology dependencies rather than programme decisions, and the highest-value item available to the programme itself is operational.</w:t>
      </w:r>
    </w:p>
    <w:p>
      <w:pPr>
        <w:pStyle w:val="Heading2"/>
        <w:spacing w:after="110" w:before="240"/>
      </w:pPr>
      <w:r>
        <w:rPr>
          <w:rFonts w:ascii="Calibri" w:cs="Calibri" w:eastAsia="Calibri" w:hAnsi="Calibri"/>
          <w:b/>
          <w:bCs/>
          <w:color w:val="3A2E28"/>
          <w:sz w:val="24"/>
          <w:szCs w:val="24"/>
        </w:rPr>
        <w:t xml:space="preserve">30.2 Open Questions</w:t>
      </w:r>
    </w:p>
    <w:p>
      <w:pPr>
        <w:spacing w:after="120" w:before="60" w:line="276"/>
        <w:jc w:val="left"/>
      </w:pPr>
      <w:r>
        <w:rPr>
          <w:rFonts w:ascii="Calibri" w:cs="Calibri" w:eastAsia="Calibri" w:hAnsi="Calibri"/>
          <w:b w:val="false"/>
          <w:bCs w:val="false"/>
          <w:i w:val="false"/>
          <w:iCs w:val="false"/>
          <w:color w:val="3A2E28"/>
          <w:sz w:val="20"/>
          <w:szCs w:val="20"/>
        </w:rPr>
        <w:t xml:space="preserve">Three questions are recorded as open rather than answered, in keeping with the practice established in Aerial v1.6 Section 26.</w:t>
      </w:r>
    </w:p>
    <w:p>
      <w:pPr>
        <w:spacing w:after="120" w:before="60" w:line="276"/>
        <w:jc w:val="left"/>
      </w:pPr>
      <w:r>
        <w:rPr>
          <w:rFonts w:ascii="Calibri" w:cs="Calibri" w:eastAsia="Calibri" w:hAnsi="Calibri"/>
          <w:b w:val="false"/>
          <w:bCs w:val="false"/>
          <w:i w:val="false"/>
          <w:iCs w:val="false"/>
          <w:color w:val="3A2E28"/>
          <w:sz w:val="20"/>
          <w:szCs w:val="20"/>
        </w:rPr>
        <w:t xml:space="preserve">The first is required fuel break width, which the programme has never established. Section 26.2 shows that the comparison between platforms depends entirely on it, and the cost figures of Section 25 are blind to it. If a 6 m break is sufficient, the E6 becomes more competitive than Table 32 suggests. If 20 m is required, this aircraft is the only platform in the family that produces the product at all. This belongs to the fire behaviour programme and it is the highest-value open question in the entire Contra Favillas effort.</w:t>
      </w:r>
    </w:p>
    <w:p>
      <w:pPr>
        <w:spacing w:after="120" w:before="60" w:line="276"/>
        <w:jc w:val="left"/>
      </w:pPr>
      <w:r>
        <w:rPr>
          <w:rFonts w:ascii="Calibri" w:cs="Calibri" w:eastAsia="Calibri" w:hAnsi="Calibri"/>
          <w:b w:val="false"/>
          <w:bCs w:val="false"/>
          <w:i w:val="false"/>
          <w:iCs w:val="false"/>
          <w:color w:val="3A2E28"/>
          <w:sz w:val="20"/>
          <w:szCs w:val="20"/>
        </w:rPr>
        <w:t xml:space="preserve">The second is whether a discontinuous treatment pattern that carbonises a fraction of the ground breaks fuel continuity as effectively as full coverage. Aerial v1.6 Section 24.6 raised this and it remains unanswered. A 40 percent pattern reduces cost per hectare by 60 percent across every platform in the family simultaneously, which makes it worth more than any engineering change in this document.</w:t>
      </w:r>
    </w:p>
    <w:p>
      <w:pPr>
        <w:spacing w:after="120" w:before="60" w:line="276"/>
        <w:jc w:val="left"/>
      </w:pPr>
      <w:r>
        <w:rPr>
          <w:rFonts w:ascii="Calibri" w:cs="Calibri" w:eastAsia="Calibri" w:hAnsi="Calibri"/>
          <w:b w:val="false"/>
          <w:bCs w:val="false"/>
          <w:i w:val="false"/>
          <w:iCs w:val="false"/>
          <w:color w:val="3A2E28"/>
          <w:sz w:val="20"/>
          <w:szCs w:val="20"/>
        </w:rPr>
        <w:t xml:space="preserve">The third is specific to this variant. The economics of Section 25 assume broadcast area treatment. The strongest operational case in Section 25.3 is treatment inside an active fire perimeter during a burning period, where conventional resources cannot work and the exclusion zone is already established. That case has never been costed, because it has no conventional comparator and its value is measured in avoided loss rather than in cost per hectare. Costing it requires fire agency loss models the programme does not hold.</w:t>
      </w:r>
    </w:p>
    <w:p>
      <w:pPr>
        <w:pStyle w:val="Heading2"/>
        <w:spacing w:after="110" w:before="240"/>
      </w:pPr>
      <w:r>
        <w:rPr>
          <w:rFonts w:ascii="Calibri" w:cs="Calibri" w:eastAsia="Calibri" w:hAnsi="Calibri"/>
          <w:b/>
          <w:bCs/>
          <w:color w:val="3A2E28"/>
          <w:sz w:val="24"/>
          <w:szCs w:val="24"/>
        </w:rPr>
        <w:t xml:space="preserve">30.3 The Larger Airframe Question</w:t>
      </w:r>
    </w:p>
    <w:p>
      <w:pPr>
        <w:spacing w:after="120" w:before="60" w:line="276"/>
        <w:jc w:val="left"/>
      </w:pPr>
      <w:r>
        <w:rPr>
          <w:rFonts w:ascii="Calibri" w:cs="Calibri" w:eastAsia="Calibri" w:hAnsi="Calibri"/>
          <w:b w:val="false"/>
          <w:bCs w:val="false"/>
          <w:i w:val="false"/>
          <w:iCs w:val="false"/>
          <w:color w:val="3A2E28"/>
          <w:sz w:val="20"/>
          <w:szCs w:val="20"/>
        </w:rPr>
        <w:t xml:space="preserve">A twin-engine host with a higher transmission rating removes the constraint that governs this entire installation. A Bell 412 class aircraft carries roughly twice the transmission rating and roughly twice the disc area, which supports perhaps 60 kW of installed optical power and a swath above 20 m. It also costs roughly three times as much to acquire and roughly twice as much per flight hour.</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does not resolve whether that trade closes, and the reason is Section 25.4. Cost per hectare on a capital-intensive aircraft is dominated by daily cost divided by daily output, and a larger aircraft raises both. Whether the ratio improves depends on whether treatment rate scales faster than operating cost, which depends on the same coupling efficiency and required-width questions that are already open. Resolving the larger airframe question before those two are answered is premature, and it is recorded here as a successor-design item rather than a recommendation.</w:t>
      </w:r>
    </w:p>
    <w:p>
      <w:pPr>
        <w:pStyle w:val="Heading2"/>
        <w:spacing w:after="110" w:before="240"/>
      </w:pPr>
      <w:r>
        <w:rPr>
          <w:rFonts w:ascii="Calibri" w:cs="Calibri" w:eastAsia="Calibri" w:hAnsi="Calibri"/>
          <w:b/>
          <w:bCs/>
          <w:color w:val="3A2E28"/>
          <w:sz w:val="24"/>
          <w:szCs w:val="24"/>
        </w:rPr>
        <w:t xml:space="preserve">30.4 Recommendation</w:t>
      </w:r>
    </w:p>
    <w:p>
      <w:pPr>
        <w:spacing w:after="120" w:before="60" w:line="276"/>
        <w:jc w:val="left"/>
      </w:pPr>
      <w:r>
        <w:rPr>
          <w:rFonts w:ascii="Calibri" w:cs="Calibri" w:eastAsia="Calibri" w:hAnsi="Calibri"/>
          <w:b w:val="false"/>
          <w:bCs w:val="false"/>
          <w:i w:val="false"/>
          <w:iCs w:val="false"/>
          <w:color w:val="3A2E28"/>
          <w:sz w:val="20"/>
          <w:szCs w:val="20"/>
        </w:rPr>
        <w:t xml:space="preserve">The programme recommendation this document records has three parts. Perform the Phase 3b coupling calorimetry immediately, because it is cheap, it requires no aircraft, and every throughput figure in the entire programme is conditional on it. Pursue the fire behaviour work that establishes required break width, because the platform comparison of Section 26 cannot be resolved without it. And treat the certification programme of Section 27 as the principal asset being built, because a supplemental type certificate on a Bell 407 is transferable across an existing fleet of roughly 1,600 airframes, and that transferability is worth more than any single aircraft the programme builds.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A: Pricing and Sourcing Notes</w:t>
      </w:r>
    </w:p>
    <w:p>
      <w:pPr>
        <w:spacing w:after="120" w:before="60" w:line="276"/>
        <w:jc w:val="left"/>
      </w:pPr>
      <w:r>
        <w:rPr>
          <w:rFonts w:ascii="Calibri" w:cs="Calibri" w:eastAsia="Calibri" w:hAnsi="Calibri"/>
          <w:b w:val="false"/>
          <w:bCs w:val="false"/>
          <w:i w:val="false"/>
          <w:iCs w:val="false"/>
          <w:color w:val="3A2E28"/>
          <w:sz w:val="20"/>
          <w:szCs w:val="20"/>
        </w:rPr>
        <w:t xml:space="preserve">All prices are Canadian dollars at an assumed rate of 1.38 CAD to the United States dollar and 1.49 CAD to the euro. Prices are budgetary except where a published list price exists, and every budgetary line carries the 15 percent programme contingency of Section 23.</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000"/>
        <w:gridCol w:w="3400"/>
        <w:gridCol w:w="3680"/>
      </w:tblGrid>
      <w:tr>
        <w:trPr>
          <w:tblHeader/>
        </w:trPr>
        <w:tc>
          <w:tcPr>
            <w:tcW w:type="dxa" w:w="3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Category</w:t>
            </w:r>
          </w:p>
        </w:tc>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c>
          <w:tcPr>
            <w:tcW w:type="dxa" w:w="36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Confidence</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407GXi airframe</w:t>
            </w:r>
          </w:p>
        </w:tc>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Manufacturer list configuration plus increased gross weight kit and auxiliary tank</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 published list pricing</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 modules</w:t>
            </w:r>
          </w:p>
        </w:tc>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Vendor budgetary quotation for aviation integration without industrial chiller</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 no vendor currently supplies this configuration</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Galvanometer scan heads</w:t>
            </w:r>
          </w:p>
        </w:tc>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Large-aperture industrial units with custom cooling</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 aperture and power are at the top of the commercial range</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take-off</w:t>
            </w:r>
          </w:p>
        </w:tc>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Custom engineering estimate at 4,200 CAD per kW of rating</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 the single largest uncertainty in the bill</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and rectifier</w:t>
            </w:r>
          </w:p>
        </w:tc>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Aerospace permanent-magnet machine, budgetary</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Sensing</w:t>
            </w:r>
          </w:p>
        </w:tc>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Catalogue items across all lines</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Structure</w:t>
            </w:r>
          </w:p>
        </w:tc>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Composite shop estimate at 1,150 CAD per kg of finished structure</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Certification programme</w:t>
            </w:r>
          </w:p>
        </w:tc>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Stage estimates in Table 35, built from comparable rotorcraft supplemental type certificate programmes</w:t>
            </w:r>
          </w:p>
        </w:tc>
        <w:tc>
          <w:tcPr>
            <w:tcW w:type="dxa" w:w="36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 the transmission stages carry most of the uncertainty</w:t>
            </w:r>
          </w:p>
        </w:tc>
      </w:tr>
    </w:tbl>
    <w:p>
      <w:pPr>
        <w:spacing w:after="200" w:before="60"/>
      </w:pPr>
      <w:r>
        <w:rPr>
          <w:rFonts w:ascii="Calibri" w:cs="Calibri" w:eastAsia="Calibri" w:hAnsi="Calibri"/>
          <w:i/>
          <w:iCs/>
          <w:color w:val="6B5A4E"/>
          <w:sz w:val="17"/>
          <w:szCs w:val="17"/>
        </w:rPr>
        <w:t xml:space="preserve">Table 39: Pricing basis and confidence by category. Two categories carry Low confidence and both are custom engineering rather than procurement, which is where a first-of-type programme normally overruns.</w:t>
      </w:r>
    </w:p>
    <w:p>
      <w:pPr>
        <w:spacing w:after="120" w:before="60" w:line="276"/>
        <w:jc w:val="left"/>
      </w:pPr>
      <w:r>
        <w:rPr>
          <w:rFonts w:ascii="Calibri" w:cs="Calibri" w:eastAsia="Calibri" w:hAnsi="Calibri"/>
          <w:b w:val="false"/>
          <w:bCs w:val="false"/>
          <w:i w:val="false"/>
          <w:iCs w:val="false"/>
          <w:color w:val="3A2E28"/>
          <w:sz w:val="20"/>
          <w:szCs w:val="20"/>
        </w:rPr>
        <w:t xml:space="preserve">Direct maintenance cost is taken from the manufacturer published figure of 380.44 United States dollars per flight hour on a 2020 basis, inflated at 4.5 percent annually to 2026 and converted, giving 670 CAD. Fuel is taken at 2.20 CAD per litre delivered to a forward base, which is well above pump price and reflects the delivery cost that dominates remote operations.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B: Symbols, Constants and Standing Assumptions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400"/>
        <w:gridCol w:w="2200"/>
        <w:gridCol w:w="2200"/>
        <w:gridCol w:w="2880"/>
      </w:tblGrid>
      <w:tr>
        <w:trPr>
          <w:tblHeader/>
        </w:trPr>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Symbol or term</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Value</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Unit</w:t>
            </w:r>
          </w:p>
        </w:tc>
        <w:tc>
          <w:tcPr>
            <w:tcW w:type="dxa" w:w="2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Source</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Main rotor diameter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10.67</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published specification</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Disc area A</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89.42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Derived from diameter</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weight, standard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1,271</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kg</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published specification</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internal gross weight</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2,381</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kg</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With Increased Internal Gross Weight Kit</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maximum continuous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470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kW</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published specification; the governing constraint</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takeoff, 5 minutes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503</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kW</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Bell published specification</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Usable fuel</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556</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484 standard plus 72 auxiliary</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Jet A density</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0.804</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kg/L</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Standard</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 FM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Programme standing assumption</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Tail rotor allowance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1.09</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 percent of main rotor power</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and accessory loss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1.03</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 percent</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chain</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0.9125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0.980 drive x 0.955 machine x 0.975 rectifier</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Wall-plug efficiency</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0.38</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Large fibre module; gated on Phase 2</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specific power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W/kg</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Subsystem including driver; gated on Phase 1</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Cooling mass</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kg/kW</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Per kilowatt rejected, cores plus loop</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specific power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kW/kg</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Machine, drive and rectifier</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Specific fuel consumption</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0.2614 + 39.3/P</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kg/kWh</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Fitted to published loiter and cruise data</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Coupling efficiency</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Inherited from Aerial v1.6; gated on Phase 3b</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Process energy demand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432.1</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kJ/m2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Aerial v1.5 Section 9; 0.4 kg/m2 bed at 8 percent moisture</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transmission at 20 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0.80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13; measured in service</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Scan and turnaround efficiency</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Retrace, handover, corridor turn</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permissible exposure at 1080 nm</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For exposures of 10 s or longer</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Design density altitude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1,500 m, ISA+15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Density 1.004 kg/m3</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Hotel and cooling load</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kW</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Pumps, fans, compute, sensors, turret drives</w:t>
            </w:r>
          </w:p>
        </w:tc>
      </w:tr>
      <w:tr>
        <w:trPr>
          <w:tblHeader w:val="false"/>
        </w:trPr>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reserve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percent of MCP</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Gust, yaw and control margin</w:t>
            </w:r>
          </w:p>
        </w:tc>
      </w:tr>
    </w:tbl>
    <w:p>
      <w:pPr>
        <w:spacing w:after="200" w:before="60"/>
      </w:pPr>
      <w:r>
        <w:rPr>
          <w:rFonts w:ascii="Calibri" w:cs="Calibri" w:eastAsia="Calibri" w:hAnsi="Calibri"/>
          <w:i/>
          <w:iCs/>
          <w:color w:val="6B5A4E"/>
          <w:sz w:val="17"/>
          <w:szCs w:val="17"/>
        </w:rPr>
        <w:t xml:space="preserve">Table 40: Symbols, constants and standing assumptions. Six entries carry a gate in the test programme of Section 28, and no figure derived from them is published as achieved performance until that gate passes.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C: Worked Calculations</w:t>
      </w:r>
    </w:p>
    <w:p>
      <w:pPr>
        <w:pStyle w:val="Heading2"/>
        <w:spacing w:after="110" w:before="240"/>
      </w:pPr>
      <w:r>
        <w:rPr>
          <w:rFonts w:ascii="Calibri" w:cs="Calibri" w:eastAsia="Calibri" w:hAnsi="Calibri"/>
          <w:b/>
          <w:bCs/>
          <w:color w:val="3A2E28"/>
          <w:sz w:val="24"/>
          <w:szCs w:val="24"/>
        </w:rPr>
        <w:t xml:space="preserve">C.1 Hover Power</w:t>
      </w:r>
    </w:p>
    <w:p>
      <w:pPr>
        <w:spacing w:after="120" w:before="60" w:line="276"/>
        <w:jc w:val="left"/>
      </w:pPr>
      <w:r>
        <w:rPr>
          <w:rFonts w:ascii="Calibri" w:cs="Calibri" w:eastAsia="Calibri" w:hAnsi="Calibri"/>
          <w:b w:val="false"/>
          <w:bCs w:val="false"/>
          <w:i w:val="false"/>
          <w:iCs w:val="false"/>
          <w:color w:val="3A2E28"/>
          <w:sz w:val="20"/>
          <w:szCs w:val="20"/>
        </w:rPr>
        <w:t xml:space="preserve">Ideal induced power equals thrust to the power of 1.5 divided by the square root of twice density times disc area. At the design gross weight of 2,369 kg the thrust is 23,234 N. At the design density of 1.0040 kg/m3 and a disc area of 89.42 m2, the denominator is 13.40. Ideal power is therefore 264.3 kW.</w:t>
      </w:r>
    </w:p>
    <w:p>
      <w:pPr>
        <w:spacing w:after="120" w:before="60" w:line="276"/>
        <w:jc w:val="left"/>
      </w:pPr>
      <w:r>
        <w:rPr>
          <w:rFonts w:ascii="Calibri" w:cs="Calibri" w:eastAsia="Calibri" w:hAnsi="Calibri"/>
          <w:b w:val="false"/>
          <w:bCs w:val="false"/>
          <w:i w:val="false"/>
          <w:iCs w:val="false"/>
          <w:color w:val="3A2E28"/>
          <w:sz w:val="20"/>
          <w:szCs w:val="20"/>
        </w:rPr>
        <w:t xml:space="preserve">Dividing by a figure of merit of 0.75 gives main rotor shaft power. Multiplying by 1.09 for the tail rotor and 1.03 for transmission and accessory losses gives 395.6 kW at the rotor, which is 84.2 percent of the 470 kW transmission continuous rating.</w:t>
      </w:r>
    </w:p>
    <w:p>
      <w:pPr>
        <w:pStyle w:val="Heading2"/>
        <w:spacing w:after="110" w:before="240"/>
      </w:pPr>
      <w:r>
        <w:rPr>
          <w:rFonts w:ascii="Calibri" w:cs="Calibri" w:eastAsia="Calibri" w:hAnsi="Calibri"/>
          <w:b/>
          <w:bCs/>
          <w:color w:val="3A2E28"/>
          <w:sz w:val="24"/>
          <w:szCs w:val="24"/>
        </w:rPr>
        <w:t xml:space="preserve">C.2 The Marginal Cost of Installed Optical Power</w:t>
      </w:r>
    </w:p>
    <w:p>
      <w:pPr>
        <w:spacing w:after="120" w:before="60" w:line="276"/>
        <w:jc w:val="left"/>
      </w:pPr>
      <w:r>
        <w:rPr>
          <w:rFonts w:ascii="Calibri" w:cs="Calibri" w:eastAsia="Calibri" w:hAnsi="Calibri"/>
          <w:b w:val="false"/>
          <w:bCs w:val="false"/>
          <w:i w:val="false"/>
          <w:iCs w:val="false"/>
          <w:color w:val="3A2E28"/>
          <w:sz w:val="20"/>
          <w:szCs w:val="20"/>
        </w:rPr>
        <w:t xml:space="preserve">Hover power scales with gross weight to the power of 1.5, so the derivative with respect to mass is 1.5 times power divided by mass, which at 2,268 kg and the design density is 0.245 kW per kilogram.</w:t>
      </w:r>
    </w:p>
    <w:p>
      <w:pPr>
        <w:spacing w:after="120" w:before="60" w:line="276"/>
        <w:jc w:val="left"/>
      </w:pPr>
      <w:r>
        <w:rPr>
          <w:rFonts w:ascii="Calibri" w:cs="Calibri" w:eastAsia="Calibri" w:hAnsi="Calibri"/>
          <w:b w:val="false"/>
          <w:bCs w:val="false"/>
          <w:i w:val="false"/>
          <w:iCs w:val="false"/>
          <w:color w:val="3A2E28"/>
          <w:sz w:val="20"/>
          <w:szCs w:val="20"/>
        </w:rPr>
        <w:t xml:space="preserve">One kilowatt of installed optical power requires 1000/120 = 8.33 kg of source, and rejects 1000/0.38 minus 1000 = 1,632 W of heat requiring 3.26 kg of cooling, and draws 1000/0.38 = 2,632 W requiring 1.81 kg of generator, for a total of 13.41 kg. That mass costs 13.41 times 0.245 = 3.29 kW of hover power. The same kilowatt delivered requires 1/0.38/0.9125 = 2.88 kW of shaft power directly. The total is 6.17 kW of transmission-limited shaft power per kilowatt of installed optical power.</w:t>
      </w:r>
    </w:p>
    <w:p>
      <w:pPr>
        <w:pStyle w:val="Heading2"/>
        <w:spacing w:after="110" w:before="240"/>
      </w:pPr>
      <w:r>
        <w:rPr>
          <w:rFonts w:ascii="Calibri" w:cs="Calibri" w:eastAsia="Calibri" w:hAnsi="Calibri"/>
          <w:b/>
          <w:bCs/>
          <w:color w:val="3A2E28"/>
          <w:sz w:val="24"/>
          <w:szCs w:val="24"/>
        </w:rPr>
        <w:t xml:space="preserve">C.3 Scan Geometry</w:t>
      </w:r>
    </w:p>
    <w:p>
      <w:pPr>
        <w:spacing w:after="120" w:before="60" w:line="276"/>
        <w:jc w:val="left"/>
      </w:pPr>
      <w:r>
        <w:rPr>
          <w:rFonts w:ascii="Calibri" w:cs="Calibri" w:eastAsia="Calibri" w:hAnsi="Calibri"/>
          <w:b w:val="false"/>
          <w:bCs w:val="false"/>
          <w:i w:val="false"/>
          <w:iCs w:val="false"/>
          <w:color w:val="3A2E28"/>
          <w:sz w:val="20"/>
          <w:szCs w:val="20"/>
        </w:rPr>
        <w:t xml:space="preserve">Each head paints a sector of 3.50 m at a standoff of 20 m, so the half-angle is the arctangent of 1.750 divided by 20, which is 5.00 degrees. Edge obliquity is one divided by the cosine of that angle, which is 1.004.</w:t>
      </w:r>
    </w:p>
    <w:p>
      <w:pPr>
        <w:spacing w:after="120" w:before="60" w:line="276"/>
        <w:jc w:val="left"/>
      </w:pPr>
      <w:r>
        <w:rPr>
          <w:rFonts w:ascii="Calibri" w:cs="Calibri" w:eastAsia="Calibri" w:hAnsi="Calibri"/>
          <w:b w:val="false"/>
          <w:bCs w:val="false"/>
          <w:i w:val="false"/>
          <w:iCs w:val="false"/>
          <w:color w:val="3A2E28"/>
          <w:sz w:val="20"/>
          <w:szCs w:val="20"/>
        </w:rPr>
        <w:t xml:space="preserve">A source at 4.0 mm mrad beam parameter product through a 150 mm collimated aperture diverges at a half-angle of 4.0e-6 divided by 0.075, which is 5.33e-5 radians or 0.0533 mrad. Spot growth over 20 m is twice that times the range, which is 2.1 mm, so the natural spot is 152 mm. The working spot of 260 mm is a deliberate defocus.</w:t>
      </w:r>
    </w:p>
    <w:p>
      <w:pPr>
        <w:spacing w:after="120" w:before="60" w:line="276"/>
        <w:jc w:val="left"/>
      </w:pPr>
      <w:r>
        <w:rPr>
          <w:rFonts w:ascii="Calibri" w:cs="Calibri" w:eastAsia="Calibri" w:hAnsi="Calibri"/>
          <w:b w:val="false"/>
          <w:bCs w:val="false"/>
          <w:i w:val="false"/>
          <w:iCs w:val="false"/>
          <w:color w:val="3A2E28"/>
          <w:sz w:val="20"/>
          <w:szCs w:val="20"/>
        </w:rPr>
        <w:t xml:space="preserve">Instantaneous irradiance is 6,500 W divided by the spot area of 0.0531 m2, which is 122.4 kW/m2 at the aperture and 97.9 kW/m2 at the surface after path attenuation.</w:t>
      </w:r>
    </w:p>
    <w:p>
      <w:pPr>
        <w:pStyle w:val="Heading2"/>
        <w:spacing w:after="110" w:before="240"/>
      </w:pPr>
      <w:r>
        <w:rPr>
          <w:rFonts w:ascii="Calibri" w:cs="Calibri" w:eastAsia="Calibri" w:hAnsi="Calibri"/>
          <w:b/>
          <w:bCs/>
          <w:color w:val="3A2E28"/>
          <w:sz w:val="24"/>
          <w:szCs w:val="24"/>
        </w:rPr>
        <w:t xml:space="preserve">C.4 The Pyrolysis Threshold</w:t>
      </w:r>
    </w:p>
    <w:p>
      <w:pPr>
        <w:spacing w:after="120" w:before="60" w:line="276"/>
        <w:jc w:val="left"/>
      </w:pPr>
      <w:r>
        <w:rPr>
          <w:rFonts w:ascii="Calibri" w:cs="Calibri" w:eastAsia="Calibri" w:hAnsi="Calibri"/>
          <w:b w:val="false"/>
          <w:bCs w:val="false"/>
          <w:i w:val="false"/>
          <w:iCs w:val="false"/>
          <w:color w:val="3A2E28"/>
          <w:sz w:val="20"/>
          <w:szCs w:val="20"/>
        </w:rPr>
        <w:t xml:space="preserve">A surface at temperature T loses energy by convection at h times the temperature difference and by re-radiation at emissivity times the Stefan-Boltzmann constant times the difference of fourth powers. At an emissivity of 0.90, an ambient of 288 K and a convective coefficient of 50 W/m2K representing the rotor wall jet, holding a surface at 400 C requires 29.4 kW/m2. The delivered irradiance of 97.9 kW/m2 exceeds this by a factor of 3.3.</w:t>
      </w:r>
    </w:p>
    <w:p>
      <w:pPr>
        <w:pStyle w:val="Heading2"/>
        <w:spacing w:after="110" w:before="240"/>
      </w:pPr>
      <w:r>
        <w:rPr>
          <w:rFonts w:ascii="Calibri" w:cs="Calibri" w:eastAsia="Calibri" w:hAnsi="Calibri"/>
          <w:b/>
          <w:bCs/>
          <w:color w:val="3A2E28"/>
          <w:sz w:val="24"/>
          <w:szCs w:val="24"/>
        </w:rPr>
        <w:t xml:space="preserve">C.5 Area Treatment Rate</w:t>
      </w:r>
    </w:p>
    <w:p>
      <w:pPr>
        <w:spacing w:after="120" w:before="60" w:line="276"/>
        <w:jc w:val="left"/>
      </w:pPr>
      <w:r>
        <w:rPr>
          <w:rFonts w:ascii="Calibri" w:cs="Calibri" w:eastAsia="Calibri" w:hAnsi="Calibri"/>
          <w:b w:val="false"/>
          <w:bCs w:val="false"/>
          <w:i w:val="false"/>
          <w:iCs w:val="false"/>
          <w:color w:val="3A2E28"/>
          <w:sz w:val="20"/>
          <w:szCs w:val="20"/>
        </w:rPr>
        <w:t xml:space="preserve">Area rate equals installed optical power times duty cycle times coupling efficiency times path transmission, divided by process energy demand, times 3600, times the 0.985 scan efficiency. At the design point this is 26,000 times 0.988 times 0.62 times 0.80 divided by 432,100, times 3600, times 0.985, which is 104.5 m2 per hour. Dividing by the 14.0 m swath gives an advance rate of 7.47 m per hour.</w:t>
      </w:r>
    </w:p>
    <w:p>
      <w:pPr>
        <w:pStyle w:val="Heading2"/>
        <w:spacing w:after="110" w:before="240"/>
      </w:pPr>
      <w:r>
        <w:rPr>
          <w:rFonts w:ascii="Calibri" w:cs="Calibri" w:eastAsia="Calibri" w:hAnsi="Calibri"/>
          <w:b/>
          <w:bCs/>
          <w:color w:val="3A2E28"/>
          <w:sz w:val="24"/>
          <w:szCs w:val="24"/>
        </w:rPr>
        <w:t xml:space="preserve">C.6 Nominal Ocular Hazard Distance</w:t>
      </w:r>
    </w:p>
    <w:p>
      <w:pPr>
        <w:spacing w:after="120" w:before="60" w:line="276"/>
        <w:jc w:val="left"/>
      </w:pPr>
      <w:r>
        <w:rPr>
          <w:rFonts w:ascii="Calibri" w:cs="Calibri" w:eastAsia="Calibri" w:hAnsi="Calibri"/>
          <w:b w:val="false"/>
          <w:bCs w:val="false"/>
          <w:i w:val="false"/>
          <w:iCs w:val="false"/>
          <w:color w:val="3A2E28"/>
          <w:sz w:val="20"/>
          <w:szCs w:val="20"/>
        </w:rPr>
        <w:t xml:space="preserve">A 6.5 kW beam falls to the 50 W/m2 maximum permissible exposure when it occupies 130 m2. The spot at the treatment plane occupies 0.0531 m2. Geometric expansion gives the hazard range as the standoff times the square root of the area ratio, which is 20 times 49.5, or 990 m.</w:t>
      </w:r>
    </w:p>
    <w:p>
      <w:pPr>
        <w:spacing w:after="120" w:before="60" w:line="276"/>
        <w:jc w:val="left"/>
      </w:pPr>
      <w:r>
        <w:rPr>
          <w:rFonts w:ascii="Calibri" w:cs="Calibri" w:eastAsia="Calibri" w:hAnsi="Calibri"/>
          <w:b w:val="false"/>
          <w:bCs w:val="false"/>
          <w:i w:val="false"/>
          <w:iCs w:val="false"/>
          <w:color w:val="3A2E28"/>
          <w:sz w:val="20"/>
          <w:szCs w:val="20"/>
        </w:rPr>
        <w:t xml:space="preserve">Diffuse reflection hazard radius is the square root of reflectance times power divided by pi times the maximum permissible exposure. At a reflectance of 0.20 and one head this is 2.88 m, which is a local hazard rather than a range hazard.</w:t>
      </w:r>
    </w:p>
    <w:p>
      <w:pPr>
        <w:pStyle w:val="Heading2"/>
        <w:spacing w:after="110" w:before="240"/>
      </w:pPr>
      <w:r>
        <w:rPr>
          <w:rFonts w:ascii="Calibri" w:cs="Calibri" w:eastAsia="Calibri" w:hAnsi="Calibri"/>
          <w:b/>
          <w:bCs/>
          <w:color w:val="3A2E28"/>
          <w:sz w:val="24"/>
          <w:szCs w:val="24"/>
        </w:rPr>
        <w:t xml:space="preserve">C.7 Cost per Square Metre</w:t>
      </w:r>
    </w:p>
    <w:p>
      <w:pPr>
        <w:spacing w:after="120" w:before="60" w:line="276"/>
        <w:jc w:val="left"/>
      </w:pPr>
      <w:r>
        <w:rPr>
          <w:rFonts w:ascii="Calibri" w:cs="Calibri" w:eastAsia="Calibri" w:hAnsi="Calibri"/>
          <w:b w:val="false"/>
          <w:bCs w:val="false"/>
          <w:i w:val="false"/>
          <w:iCs w:val="false"/>
          <w:color w:val="3A2E28"/>
          <w:sz w:val="20"/>
          <w:szCs w:val="20"/>
        </w:rPr>
        <w:t xml:space="preserve">Daily cost sums capital amortisation of 8,397,283 divided by 1,250 operating days, which is 6,718 CAD, plus fixed daily cost of 3,200 CAD, plus variable cost of 1222 CAD per flight hour across 10.44 hours, which is 12,756 CAD. The total is 22,674 CAD.</w:t>
      </w:r>
    </w:p>
    <w:p>
      <w:pPr>
        <w:spacing w:after="120" w:before="60" w:line="276"/>
        <w:jc w:val="left"/>
      </w:pPr>
      <w:r>
        <w:rPr>
          <w:rFonts w:ascii="Calibri" w:cs="Calibri" w:eastAsia="Calibri" w:hAnsi="Calibri"/>
          <w:b w:val="false"/>
          <w:bCs w:val="false"/>
          <w:i w:val="false"/>
          <w:iCs w:val="false"/>
          <w:color w:val="3A2E28"/>
          <w:sz w:val="20"/>
          <w:szCs w:val="20"/>
        </w:rPr>
        <w:t xml:space="preserve">Daily treated area is 3.90 sorties times 206 m2, which is 806 m2. Cost per square metre is the quotient, 28.14 CAD, and cost per hectare is 281,434 CAD.</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D: Design Basis and Inherited Corrections</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is version 1.0 of a new variant and therefore has no correction register of its own. It inherits the nineteen corrections of record published across Contra Favillas Aerial v1.5 Section 20 and v1.6 Section 26, and this appendix states which of them govern this installation.</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1000"/>
        <w:gridCol w:w="3200"/>
        <w:gridCol w:w="5180"/>
      </w:tblGrid>
      <w:tr>
        <w:trPr>
          <w:tblHeader/>
        </w:trPr>
        <w:tc>
          <w:tcPr>
            <w:tcW w:type="dxa" w:w="1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Item</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Correction as published</w:t>
            </w:r>
          </w:p>
        </w:tc>
        <w:tc>
          <w:tcPr>
            <w:tcW w:type="dxa" w:w="5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Application to this installation</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Drivetrain losses omitted from the power chain</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The generator chain of 0.9125 is stated explicitly in Table 8 and carried in every power figure</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C-5</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footprint stated inconsistently between sections</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The spot area of 0.0531 m2 is used identically in Sections 12, 14 and 20</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C-6</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Adjacent belt widths summed incorrectly</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Four sectors of 3.50 m with 40 mm overlap give 14.0 m, stated in Section 12.1</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C-7</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 inconsistent between sections</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800 V throughout, stated in Sections 7 and 8</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C-9</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Battery reserve stated on nameplate rather than usable energy</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The 6.0 kWh buffer is a transient device, not an endurance reserve, and Section 8.3 says so</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C-10</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integrated at constant mass</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Section 17 integrates with mass falling as fuel burns, which is also what makes duty scheduling work</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C-13</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Heavy vibration-sensitive items placed on a gimbal</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Sources sit in a fixed cabin rack; only optics and sensors move. Section 10.1</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C-14</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 rated without a stated wall-jet velocity</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Section 21 states 22.8 m/s and rates the risk Medium accordingly</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C-15</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Exclusion radius asserted without derivation</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Section 20 derives 1,200 m from the hazard analysis rather than asserting it</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C-16</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Pyrolysis threshold never checked against the surface energy balance</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and is the most consequential inheritance. Section 12.3 repeats the check for this installation rather than assuming it</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C-17</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Duty cycle presented as a source property</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in altered form. Duty here is limited by transmission margin rather than by cooling, and Section 5.3 states the scheduling law</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C-18</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count treated as a free payload choice</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Section 11.1 and Section 17.2 state the optimum and the mechanism that produces it</w:t>
            </w:r>
          </w:p>
        </w:tc>
      </w:tr>
      <w:tr>
        <w:trPr>
          <w:tblHeader w:val="false"/>
        </w:trPr>
        <w:tc>
          <w:tcPr>
            <w:tcW w:type="dxa" w:w="1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C-19</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per hectare never compared with conventional practice</w:t>
            </w:r>
          </w:p>
        </w:tc>
        <w:tc>
          <w:tcPr>
            <w:tcW w:type="dxa" w:w="5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Applies. Section 25.3 makes the comparison and states the unfavourable result plainly</w:t>
            </w:r>
          </w:p>
        </w:tc>
      </w:tr>
    </w:tbl>
    <w:p>
      <w:pPr>
        <w:spacing w:after="200" w:before="60"/>
      </w:pPr>
      <w:r>
        <w:rPr>
          <w:rFonts w:ascii="Calibri" w:cs="Calibri" w:eastAsia="Calibri" w:hAnsi="Calibri"/>
          <w:i/>
          <w:iCs/>
          <w:color w:val="6B5A4E"/>
          <w:sz w:val="17"/>
          <w:szCs w:val="17"/>
        </w:rPr>
        <w:t xml:space="preserve">Table 41: Inherited corrections and their application. Thirteen of the nineteen govern this installation directly. The remaining six concern the E6 powerplant and rotor system specifically and have no analogue here.</w:t>
      </w:r>
    </w:p>
    <w:p>
      <w:pPr>
        <w:spacing w:after="120" w:before="60" w:line="276"/>
        <w:jc w:val="left"/>
      </w:pPr>
      <w:r>
        <w:rPr>
          <w:rFonts w:ascii="Calibri" w:cs="Calibri" w:eastAsia="Calibri" w:hAnsi="Calibri"/>
          <w:b w:val="false"/>
          <w:bCs w:val="false"/>
          <w:i w:val="false"/>
          <w:iCs w:val="false"/>
          <w:color w:val="3A2E28"/>
          <w:sz w:val="20"/>
          <w:szCs w:val="20"/>
        </w:rPr>
        <w:t xml:space="preserve">Two design practices are also inherited rather than re-derived. Every throughput figure in this document is conditional on a coupling efficiency that has never been measured, and Section 28 places that measurement first for exactly that reason. And every assumption that carries significant mass, power or cost is stated with a gate in the test programme rather than asserted, which is the practice Aerial v1.6 Section 21 established.</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E: Certification Compliance Document Register</w:t>
      </w:r>
    </w:p>
    <w:p>
      <w:pPr>
        <w:spacing w:after="120" w:before="60" w:line="276"/>
        <w:jc w:val="left"/>
      </w:pPr>
      <w:r>
        <w:rPr>
          <w:rFonts w:ascii="Calibri" w:cs="Calibri" w:eastAsia="Calibri" w:hAnsi="Calibri"/>
          <w:b w:val="false"/>
          <w:bCs w:val="false"/>
          <w:i w:val="false"/>
          <w:iCs w:val="false"/>
          <w:color w:val="3A2E28"/>
          <w:sz w:val="20"/>
          <w:szCs w:val="20"/>
        </w:rPr>
        <w:t xml:space="preserve">Every document the certification sequence of Section 27 requires, the stage that produces it, and the source material inside this specification that supplies its technical content.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000"/>
        <w:gridCol w:w="900"/>
        <w:gridCol w:w="1700"/>
        <w:gridCol w:w="4580"/>
      </w:tblGrid>
      <w:tr>
        <w:trPr>
          <w:tblHeader/>
        </w:trPr>
        <w:tc>
          <w:tcPr>
            <w:tcW w:type="dxa" w:w="3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Document</w:t>
            </w:r>
          </w:p>
        </w:tc>
        <w:tc>
          <w:tcPr>
            <w:tcW w:type="dxa" w:w="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Stage</w:t>
            </w:r>
          </w:p>
        </w:tc>
        <w:tc>
          <w:tcPr>
            <w:tcW w:type="dxa" w:w="1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Receiving party</w:t>
            </w:r>
          </w:p>
        </w:tc>
        <w:tc>
          <w:tcPr>
            <w:tcW w:type="dxa" w:w="4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Technical source in this specification</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Certification plan and compliance checklist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S-1</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1, 2, 27; the changed and affected areas list</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 take-off design substantiation</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S-2</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 Bell</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7.2, 22; gearbox loads model</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stress and fatigue analysis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S-2</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 Bell</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5; extraction torque spectrum from Section 14.2</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Transmission test stand plan and report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S-3</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28 Phase 3; seizure demonstration</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Structural substantiation, cabin rack</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S-4</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10.2; 16 g emergency landing condition</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Structural substantiation, belly pod</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S-4</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10.3; hardpoint loads and jettison</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Flutter and aeroelastic assessment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S-4</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10.3; pod fairing geometry</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load analysis and isolation compliance</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7.3, 8.1, 8.2</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Arc fault and high voltage protection report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8.2; Table 9</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Load shed demonstration report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5.3, 8.2, 22</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hazard analysis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S-6</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 province</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20; Tables 24 and 25</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safety programme and controlled area plan</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S-6</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Province</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20.2; the 1,200 m radius and its terrain relief</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product classification file, IEC 60825-1</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S-7</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Health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Bill of materials; vendor classification evidence</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Systems safety assessment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S-9</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22 Table 27; the four abort paths of Section 19.1</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Software and complex hardware plans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S-9</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16.1; the three-tier split</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and flight test plan</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S-8</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28 Phases 3b, 4 and 5</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Flight test report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S-8</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Hover performance against Section 4 prediction</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Rotorcraft flight manual supplement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S-10</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17, 18, 19, 20; the exclusion radius is an operating limitation</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Instructions for continued airworthiness</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S-10</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Sections 9, 23; inspection and overhaul intervals</w:t>
            </w:r>
          </w:p>
        </w:tc>
      </w:tr>
      <w:tr>
        <w:trPr>
          <w:tblHeader w:val="false"/>
        </w:trPr>
        <w:tc>
          <w:tcPr>
            <w:tcW w:type="dxa" w:w="3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Weight and balance supplement</w:t>
            </w:r>
          </w:p>
        </w:tc>
        <w:tc>
          <w:tcPr>
            <w:tcW w:type="dxa" w:w="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S-10</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Transport Canada</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6; Table 6</w:t>
            </w:r>
          </w:p>
        </w:tc>
      </w:tr>
    </w:tbl>
    <w:p>
      <w:pPr>
        <w:spacing w:after="200" w:before="60"/>
      </w:pPr>
      <w:r>
        <w:rPr>
          <w:rFonts w:ascii="Calibri" w:cs="Calibri" w:eastAsia="Calibri" w:hAnsi="Calibri"/>
          <w:i/>
          <w:iCs/>
          <w:color w:val="6B5A4E"/>
          <w:sz w:val="17"/>
          <w:szCs w:val="17"/>
        </w:rPr>
        <w:t xml:space="preserve">Table 42: Certification compliance document register. Twenty documents, one primary authority and two secondary ones, against twenty documents across six authorities for the E6 pathway.</w:t>
      </w:r>
    </w:p>
    <w:p>
      <w:pPr>
        <w:spacing w:after="120" w:before="60" w:line="276"/>
        <w:jc w:val="left"/>
      </w:pPr>
      <w:r>
        <w:rPr>
          <w:rFonts w:ascii="Calibri" w:cs="Calibri" w:eastAsia="Calibri" w:hAnsi="Calibri"/>
          <w:b w:val="false"/>
          <w:bCs w:val="false"/>
          <w:i w:val="false"/>
          <w:iCs w:val="false"/>
          <w:color w:val="3A2E28"/>
          <w:sz w:val="20"/>
          <w:szCs w:val="20"/>
        </w:rPr>
        <w:t xml:space="preserve">The comparison with Aerial v1.6 Appendix F is the point of this table. The document count is the same. The authority count falls from six to three, and the aircraft operates under a commercial air operator certificate that already exists rather than under an operating certificate that must be created. That is the whole of the regulatory argument, expressed as a register.</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F: Family Comparison Data</w:t>
      </w:r>
    </w:p>
    <w:p>
      <w:pPr>
        <w:spacing w:after="120" w:before="60" w:line="276"/>
        <w:jc w:val="left"/>
      </w:pPr>
      <w:r>
        <w:rPr>
          <w:rFonts w:ascii="Calibri" w:cs="Calibri" w:eastAsia="Calibri" w:hAnsi="Calibri"/>
          <w:b w:val="false"/>
          <w:bCs w:val="false"/>
          <w:i w:val="false"/>
          <w:iCs w:val="false"/>
          <w:color w:val="3A2E28"/>
          <w:sz w:val="20"/>
          <w:szCs w:val="20"/>
        </w:rPr>
        <w:t xml:space="preserve">Consolidated data for the four Contra Favillas configurations, on a common basis, so that comparisons can be made without reconstructing them from four documents.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600"/>
        <w:gridCol w:w="1900"/>
        <w:gridCol w:w="1900"/>
        <w:gridCol w:w="1900"/>
        <w:gridCol w:w="1780"/>
      </w:tblGrid>
      <w:tr>
        <w:trPr>
          <w:tblHeader/>
        </w:trPr>
        <w:tc>
          <w:tcPr>
            <w:tcW w:type="dxa" w:w="2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Quantity</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Ground unit</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E6 free flight</w:t>
            </w:r>
          </w:p>
        </w:tc>
        <w:tc>
          <w:tcPr>
            <w:tcW w:type="dxa" w:w="1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E6 tethered</w:t>
            </w:r>
          </w:p>
        </w:tc>
        <w:tc>
          <w:tcPr>
            <w:tcW w:type="dxa" w:w="17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Bell 407</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Installed optical power</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 kW</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kW</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6.0 kW</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26 kW</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Duty cycle</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0.95</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0.988</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Coupling efficiency</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0.62</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Path transmission</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0.80</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Treated swath</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stated</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2.80 m</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 m</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Standoff</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contact</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 m</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 m</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Instantaneous irradiance</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113 kW/m2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113 kW/m2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113 kW/m2</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122 kW/m2</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Area rate</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38.7 m2/h</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12.6 m2/h</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30.5 m2/h</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104.5 m2/h</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Productive hours per day</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4.24</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20.0</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7.71</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Daily treated area</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348 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 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611 m2</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806 m2</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Gross weight</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stated</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2,381 kg</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2,381 kg</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2,369 kg</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Capital</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298,000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797,302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818,200</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8,397,283</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Variable cost per hour</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185</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608</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95</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1222</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Fixed cost per day</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950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1,150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950</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3,200</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per m2</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8.08</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55.78</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5.31</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28.14</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per hectare</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80,800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557,800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53,100</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281,434</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Exclusion radius</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 m</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1,200 m</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Nominal ocular hazard distance</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stated</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68 m</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68 m</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990 m</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Approval timeline</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months</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 months</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19 months</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24 months</w:t>
            </w:r>
          </w:p>
        </w:tc>
      </w:tr>
      <w:tr>
        <w:trPr>
          <w:tblHeader w:val="false"/>
        </w:trPr>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Approval cost</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not stated</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845,000</w:t>
            </w:r>
          </w:p>
        </w:tc>
        <w:tc>
          <w:tcPr>
            <w:tcW w:type="dxa" w:w="1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480,000</w:t>
            </w:r>
          </w:p>
        </w:tc>
        <w:tc>
          <w:tcPr>
            <w:tcW w:type="dxa" w:w="1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3,500,000</w:t>
            </w:r>
          </w:p>
        </w:tc>
      </w:tr>
    </w:tbl>
    <w:p>
      <w:pPr>
        <w:spacing w:after="200" w:before="60"/>
      </w:pPr>
      <w:r>
        <w:rPr>
          <w:rFonts w:ascii="Calibri" w:cs="Calibri" w:eastAsia="Calibri" w:hAnsi="Calibri"/>
          <w:i/>
          <w:iCs/>
          <w:color w:val="6B5A4E"/>
          <w:sz w:val="17"/>
          <w:szCs w:val="17"/>
        </w:rPr>
        <w:t xml:space="preserve">Table 43: Consolidated family comparison. The ground unit and tethered configurations are the cheapest per hectare and the most constrained in where they work. The Bell variant is the only configuration producing a fuel break of usable width in a single pass.</w:t>
      </w:r>
    </w:p>
    <w:p>
      <w:pPr>
        <w:spacing w:after="120" w:before="60" w:line="276"/>
        <w:jc w:val="left"/>
      </w:pPr>
      <w:r>
        <w:rPr>
          <w:rFonts w:ascii="Calibri" w:cs="Calibri" w:eastAsia="Calibri" w:hAnsi="Calibri"/>
          <w:b w:val="false"/>
          <w:bCs w:val="false"/>
          <w:i w:val="false"/>
          <w:iCs w:val="false"/>
          <w:color w:val="3A2E28"/>
          <w:sz w:val="20"/>
          <w:szCs w:val="20"/>
        </w:rPr>
        <w:t xml:space="preserve">One column in this table is not directly comparable and the note belongs here rather than in a footnote. The Bell variant is the only configuration carrying a path transmission term below unity, because it is the only one working at a standoff where atmospheric attenuation matters. Applying a 0.80 transmission to the other three is not correct: their standoffs are short enough that the term genuinely is unity.</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is complete as issued. It contains 30 sections in five parts, 6 appendices, 43 tables and 6 figures. It establishes a new variant at version 1.0, inherits the nineteen corrections of record published in Contra Favillas Aerial v1.5 and v1.6, and records three questions as open rather than answered.</w:t>
      </w:r>
    </w:p>
    <w:sectPr>
      <w:headerReference w:type="default" r:id="rId7"/>
      <w:footerReference w:type="default" r:id="rId8"/>
      <w:pgSz w:w="12240" w:h="15840"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7A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C0" w:sz="4" w:space="4"/>
      </w:pBdr>
      <w:spacing w:after="60"/>
      <w:jc w:val="right"/>
    </w:pPr>
    <w:r>
      <w:rPr>
        <w:rFonts w:ascii="Calibri" w:cs="Calibri" w:eastAsia="Calibri" w:hAnsi="Calibri"/>
        <w:color w:val="8C7A6B"/>
        <w:sz w:val="16"/>
        <w:szCs w:val="16"/>
      </w:rPr>
      <w:t xml:space="preserve">Contra Favillas Bell Variant  |  Engineering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beb9408e3c0ee23ab09763da2ee631af246f5f.png"/><Relationship Id="rId10" Type="http://schemas.openxmlformats.org/officeDocument/2006/relationships/image" Target="media/0a1bcc190e059cf86ef190e2fa0ba8344ecbd88b.png"/><Relationship Id="rId11" Type="http://schemas.openxmlformats.org/officeDocument/2006/relationships/image" Target="media/a8fa027e5c5e5fa286a0efd6a0aa7d3bb7172352.png"/><Relationship Id="rId12" Type="http://schemas.openxmlformats.org/officeDocument/2006/relationships/image" Target="media/a67bbea59534ae0a00ec5d865b8c7c9faff8faf7.png"/><Relationship Id="rId13" Type="http://schemas.openxmlformats.org/officeDocument/2006/relationships/image" Target="media/c8129c8a61bdaf6bade9249c2276c0ff3069da57.png"/><Relationship Id="rId14" Type="http://schemas.openxmlformats.org/officeDocument/2006/relationships/image" Target="media/5718fedd5d033fbe7fe5fdf4e2e36e28418910c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 Favillas Bell Variant v1.0 Engineering Design Specification</dc:title>
  <dc:creator>Contra Favillas Program</dc:creator>
  <dc:description>Rotorcraft laser carbonization system, Bell 407GXi installation, version 1.0</dc:description>
  <cp:lastModifiedBy>Un-named</cp:lastModifiedBy>
  <cp:revision>1</cp:revision>
  <dcterms:created xsi:type="dcterms:W3CDTF">2026-08-02T03:56:18.736Z</dcterms:created>
  <dcterms:modified xsi:type="dcterms:W3CDTF">2026-08-02T03:56:18.736Z</dcterms:modified>
</cp:coreProperties>
</file>

<file path=docProps/custom.xml><?xml version="1.0" encoding="utf-8"?>
<Properties xmlns="http://schemas.openxmlformats.org/officeDocument/2006/custom-properties" xmlns:vt="http://schemas.openxmlformats.org/officeDocument/2006/docPropsVTypes"/>
</file>