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0b806710a0494bcd" /></Relationships>
</file>

<file path=word/document.xml><?xml version="1.0" encoding="utf-8"?>
<w:document xmlns:r="http://schemas.openxmlformats.org/officeDocument/2006/relationships" xmlns:w="http://schemas.openxmlformats.org/wordprocessingml/2006/main">
  <w:body>
    <w:p>
      <w:pPr>
        <w:spacing w:before="2600" w:after="0" w:line="288" w:lineRule="auto"/>
        <w:jc w:val="center"/>
      </w:pPr>
      <w:r>
        <w:rPr>
          <w:color w:val="1A202C"/>
          <w:spacing w:val="0"/>
          <w:sz w:val="22"/>
        </w:rPr>
        <w:t xml:space="preserve"/>
      </w:r>
    </w:p>
    <w:p>
      <w:pPr>
        <w:spacing w:before="0" w:after="500" w:line="288" w:lineRule="auto"/>
        <w:jc w:val="center"/>
      </w:pPr>
      <w:r>
        <w:rPr>
          <w:color w:val="8B7355"/>
          <w:spacing w:val="60"/>
          <w:sz w:val="20"/>
        </w:rPr>
        <w:t xml:space="preserve">ECONOMIC DEEP DIVE</w:t>
      </w:r>
    </w:p>
    <w:p>
      <w:pPr>
        <w:spacing w:before="0" w:after="0" w:line="288" w:lineRule="auto"/>
        <w:jc w:val="center"/>
      </w:pPr>
      <w:r>
        <w:rPr>
          <w:b/>
          <w:color w:val="1A2744"/>
          <w:spacing w:val="30"/>
          <w:sz w:val="64"/>
        </w:rPr>
        <w:t xml:space="preserve">THE AURORA ARROW</w:t>
      </w:r>
    </w:p>
    <w:p>
      <w:pPr>
        <w:spacing w:before="0" w:after="600" w:line="288" w:lineRule="auto"/>
        <w:jc w:val="center"/>
      </w:pPr>
      <w:r>
        <w:rPr>
          <w:b/>
          <w:color w:val="1A2744"/>
          <w:spacing w:val="30"/>
          <w:sz w:val="64"/>
        </w:rPr>
        <w:t xml:space="preserve">ECONOMIC OUTLOOK</w:t>
      </w:r>
    </w:p>
    <w:p>
      <w:pPr>
        <w:spacing w:before="0" w:after="0" w:line="288" w:lineRule="auto"/>
        <w:jc w:val="center"/>
      </w:pPr>
      <w:r>
        <w:rPr>
          <w:color w:val="4A5568"/>
          <w:spacing w:val="0"/>
          <w:sz w:val="24"/>
        </w:rPr>
        <w:t xml:space="preserve">A Comprehensive Analysis of Jobs, Growth, Funding Pathways,</w:t>
      </w:r>
    </w:p>
    <w:p>
      <w:pPr>
        <w:spacing w:before="0" w:after="500" w:line="288" w:lineRule="auto"/>
        <w:jc w:val="center"/>
      </w:pPr>
      <w:r>
        <w:rPr>
          <w:color w:val="4A5568"/>
          <w:spacing w:val="0"/>
          <w:sz w:val="24"/>
        </w:rPr>
        <w:t xml:space="preserve">and Industrial Sovereignty</w:t>
      </w:r>
    </w:p>
    <w:p>
      <w:pPr>
        <w:spacing w:before="0" w:after="800" w:line="288" w:lineRule="auto"/>
        <w:jc w:val="center"/>
      </w:pPr>
      <w:r>
        <w:rPr>
          <w:color w:val="8B7355"/>
          <w:spacing w:val="0"/>
          <w:sz w:val="22"/>
        </w:rPr>
        <w:t xml:space="preserve">---  ---  ---</w:t>
      </w:r>
    </w:p>
    <w:tbl>
      <w:tblPr>
        <w:tblW w:w="4200" w:type="pct"/>
        <w:jc w:val="center"/>
        <w:tblBorders>
          <w:top w:val="nil"/>
          <w:left w:val="nil"/>
          <w:bottom w:val="nil"/>
          <w:right w:val="nil"/>
          <w:insideH w:val="single" w:color="C8C4BC" w:sz="4"/>
          <w:insideV w:val="nil"/>
        </w:tblBorders>
      </w:tblPr>
      <w:tblGrid>
        <w:gridCol w:w="4513"/>
        <w:gridCol w:w="4513"/>
      </w:tblGrid>
      <w:tr>
        <w:tc>
          <w:tcPr>
            <w:tcW w:w="4513" w:type="dxa"/>
          </w:tcPr>
          <w:p>
            <w:pPr>
              <w:spacing w:before="30" w:after="30" w:line="240" w:lineRule="auto"/>
              <w:jc w:val="right"/>
            </w:pPr>
            <w:r>
              <w:rPr>
                <w:b/>
                <w:color w:val="4A5568"/>
                <w:sz w:val="20"/>
              </w:rPr>
              <w:t xml:space="preserve">Document No.: </w:t>
            </w:r>
          </w:p>
        </w:tc>
        <w:tc>
          <w:tcPr>
            <w:tcW w:w="4513" w:type="dxa"/>
          </w:tcPr>
          <w:p>
            <w:pPr>
              <w:spacing w:before="30" w:after="30" w:line="240" w:lineRule="auto"/>
              <w:jc w:val="left"/>
            </w:pPr>
            <w:r>
              <w:rPr>
                <w:color w:val="4A5568"/>
                <w:sz w:val="20"/>
              </w:rPr>
              <w:t xml:space="preserve">ECD-AURORA-2026-001</w:t>
            </w:r>
          </w:p>
        </w:tc>
      </w:tr>
      <w:tr>
        <w:tc>
          <w:tcPr>
            <w:tcW w:w="4513" w:type="dxa"/>
          </w:tcPr>
          <w:p>
            <w:pPr>
              <w:spacing w:before="30" w:after="30" w:line="240" w:lineRule="auto"/>
              <w:jc w:val="right"/>
            </w:pPr>
            <w:r>
              <w:rPr>
                <w:b/>
                <w:color w:val="4A5568"/>
                <w:sz w:val="20"/>
              </w:rPr>
              <w:t xml:space="preserve">Version: </w:t>
            </w:r>
          </w:p>
        </w:tc>
        <w:tc>
          <w:tcPr>
            <w:tcW w:w="4513" w:type="dxa"/>
          </w:tcPr>
          <w:p>
            <w:pPr>
              <w:spacing w:before="30" w:after="30" w:line="240" w:lineRule="auto"/>
              <w:jc w:val="left"/>
            </w:pPr>
            <w:r>
              <w:rPr>
                <w:color w:val="4A5568"/>
                <w:sz w:val="20"/>
              </w:rPr>
              <w:t xml:space="preserve">Final v1.2</w:t>
            </w:r>
          </w:p>
        </w:tc>
      </w:tr>
      <w:tr>
        <w:tc>
          <w:tcPr>
            <w:tcW w:w="4513" w:type="dxa"/>
          </w:tcPr>
          <w:p>
            <w:pPr>
              <w:spacing w:before="30" w:after="30" w:line="240" w:lineRule="auto"/>
              <w:jc w:val="right"/>
            </w:pPr>
            <w:r>
              <w:rPr>
                <w:b/>
                <w:color w:val="4A5568"/>
                <w:sz w:val="20"/>
              </w:rPr>
              <w:t xml:space="preserve">Date: </w:t>
            </w:r>
          </w:p>
        </w:tc>
        <w:tc>
          <w:tcPr>
            <w:tcW w:w="4513" w:type="dxa"/>
          </w:tcPr>
          <w:p>
            <w:pPr>
              <w:spacing w:before="30" w:after="30" w:line="240" w:lineRule="auto"/>
              <w:jc w:val="left"/>
            </w:pPr>
            <w:r>
              <w:rPr>
                <w:color w:val="4A5568"/>
                <w:sz w:val="20"/>
              </w:rPr>
              <w:t xml:space="preserve">August 2026</w:t>
            </w:r>
          </w:p>
        </w:tc>
      </w:tr>
      <w:tr>
        <w:tc>
          <w:tcPr>
            <w:tcW w:w="4513" w:type="dxa"/>
          </w:tcPr>
          <w:p>
            <w:pPr>
              <w:spacing w:before="30" w:after="30" w:line="240" w:lineRule="auto"/>
              <w:jc w:val="right"/>
            </w:pPr>
            <w:r>
              <w:rPr>
                <w:b/>
                <w:color w:val="4A5568"/>
                <w:sz w:val="20"/>
              </w:rPr>
              <w:t xml:space="preserve">Prepared for: </w:t>
            </w:r>
          </w:p>
        </w:tc>
        <w:tc>
          <w:tcPr>
            <w:tcW w:w="4513" w:type="dxa"/>
          </w:tcPr>
          <w:p>
            <w:pPr>
              <w:spacing w:before="30" w:after="30" w:line="240" w:lineRule="auto"/>
              <w:jc w:val="left"/>
            </w:pPr>
            <w:r>
              <w:rPr>
                <w:color w:val="4A5568"/>
                <w:sz w:val="20"/>
              </w:rPr>
              <w:t xml:space="preserve">Canadian UCAS Program Office / DND</w:t>
            </w:r>
          </w:p>
        </w:tc>
      </w:tr>
      <w:tr>
        <w:tc>
          <w:tcPr>
            <w:tcW w:w="4513" w:type="dxa"/>
          </w:tcPr>
          <w:p>
            <w:pPr>
              <w:spacing w:before="30" w:after="30" w:line="240" w:lineRule="auto"/>
              <w:jc w:val="right"/>
            </w:pPr>
            <w:r>
              <w:rPr>
                <w:b/>
                <w:color w:val="4A5568"/>
                <w:sz w:val="20"/>
              </w:rPr>
              <w:t xml:space="preserve">Technical baseline: </w:t>
            </w:r>
          </w:p>
        </w:tc>
        <w:tc>
          <w:tcPr>
            <w:tcW w:w="4513" w:type="dxa"/>
          </w:tcPr>
          <w:p>
            <w:pPr>
              <w:spacing w:before="30" w:after="30" w:line="240" w:lineRule="auto"/>
              <w:jc w:val="left"/>
            </w:pPr>
            <w:r>
              <w:rPr>
                <w:color w:val="4A5568"/>
                <w:sz w:val="20"/>
              </w:rPr>
              <w:t xml:space="preserve">AA-TS-2025-V2.5 (Rev 2.5.15)</w:t>
            </w:r>
          </w:p>
        </w:tc>
      </w:tr>
      <w:tr>
        <w:tc>
          <w:tcPr>
            <w:tcW w:w="4513" w:type="dxa"/>
          </w:tcPr>
          <w:p>
            <w:pPr>
              <w:spacing w:before="30" w:after="30" w:line="240" w:lineRule="auto"/>
              <w:jc w:val="right"/>
            </w:pPr>
            <w:r>
              <w:rPr>
                <w:b/>
                <w:color w:val="4A5568"/>
                <w:sz w:val="20"/>
              </w:rPr>
              <w:t xml:space="preserve">Marking: </w:t>
            </w:r>
          </w:p>
        </w:tc>
        <w:tc>
          <w:tcPr>
            <w:tcW w:w="4513" w:type="dxa"/>
          </w:tcPr>
          <w:p>
            <w:pPr>
              <w:spacing w:before="30" w:after="30" w:line="240" w:lineRule="auto"/>
              <w:jc w:val="left"/>
            </w:pPr>
            <w:r>
              <w:rPr>
                <w:color w:val="4A5568"/>
                <w:sz w:val="20"/>
              </w:rPr>
              <w:t xml:space="preserve">CONCEPTUAL PROGRAM ANALYSIS // UNCLASSIFIED</w:t>
            </w:r>
          </w:p>
        </w:tc>
      </w:tr>
    </w:tbl>
    <w:p>
      <w:pPr>
        <w:spacing w:before="1100" w:after="0" w:line="288" w:lineRule="auto"/>
        <w:jc w:val="center"/>
      </w:pPr>
      <w:r>
        <w:rPr>
          <w:color w:val="1A202C"/>
          <w:spacing w:val="0"/>
          <w:sz w:val="22"/>
        </w:rPr>
        <w:t xml:space="preserve"/>
      </w:r>
    </w:p>
    <w:p>
      <w:pPr>
        <w:spacing w:before="0" w:after="0" w:line="288" w:lineRule="auto"/>
        <w:jc w:val="center"/>
      </w:pPr>
      <w:r>
        <w:rPr>
          <w:color w:val="718096"/>
          <w:spacing w:val="0"/>
          <w:sz w:val="18"/>
        </w:rPr>
        <w:t xml:space="preserve">The Aurora Arrow exists as a conceptual design study. Every program figure in this document</w:t>
      </w:r>
    </w:p>
    <w:p>
      <w:pPr>
        <w:spacing w:before="0" w:after="0" w:line="288" w:lineRule="auto"/>
        <w:jc w:val="center"/>
      </w:pPr>
      <w:r>
        <w:rPr>
          <w:color w:val="718096"/>
          <w:spacing w:val="0"/>
          <w:sz w:val="18"/>
        </w:rPr>
        <w:t xml:space="preserve">derives from the stated technical baseline, from published Government of Canada economic data,</w:t>
      </w:r>
    </w:p>
    <w:p>
      <w:pPr>
        <w:spacing w:before="0" w:after="0" w:line="288" w:lineRule="auto"/>
        <w:jc w:val="center"/>
      </w:pPr>
      <w:r>
        <w:rPr>
          <w:color w:val="718096"/>
          <w:spacing w:val="0"/>
          <w:sz w:val="18"/>
        </w:rPr>
        <w:t xml:space="preserve">or from the cited industry sources listed in Appendix G.</w:t>
      </w:r>
    </w:p>
    <w:p>
      <w:pPr>
        <w:sectPr>
          <w:type w:val="nextPage"/>
          <w:pgSz w:w="11906" w:h="16838"/>
          <w:pgMar w:top="1440" w:right="1440" w:bottom="1440" w:left="1440" w:header="720" w:footer="720"/>
          <w:pgBorders>
            <w:top w:val="single" w:color="1A2744" w:sz="18" w:space="28"/>
            <w:left w:val="single" w:color="1A2744" w:sz="18" w:space="28"/>
            <w:bottom w:val="single" w:color="1A2744" w:sz="18" w:space="28"/>
            <w:right w:val="single" w:color="1A2744" w:sz="18" w:space="28"/>
          </w:pgBorders>
          <w:titlePg/>
        </w:sectPr>
      </w:pPr>
    </w:p>
    <w:p>
      <w:pPr>
        <w:pStyle w:val="Heading1"/>
        <w:spacing w:before="0" w:after="60"/>
      </w:pPr>
      <w:r>
        <w:t>Table of Contents</w:t>
      </w:r>
    </w:p>
    <w:p>
      <w:pPr>
        <w:pStyle w:val="Caption"/>
        <w:spacing w:before="0" w:after="100"/>
      </w:pPr>
      <w:r>
        <w:t>Right-click the TOC and select Update Field to refresh page numbers.</w:t>
      </w:r>
    </w:p>
    <w:p>
      <w:r>
        <w:fldChar w:fldCharType="begin"/>
      </w:r>
      <w:r>
        <w:instrText xml:space="preserve"> TOC \o "1-2" \h \z \u </w:instrText>
      </w:r>
      <w:r>
        <w:fldChar w:fldCharType="separate"/>
      </w:r>
    </w:p>
    <w:p>
      <w:pPr>
        <w:pStyle w:val="TOC1"/>
      </w:pPr>
      <w:r>
        <w:t>EXECUTIVE SUMMARY</w:t>
      </w:r>
      <w:r>
        <w:tab/>
      </w:r>
      <w:r>
        <w:t>3</w:t>
      </w:r>
    </w:p>
    <w:p>
      <w:pPr>
        <w:pStyle w:val="TOC1"/>
      </w:pPr>
      <w:r>
        <w:t>PART I: INTRODUCTION AND METHODOLOGY</w:t>
      </w:r>
      <w:r>
        <w:tab/>
      </w:r>
      <w:r>
        <w:t>5</w:t>
      </w:r>
    </w:p>
    <w:p>
      <w:pPr>
        <w:pStyle w:val="TOC2"/>
      </w:pPr>
      <w:r>
        <w:t>1.1 Purpose and Scope</w:t>
      </w:r>
      <w:r>
        <w:tab/>
      </w:r>
      <w:r>
        <w:t>5</w:t>
      </w:r>
    </w:p>
    <w:p>
      <w:pPr>
        <w:pStyle w:val="TOC2"/>
      </w:pPr>
      <w:r>
        <w:t>1.2 Analytical Framework</w:t>
      </w:r>
      <w:r>
        <w:tab/>
      </w:r>
      <w:r>
        <w:t>5</w:t>
      </w:r>
    </w:p>
    <w:p>
      <w:pPr>
        <w:pStyle w:val="TOC2"/>
      </w:pPr>
      <w:r>
        <w:t>1.3 Data Sources</w:t>
      </w:r>
      <w:r>
        <w:tab/>
      </w:r>
      <w:r>
        <w:t>6</w:t>
      </w:r>
    </w:p>
    <w:p>
      <w:pPr>
        <w:pStyle w:val="TOC1"/>
      </w:pPr>
      <w:r>
        <w:t>PART II: THE AURORA ARROW PROGRAM BASELINE</w:t>
      </w:r>
      <w:r>
        <w:tab/>
      </w:r>
      <w:r>
        <w:t>7</w:t>
      </w:r>
    </w:p>
    <w:p>
      <w:pPr>
        <w:pStyle w:val="TOC2"/>
      </w:pPr>
      <w:r>
        <w:t>2.1 The Aircraft and Its Mission</w:t>
      </w:r>
      <w:r>
        <w:tab/>
      </w:r>
      <w:r>
        <w:t>7</w:t>
      </w:r>
    </w:p>
    <w:p>
      <w:pPr>
        <w:pStyle w:val="TOC2"/>
      </w:pPr>
      <w:r>
        <w:t>2.2 Program Cost Baseline</w:t>
      </w:r>
      <w:r>
        <w:tab/>
      </w:r>
      <w:r>
        <w:t>8</w:t>
      </w:r>
    </w:p>
    <w:p>
      <w:pPr>
        <w:pStyle w:val="TOC2"/>
      </w:pPr>
      <w:r>
        <w:t>2.3 The Avro Arrow Parallel</w:t>
      </w:r>
      <w:r>
        <w:tab/>
      </w:r>
      <w:r>
        <w:t>9</w:t>
      </w:r>
    </w:p>
    <w:p>
      <w:pPr>
        <w:pStyle w:val="TOC1"/>
      </w:pPr>
      <w:r>
        <w:t>PART III: BUILDING THE AURORA ARROW IN CANADA</w:t>
      </w:r>
      <w:r>
        <w:tab/>
      </w:r>
      <w:r>
        <w:t>10</w:t>
      </w:r>
    </w:p>
    <w:p>
      <w:pPr>
        <w:pStyle w:val="TOC2"/>
      </w:pPr>
      <w:r>
        <w:t>3.1 The Industrial Foundation</w:t>
      </w:r>
      <w:r>
        <w:tab/>
      </w:r>
      <w:r>
        <w:t>10</w:t>
      </w:r>
    </w:p>
    <w:p>
      <w:pPr>
        <w:pStyle w:val="TOC2"/>
      </w:pPr>
      <w:r>
        <w:t>3.2 The Build Pathway</w:t>
      </w:r>
      <w:r>
        <w:tab/>
      </w:r>
      <w:r>
        <w:t>11</w:t>
      </w:r>
    </w:p>
    <w:p>
      <w:pPr>
        <w:pStyle w:val="TOC2"/>
      </w:pPr>
      <w:r>
        <w:t>3.3 Capability Gap Closure</w:t>
      </w:r>
      <w:r>
        <w:tab/>
      </w:r>
      <w:r>
        <w:t>12</w:t>
      </w:r>
    </w:p>
    <w:p>
      <w:pPr>
        <w:pStyle w:val="TOC2"/>
      </w:pPr>
      <w:r>
        <w:t>3.4 Development Phase Plan</w:t>
      </w:r>
      <w:r>
        <w:tab/>
      </w:r>
      <w:r>
        <w:t>13</w:t>
      </w:r>
    </w:p>
    <w:p>
      <w:pPr>
        <w:pStyle w:val="TOC1"/>
      </w:pPr>
      <w:r>
        <w:t>PART IV: FUNDING PATHWAYS</w:t>
      </w:r>
      <w:r>
        <w:tab/>
      </w:r>
      <w:r>
        <w:t>14</w:t>
      </w:r>
    </w:p>
    <w:p>
      <w:pPr>
        <w:pStyle w:val="TOC2"/>
      </w:pPr>
      <w:r>
        <w:t>4.1 The Fiscal Context</w:t>
      </w:r>
      <w:r>
        <w:tab/>
      </w:r>
      <w:r>
        <w:t>14</w:t>
      </w:r>
    </w:p>
    <w:p>
      <w:pPr>
        <w:pStyle w:val="TOC2"/>
      </w:pPr>
      <w:r>
        <w:t>4.2 Funding Sources</w:t>
      </w:r>
      <w:r>
        <w:tab/>
      </w:r>
      <w:r>
        <w:t>15</w:t>
      </w:r>
    </w:p>
    <w:p>
      <w:pPr>
        <w:pStyle w:val="TOC2"/>
      </w:pPr>
      <w:r>
        <w:t>4.3 Annual Funding Profile</w:t>
      </w:r>
      <w:r>
        <w:tab/>
      </w:r>
      <w:r>
        <w:t>16</w:t>
      </w:r>
    </w:p>
    <w:p>
      <w:pPr>
        <w:pStyle w:val="TOC2"/>
      </w:pPr>
      <w:r>
        <w:t>4.4 International Cost-Sharing</w:t>
      </w:r>
      <w:r>
        <w:tab/>
      </w:r>
      <w:r>
        <w:t>17</w:t>
      </w:r>
    </w:p>
    <w:p>
      <w:pPr>
        <w:pStyle w:val="TOC1"/>
      </w:pPr>
      <w:r>
        <w:t>PART V: DIRECT JOB CREATION BY PROVINCE</w:t>
      </w:r>
      <w:r>
        <w:tab/>
      </w:r>
      <w:r>
        <w:t>18</w:t>
      </w:r>
    </w:p>
    <w:p>
      <w:pPr>
        <w:pStyle w:val="TOC2"/>
      </w:pPr>
      <w:r>
        <w:t>5.1 Quebec</w:t>
      </w:r>
      <w:r>
        <w:tab/>
      </w:r>
      <w:r>
        <w:t>18</w:t>
      </w:r>
    </w:p>
    <w:p>
      <w:pPr>
        <w:pStyle w:val="TOC2"/>
      </w:pPr>
      <w:r>
        <w:t>5.2 Ontario</w:t>
      </w:r>
      <w:r>
        <w:tab/>
      </w:r>
      <w:r>
        <w:t>19</w:t>
      </w:r>
    </w:p>
    <w:p>
      <w:pPr>
        <w:pStyle w:val="TOC2"/>
      </w:pPr>
      <w:r>
        <w:t>5.3 Western Canada</w:t>
      </w:r>
      <w:r>
        <w:tab/>
      </w:r>
      <w:r>
        <w:t>20</w:t>
      </w:r>
    </w:p>
    <w:p>
      <w:pPr>
        <w:pStyle w:val="TOC2"/>
      </w:pPr>
      <w:r>
        <w:t>5.4 Atlantic Canada</w:t>
      </w:r>
      <w:r>
        <w:tab/>
      </w:r>
      <w:r>
        <w:t>20</w:t>
      </w:r>
    </w:p>
    <w:p>
      <w:pPr>
        <w:pStyle w:val="TOC2"/>
      </w:pPr>
      <w:r>
        <w:t>5.5 National Summary</w:t>
      </w:r>
      <w:r>
        <w:tab/>
      </w:r>
      <w:r>
        <w:t>21</w:t>
      </w:r>
    </w:p>
    <w:p>
      <w:pPr>
        <w:pStyle w:val="TOC1"/>
      </w:pPr>
      <w:r>
        <w:t>PART VI: GDP CONTRIBUTION AND GROWTH</w:t>
      </w:r>
      <w:r>
        <w:tab/>
      </w:r>
      <w:r>
        <w:t>22</w:t>
      </w:r>
    </w:p>
    <w:p>
      <w:pPr>
        <w:pStyle w:val="TOC2"/>
      </w:pPr>
      <w:r>
        <w:t>6.1 Total Program Spending</w:t>
      </w:r>
      <w:r>
        <w:tab/>
      </w:r>
      <w:r>
        <w:t>22</w:t>
      </w:r>
    </w:p>
    <w:p>
      <w:pPr>
        <w:pStyle w:val="TOC2"/>
      </w:pPr>
      <w:r>
        <w:t>6.2 GDP Impact</w:t>
      </w:r>
      <w:r>
        <w:tab/>
      </w:r>
      <w:r>
        <w:t>22</w:t>
      </w:r>
    </w:p>
    <w:p>
      <w:pPr>
        <w:pStyle w:val="TOC2"/>
      </w:pPr>
      <w:r>
        <w:t>6.3 Regional Distribution</w:t>
      </w:r>
      <w:r>
        <w:tab/>
      </w:r>
      <w:r>
        <w:t>23</w:t>
      </w:r>
    </w:p>
    <w:p>
      <w:pPr>
        <w:pStyle w:val="TOC1"/>
      </w:pPr>
      <w:r>
        <w:t>PART VII: SUPPLY CHAIN AND SME IMPACT</w:t>
      </w:r>
      <w:r>
        <w:tab/>
      </w:r>
      <w:r>
        <w:t>24</w:t>
      </w:r>
    </w:p>
    <w:p>
      <w:pPr>
        <w:pStyle w:val="TOC2"/>
      </w:pPr>
      <w:r>
        <w:t>7.1 Supply Chain Tiers</w:t>
      </w:r>
      <w:r>
        <w:tab/>
      </w:r>
      <w:r>
        <w:t>24</w:t>
      </w:r>
    </w:p>
    <w:p>
      <w:pPr>
        <w:pStyle w:val="TOC2"/>
      </w:pPr>
      <w:r>
        <w:t>7.2 SME Participation</w:t>
      </w:r>
      <w:r>
        <w:tab/>
      </w:r>
      <w:r>
        <w:t>25</w:t>
      </w:r>
    </w:p>
    <w:p>
      <w:pPr>
        <w:pStyle w:val="TOC1"/>
      </w:pPr>
      <w:r>
        <w:t>PART VIII: EXPORT MARKET POTENTIAL</w:t>
      </w:r>
      <w:r>
        <w:tab/>
      </w:r>
      <w:r>
        <w:t>26</w:t>
      </w:r>
    </w:p>
    <w:p>
      <w:pPr>
        <w:pStyle w:val="TOC2"/>
      </w:pPr>
      <w:r>
        <w:t>8.1 Global Market</w:t>
      </w:r>
      <w:r>
        <w:tab/>
      </w:r>
      <w:r>
        <w:t>26</w:t>
      </w:r>
    </w:p>
    <w:p>
      <w:pPr>
        <w:pStyle w:val="TOC2"/>
      </w:pPr>
      <w:r>
        <w:t>8.2 Competitive Position</w:t>
      </w:r>
      <w:r>
        <w:tab/>
      </w:r>
      <w:r>
        <w:t>26</w:t>
      </w:r>
    </w:p>
    <w:p>
      <w:pPr>
        <w:pStyle w:val="TOC2"/>
      </w:pPr>
      <w:r>
        <w:t>8.3 Export Revenue</w:t>
      </w:r>
      <w:r>
        <w:tab/>
      </w:r>
      <w:r>
        <w:t>27</w:t>
      </w:r>
    </w:p>
    <w:p>
      <w:pPr>
        <w:pStyle w:val="TOC1"/>
      </w:pPr>
      <w:r>
        <w:t>PART IX: WORKFORCE DEVELOPMENT AND TRANSITION</w:t>
      </w:r>
      <w:r>
        <w:tab/>
      </w:r>
      <w:r>
        <w:t>28</w:t>
      </w:r>
    </w:p>
    <w:p>
      <w:pPr>
        <w:pStyle w:val="TOC2"/>
      </w:pPr>
      <w:r>
        <w:t>9.1 Occupational Demand Profile</w:t>
      </w:r>
      <w:r>
        <w:tab/>
      </w:r>
      <w:r>
        <w:t>28</w:t>
      </w:r>
    </w:p>
    <w:p>
      <w:pPr>
        <w:pStyle w:val="TOC2"/>
      </w:pPr>
      <w:r>
        <w:t>9.2 Automotive-to-Aerospace Transition</w:t>
      </w:r>
      <w:r>
        <w:tab/>
      </w:r>
      <w:r>
        <w:t>28</w:t>
      </w:r>
    </w:p>
    <w:p>
      <w:pPr>
        <w:pStyle w:val="TOC2"/>
      </w:pPr>
      <w:r>
        <w:t>9.3 Training Pipeline</w:t>
      </w:r>
      <w:r>
        <w:tab/>
      </w:r>
      <w:r>
        <w:t>29</w:t>
      </w:r>
    </w:p>
    <w:p>
      <w:pPr>
        <w:pStyle w:val="TOC1"/>
      </w:pPr>
      <w:r>
        <w:t>PART X: LONG-TERM ECONOMIC SOVEREIGNTY</w:t>
      </w:r>
      <w:r>
        <w:tab/>
      </w:r>
      <w:r>
        <w:t>30</w:t>
      </w:r>
    </w:p>
    <w:p>
      <w:pPr>
        <w:pStyle w:val="TOC1"/>
      </w:pPr>
      <w:r>
        <w:t>PART XI: TAX REVENUE AND FISCAL IMPACT</w:t>
      </w:r>
      <w:r>
        <w:tab/>
      </w:r>
      <w:r>
        <w:t>32</w:t>
      </w:r>
    </w:p>
    <w:p>
      <w:pPr>
        <w:pStyle w:val="TOC1"/>
      </w:pPr>
      <w:r>
        <w:t>PART XII: RISK ASSESSMENT AND SENSITIVITY</w:t>
      </w:r>
      <w:r>
        <w:tab/>
      </w:r>
      <w:r>
        <w:t>33</w:t>
      </w:r>
    </w:p>
    <w:p>
      <w:pPr>
        <w:pStyle w:val="TOC1"/>
      </w:pPr>
      <w:r>
        <w:t>PART XIII: COMPARATIVE ANALYSIS</w:t>
      </w:r>
      <w:r>
        <w:tab/>
      </w:r>
      <w:r>
        <w:t>35</w:t>
      </w:r>
    </w:p>
    <w:p>
      <w:pPr>
        <w:pStyle w:val="TOC1"/>
      </w:pPr>
      <w:r>
        <w:t>PART XIV: INTERNATIONAL PARTNERSHIP AND COST-SHARING</w:t>
      </w:r>
      <w:r>
        <w:tab/>
      </w:r>
      <w:r>
        <w:t>37</w:t>
      </w:r>
    </w:p>
    <w:p>
      <w:pPr>
        <w:pStyle w:val="TOC2"/>
      </w:pPr>
      <w:r>
        <w:t>14.1 Multilateral Defence Financing Mechanisms</w:t>
      </w:r>
      <w:r>
        <w:tab/>
      </w:r>
      <w:r>
        <w:t>37</w:t>
      </w:r>
    </w:p>
    <w:p>
      <w:pPr>
        <w:pStyle w:val="TOC2"/>
      </w:pPr>
      <w:r>
        <w:t>14.2 Bilateral Cooperation Frameworks</w:t>
      </w:r>
      <w:r>
        <w:tab/>
      </w:r>
      <w:r>
        <w:t>38</w:t>
      </w:r>
    </w:p>
    <w:p>
      <w:pPr>
        <w:pStyle w:val="TOC2"/>
      </w:pPr>
      <w:r>
        <w:t>14.3 Partner Nation Assessment</w:t>
      </w:r>
      <w:r>
        <w:tab/>
      </w:r>
      <w:r>
        <w:t>38</w:t>
      </w:r>
    </w:p>
    <w:p>
      <w:pPr>
        <w:pStyle w:val="TOC1"/>
      </w:pPr>
      <w:r>
        <w:t>PART XV: COALITION ARCHITECTURE AND FUNDING SCENARIOS</w:t>
      </w:r>
      <w:r>
        <w:tab/>
      </w:r>
      <w:r>
        <w:t>39</w:t>
      </w:r>
    </w:p>
    <w:p>
      <w:pPr>
        <w:pStyle w:val="TOC2"/>
      </w:pPr>
      <w:r>
        <w:t>15.1 Work Share Allocation Models</w:t>
      </w:r>
      <w:r>
        <w:tab/>
      </w:r>
      <w:r>
        <w:t>39</w:t>
      </w:r>
    </w:p>
    <w:p>
      <w:pPr>
        <w:pStyle w:val="TOC2"/>
      </w:pPr>
      <w:r>
        <w:t>15.2 Production, Sustainment, and Export Revenue</w:t>
      </w:r>
      <w:r>
        <w:tab/>
      </w:r>
      <w:r>
        <w:t>39</w:t>
      </w:r>
    </w:p>
    <w:p>
      <w:pPr>
        <w:pStyle w:val="TOC2"/>
      </w:pPr>
      <w:r>
        <w:t>15.3 Governance, IP, and Risk Management</w:t>
      </w:r>
      <w:r>
        <w:tab/>
      </w:r>
      <w:r>
        <w:t>40</w:t>
      </w:r>
    </w:p>
    <w:p>
      <w:pPr>
        <w:pStyle w:val="TOC2"/>
      </w:pPr>
      <w:r>
        <w:t>15.4 Jobs and Industrial Impact Across the Coalition</w:t>
      </w:r>
      <w:r>
        <w:tab/>
      </w:r>
      <w:r>
        <w:t>40</w:t>
      </w:r>
    </w:p>
    <w:p>
      <w:pPr>
        <w:pStyle w:val="TOC2"/>
      </w:pPr>
      <w:r>
        <w:t>15.5 Funding Scenario Analysis</w:t>
      </w:r>
      <w:r>
        <w:tab/>
      </w:r>
      <w:r>
        <w:t>41</w:t>
      </w:r>
    </w:p>
    <w:p>
      <w:pPr>
        <w:pStyle w:val="TOC2"/>
      </w:pPr>
      <w:r>
        <w:t>15.6 Recommended Pathway and Non-Negotiables</w:t>
      </w:r>
      <w:r>
        <w:tab/>
      </w:r>
      <w:r>
        <w:t>41</w:t>
      </w:r>
    </w:p>
    <w:p>
      <w:pPr>
        <w:pStyle w:val="TOC1"/>
      </w:pPr>
      <w:r>
        <w:t>PART XVI: CONCLUSION AND RECOMMENDATIONS</w:t>
      </w:r>
      <w:r>
        <w:tab/>
      </w:r>
      <w:r>
        <w:t>42</w:t>
      </w:r>
    </w:p>
    <w:p>
      <w:pPr>
        <w:pStyle w:val="TOC1"/>
      </w:pPr>
      <w:r>
        <w:t>APPENDICES</w:t>
      </w:r>
      <w:r>
        <w:tab/>
      </w:r>
      <w:r>
        <w:t>39</w:t>
      </w:r>
    </w:p>
    <w:p>
      <w:r>
        <w:fldChar w:fldCharType="end"/>
      </w:r>
    </w:p>
    <w:p>
      <w:pPr>
        <w:sectPr>
          <w:type w:val="nextPage"/>
          <w:pgSz w:w="11906" w:h="16838"/>
          <w:pgMar w:top="1440" w:right="1440" w:bottom="1440" w:left="1440" w:header="720" w:footer="720"/>
        </w:sectPr>
      </w:pPr>
    </w:p>
    <w:p>
      <w:pPr>
        <w:pStyle w:val="Heading1"/>
      </w:pPr>
      <w:r>
        <w:t>EXECUTIVE SUMMARY</w:t>
      </w:r>
    </w:p>
    <w:p>
      <w:pPr>
        <w:spacing w:after="180" w:line="288" w:lineRule="auto"/>
      </w:pPr>
      <w:r>
        <w:rPr>
          <w:b/>
        </w:rPr>
        <w:t xml:space="preserve">Purpose: </w:t>
      </w:r>
      <w:r>
        <w:t xml:space="preserve">To quantify the total economic impact of designing, building, and sustaining the Aurora Arrow Mk.VI sixth-generation air dominance system in Canada, across jobs, GDP, regional development, funding pathways, exports, and long-term industrial sovereignty.</w:t>
      </w:r>
    </w:p>
    <w:p>
      <w:pPr>
        <w:pStyle w:val="Heading2"/>
      </w:pPr>
      <w:r>
        <w:t>Headline Figures</w:t>
      </w:r>
    </w:p>
    <w:tbl>
      <w:tblPr>
        <w:tblW w:w="5000" w:type="pct"/>
        <w:tblBorders>
          <w:top w:val="single" w:color="1A2744" w:sz="12"/>
          <w:left w:val="nil"/>
          <w:bottom w:val="single" w:color="1A2744" w:sz="12"/>
          <w:right w:val="nil"/>
          <w:insideH w:val="single" w:color="C8C4BC" w:sz="4"/>
          <w:insideV w:val="nil"/>
        </w:tblBorders>
      </w:tblPr>
      <w:tblGrid>
        <w:gridCol w:w="3429"/>
        <w:gridCol w:w="2346"/>
        <w:gridCol w:w="3251"/>
      </w:tblGrid>
      <w:tr>
        <w:trPr>
          <w:tblHeader/>
        </w:trPr>
        <w:tc>
          <w:tcPr>
            <w:tcW w:w="3429" w:type="dxa"/>
            <w:shd w:val="clear" w:fill="F4F2EE"/>
            <w:tcMar>
              <w:top w:w="40" w:type="dxa"/>
              <w:left w:w="80" w:type="dxa"/>
              <w:bottom w:w="40" w:type="dxa"/>
              <w:right w:w="80" w:type="dxa"/>
            </w:tcMar>
          </w:tcPr>
          <w:p>
            <w:pPr>
              <w:spacing w:before="20" w:after="20" w:line="240" w:lineRule="auto"/>
            </w:pPr>
            <w:r>
              <w:rPr>
                <w:b/>
                <w:color w:val="1A2744"/>
                <w:sz w:val="20"/>
              </w:rPr>
              <w:t xml:space="preserve">Metric</w:t>
            </w:r>
          </w:p>
        </w:tc>
        <w:tc>
          <w:tcPr>
            <w:tcW w:w="2346" w:type="dxa"/>
            <w:shd w:val="clear" w:fill="F4F2EE"/>
            <w:tcMar>
              <w:top w:w="40" w:type="dxa"/>
              <w:left w:w="80" w:type="dxa"/>
              <w:bottom w:w="40" w:type="dxa"/>
              <w:right w:w="80" w:type="dxa"/>
            </w:tcMar>
          </w:tcPr>
          <w:p>
            <w:pPr>
              <w:spacing w:before="20" w:after="20" w:line="240" w:lineRule="auto"/>
            </w:pPr>
            <w:r>
              <w:rPr>
                <w:b/>
                <w:color w:val="1A2744"/>
                <w:sz w:val="20"/>
              </w:rPr>
              <w:t xml:space="preserve">Estimated Value</w:t>
            </w:r>
          </w:p>
        </w:tc>
        <w:tc>
          <w:tcPr>
            <w:tcW w:w="3251" w:type="dxa"/>
            <w:shd w:val="clear" w:fill="F4F2EE"/>
            <w:tcMar>
              <w:top w:w="40" w:type="dxa"/>
              <w:left w:w="80" w:type="dxa"/>
              <w:bottom w:w="40" w:type="dxa"/>
              <w:right w:w="80" w:type="dxa"/>
            </w:tcMar>
          </w:tcPr>
          <w:p>
            <w:pPr>
              <w:spacing w:before="20" w:after="20" w:line="240" w:lineRule="auto"/>
            </w:pPr>
            <w:r>
              <w:rPr>
                <w:b/>
                <w:color w:val="1A2744"/>
                <w:sz w:val="20"/>
              </w:rPr>
              <w:t xml:space="preserve">Source / Basis</w:t>
            </w:r>
          </w:p>
        </w:tc>
      </w:tr>
      <w:tr>
        <w:tc>
          <w:tcPr>
            <w:tcW w:w="3429" w:type="dxa"/>
            <w:tcMar>
              <w:top w:w="40" w:type="dxa"/>
              <w:left w:w="80" w:type="dxa"/>
              <w:bottom w:w="40" w:type="dxa"/>
              <w:right w:w="80" w:type="dxa"/>
            </w:tcMar>
          </w:tcPr>
          <w:p>
            <w:pPr>
              <w:spacing w:before="20" w:after="20" w:line="240" w:lineRule="auto"/>
            </w:pPr>
            <w:r>
              <w:rPr>
                <w:color w:val="1A202C"/>
                <w:sz w:val="20"/>
              </w:rPr>
              <w:t xml:space="preserve">Program development cost</w:t>
            </w:r>
          </w:p>
        </w:tc>
        <w:tc>
          <w:tcPr>
            <w:tcW w:w="2346" w:type="dxa"/>
            <w:tcMar>
              <w:top w:w="40" w:type="dxa"/>
              <w:left w:w="80" w:type="dxa"/>
              <w:bottom w:w="40" w:type="dxa"/>
              <w:right w:w="80" w:type="dxa"/>
            </w:tcMar>
          </w:tcPr>
          <w:p>
            <w:pPr>
              <w:spacing w:before="20" w:after="20" w:line="240" w:lineRule="auto"/>
            </w:pPr>
            <w:r>
              <w:rPr>
                <w:color w:val="1A202C"/>
                <w:sz w:val="20"/>
              </w:rPr>
              <w:t xml:space="preserve">$24.0B USD ($32.9B CAD)</w:t>
            </w:r>
          </w:p>
        </w:tc>
        <w:tc>
          <w:tcPr>
            <w:tcW w:w="3251" w:type="dxa"/>
            <w:tcMar>
              <w:top w:w="40" w:type="dxa"/>
              <w:left w:w="80" w:type="dxa"/>
              <w:bottom w:w="40" w:type="dxa"/>
              <w:right w:w="80" w:type="dxa"/>
            </w:tcMar>
          </w:tcPr>
          <w:p>
            <w:pPr>
              <w:spacing w:before="20" w:after="20" w:line="240" w:lineRule="auto"/>
            </w:pPr>
            <w:r>
              <w:rPr>
                <w:color w:val="1A202C"/>
                <w:sz w:val="20"/>
              </w:rPr>
              <w:t xml:space="preserve">AA-TS-2025-V2.5, Section 23.1</w:t>
            </w:r>
          </w:p>
        </w:tc>
      </w:tr>
      <w:tr>
        <w:tc>
          <w:tcPr>
            <w:tcW w:w="3429" w:type="dxa"/>
            <w:tcMar>
              <w:top w:w="40" w:type="dxa"/>
              <w:left w:w="80" w:type="dxa"/>
              <w:bottom w:w="40" w:type="dxa"/>
              <w:right w:w="80" w:type="dxa"/>
            </w:tcMar>
          </w:tcPr>
          <w:p>
            <w:pPr>
              <w:spacing w:before="20" w:after="20" w:line="240" w:lineRule="auto"/>
            </w:pPr>
            <w:r>
              <w:rPr>
                <w:color w:val="1A202C"/>
                <w:sz w:val="20"/>
              </w:rPr>
              <w:t xml:space="preserve">Unit recurring flyaway (204-unit average)</w:t>
            </w:r>
          </w:p>
        </w:tc>
        <w:tc>
          <w:tcPr>
            <w:tcW w:w="2346" w:type="dxa"/>
            <w:tcMar>
              <w:top w:w="40" w:type="dxa"/>
              <w:left w:w="80" w:type="dxa"/>
              <w:bottom w:w="40" w:type="dxa"/>
              <w:right w:w="80" w:type="dxa"/>
            </w:tcMar>
          </w:tcPr>
          <w:p>
            <w:pPr>
              <w:spacing w:before="20" w:after="20" w:line="240" w:lineRule="auto"/>
            </w:pPr>
            <w:r>
              <w:rPr>
                <w:color w:val="1A202C"/>
                <w:sz w:val="20"/>
              </w:rPr>
              <w:t xml:space="preserve">$98M USD ($134M CAD)</w:t>
            </w:r>
          </w:p>
        </w:tc>
        <w:tc>
          <w:tcPr>
            <w:tcW w:w="3251" w:type="dxa"/>
            <w:tcMar>
              <w:top w:w="40" w:type="dxa"/>
              <w:left w:w="80" w:type="dxa"/>
              <w:bottom w:w="40" w:type="dxa"/>
              <w:right w:w="80" w:type="dxa"/>
            </w:tcMar>
          </w:tcPr>
          <w:p>
            <w:pPr>
              <w:spacing w:before="20" w:after="20" w:line="240" w:lineRule="auto"/>
            </w:pPr>
            <w:r>
              <w:rPr>
                <w:color w:val="1A202C"/>
                <w:sz w:val="20"/>
              </w:rPr>
              <w:t xml:space="preserve">AA-TS-2025-V2.5, Sections 23.1, 23.5</w:t>
            </w:r>
          </w:p>
        </w:tc>
      </w:tr>
      <w:tr>
        <w:tc>
          <w:tcPr>
            <w:tcW w:w="3429" w:type="dxa"/>
            <w:tcMar>
              <w:top w:w="40" w:type="dxa"/>
              <w:left w:w="80" w:type="dxa"/>
              <w:bottom w:w="40" w:type="dxa"/>
              <w:right w:w="80" w:type="dxa"/>
            </w:tcMar>
          </w:tcPr>
          <w:p>
            <w:pPr>
              <w:spacing w:before="20" w:after="20" w:line="240" w:lineRule="auto"/>
            </w:pPr>
            <w:r>
              <w:rPr>
                <w:color w:val="1A202C"/>
                <w:sz w:val="20"/>
              </w:rPr>
              <w:t xml:space="preserve">Program of record</w:t>
            </w:r>
          </w:p>
        </w:tc>
        <w:tc>
          <w:tcPr>
            <w:tcW w:w="2346" w:type="dxa"/>
            <w:tcMar>
              <w:top w:w="40" w:type="dxa"/>
              <w:left w:w="80" w:type="dxa"/>
              <w:bottom w:w="40" w:type="dxa"/>
              <w:right w:w="80" w:type="dxa"/>
            </w:tcMar>
          </w:tcPr>
          <w:p>
            <w:pPr>
              <w:spacing w:before="20" w:after="20" w:line="240" w:lineRule="auto"/>
            </w:pPr>
            <w:r>
              <w:rPr>
                <w:color w:val="1A202C"/>
                <w:sz w:val="20"/>
              </w:rPr>
              <w:t xml:space="preserve">204 aircraft over 9 years, peak 24 per year</w:t>
            </w:r>
          </w:p>
        </w:tc>
        <w:tc>
          <w:tcPr>
            <w:tcW w:w="3251" w:type="dxa"/>
            <w:tcMar>
              <w:top w:w="40" w:type="dxa"/>
              <w:left w:w="80" w:type="dxa"/>
              <w:bottom w:w="40" w:type="dxa"/>
              <w:right w:w="80" w:type="dxa"/>
            </w:tcMar>
          </w:tcPr>
          <w:p>
            <w:pPr>
              <w:spacing w:before="20" w:after="20" w:line="240" w:lineRule="auto"/>
            </w:pPr>
            <w:r>
              <w:rPr>
                <w:color w:val="1A202C"/>
                <w:sz w:val="20"/>
              </w:rPr>
              <w:t xml:space="preserve">AA-TS-2025-V2.5, Section 23.3</w:t>
            </w:r>
          </w:p>
        </w:tc>
      </w:tr>
      <w:tr>
        <w:tc>
          <w:tcPr>
            <w:tcW w:w="3429" w:type="dxa"/>
            <w:tcMar>
              <w:top w:w="40" w:type="dxa"/>
              <w:left w:w="80" w:type="dxa"/>
              <w:bottom w:w="40" w:type="dxa"/>
              <w:right w:w="80" w:type="dxa"/>
            </w:tcMar>
          </w:tcPr>
          <w:p>
            <w:pPr>
              <w:spacing w:before="20" w:after="20" w:line="240" w:lineRule="auto"/>
            </w:pPr>
            <w:r>
              <w:rPr>
                <w:color w:val="1A202C"/>
                <w:sz w:val="20"/>
              </w:rPr>
              <w:t xml:space="preserve">Total direct jobs (peak)</w:t>
            </w:r>
          </w:p>
        </w:tc>
        <w:tc>
          <w:tcPr>
            <w:tcW w:w="2346" w:type="dxa"/>
            <w:tcMar>
              <w:top w:w="40" w:type="dxa"/>
              <w:left w:w="80" w:type="dxa"/>
              <w:bottom w:w="40" w:type="dxa"/>
              <w:right w:w="80" w:type="dxa"/>
            </w:tcMar>
          </w:tcPr>
          <w:p>
            <w:pPr>
              <w:spacing w:before="20" w:after="20" w:line="240" w:lineRule="auto"/>
            </w:pPr>
            <w:r>
              <w:rPr>
                <w:color w:val="1A202C"/>
                <w:sz w:val="20"/>
              </w:rPr>
              <w:t xml:space="preserve">12,000</w:t>
            </w:r>
          </w:p>
        </w:tc>
        <w:tc>
          <w:tcPr>
            <w:tcW w:w="3251" w:type="dxa"/>
            <w:tcMar>
              <w:top w:w="40" w:type="dxa"/>
              <w:left w:w="80" w:type="dxa"/>
              <w:bottom w:w="40" w:type="dxa"/>
              <w:right w:w="80" w:type="dxa"/>
            </w:tcMar>
          </w:tcPr>
          <w:p>
            <w:pPr>
              <w:spacing w:before="20" w:after="20" w:line="240" w:lineRule="auto"/>
            </w:pPr>
            <w:r>
              <w:rPr>
                <w:color w:val="1A202C"/>
                <w:sz w:val="20"/>
              </w:rPr>
              <w:t xml:space="preserve">Program spending model, ISED ratios</w:t>
            </w:r>
          </w:p>
        </w:tc>
      </w:tr>
      <w:tr>
        <w:tc>
          <w:tcPr>
            <w:tcW w:w="3429" w:type="dxa"/>
            <w:tcMar>
              <w:top w:w="40" w:type="dxa"/>
              <w:left w:w="80" w:type="dxa"/>
              <w:bottom w:w="40" w:type="dxa"/>
              <w:right w:w="80" w:type="dxa"/>
            </w:tcMar>
          </w:tcPr>
          <w:p>
            <w:pPr>
              <w:spacing w:before="20" w:after="20" w:line="240" w:lineRule="auto"/>
            </w:pPr>
            <w:r>
              <w:rPr>
                <w:color w:val="1A202C"/>
                <w:sz w:val="20"/>
              </w:rPr>
              <w:t xml:space="preserve">Indirect + induced jobs (peak)</w:t>
            </w:r>
          </w:p>
        </w:tc>
        <w:tc>
          <w:tcPr>
            <w:tcW w:w="2346" w:type="dxa"/>
            <w:tcMar>
              <w:top w:w="40" w:type="dxa"/>
              <w:left w:w="80" w:type="dxa"/>
              <w:bottom w:w="40" w:type="dxa"/>
              <w:right w:w="80" w:type="dxa"/>
            </w:tcMar>
          </w:tcPr>
          <w:p>
            <w:pPr>
              <w:spacing w:before="20" w:after="20" w:line="240" w:lineRule="auto"/>
            </w:pPr>
            <w:r>
              <w:rPr>
                <w:color w:val="1A202C"/>
                <w:sz w:val="20"/>
              </w:rPr>
              <w:t xml:space="preserve">17,160</w:t>
            </w:r>
          </w:p>
        </w:tc>
        <w:tc>
          <w:tcPr>
            <w:tcW w:w="3251" w:type="dxa"/>
            <w:tcMar>
              <w:top w:w="40" w:type="dxa"/>
              <w:left w:w="80" w:type="dxa"/>
              <w:bottom w:w="40" w:type="dxa"/>
              <w:right w:w="80" w:type="dxa"/>
            </w:tcMar>
          </w:tcPr>
          <w:p>
            <w:pPr>
              <w:spacing w:before="20" w:after="20" w:line="240" w:lineRule="auto"/>
            </w:pPr>
            <w:r>
              <w:rPr>
                <w:color w:val="1A202C"/>
                <w:sz w:val="20"/>
              </w:rPr>
              <w:t xml:space="preserve">2.43x employment multiplier (ISED 2024)</w:t>
            </w:r>
          </w:p>
        </w:tc>
      </w:tr>
      <w:tr>
        <w:tc>
          <w:tcPr>
            <w:tcW w:w="3429" w:type="dxa"/>
            <w:tcMar>
              <w:top w:w="40" w:type="dxa"/>
              <w:left w:w="80" w:type="dxa"/>
              <w:bottom w:w="40" w:type="dxa"/>
              <w:right w:w="80" w:type="dxa"/>
            </w:tcMar>
          </w:tcPr>
          <w:p>
            <w:pPr>
              <w:spacing w:before="20" w:after="20" w:line="240" w:lineRule="auto"/>
            </w:pPr>
            <w:r>
              <w:rPr>
                <w:color w:val="1A202C"/>
                <w:sz w:val="20"/>
              </w:rPr>
              <w:t xml:space="preserve">Total jobs (peak)</w:t>
            </w:r>
          </w:p>
        </w:tc>
        <w:tc>
          <w:tcPr>
            <w:tcW w:w="2346" w:type="dxa"/>
            <w:tcMar>
              <w:top w:w="40" w:type="dxa"/>
              <w:left w:w="80" w:type="dxa"/>
              <w:bottom w:w="40" w:type="dxa"/>
              <w:right w:w="80" w:type="dxa"/>
            </w:tcMar>
          </w:tcPr>
          <w:p>
            <w:pPr>
              <w:spacing w:before="20" w:after="20" w:line="240" w:lineRule="auto"/>
            </w:pPr>
            <w:r>
              <w:rPr>
                <w:color w:val="1A202C"/>
                <w:sz w:val="20"/>
              </w:rPr>
              <w:t xml:space="preserve">29,160</w:t>
            </w:r>
          </w:p>
        </w:tc>
        <w:tc>
          <w:tcPr>
            <w:tcW w:w="3251" w:type="dxa"/>
            <w:tcMar>
              <w:top w:w="40" w:type="dxa"/>
              <w:left w:w="80" w:type="dxa"/>
              <w:bottom w:w="40" w:type="dxa"/>
              <w:right w:w="80" w:type="dxa"/>
            </w:tcMar>
          </w:tcPr>
          <w:p>
            <w:pPr>
              <w:spacing w:before="20" w:after="20" w:line="240" w:lineRule="auto"/>
            </w:pPr>
            <w:r>
              <w:rPr>
                <w:color w:val="1A202C"/>
                <w:sz w:val="20"/>
              </w:rPr>
              <w:t xml:space="preserve">Multiplier model</w:t>
            </w:r>
          </w:p>
        </w:tc>
      </w:tr>
      <w:tr>
        <w:tc>
          <w:tcPr>
            <w:tcW w:w="3429" w:type="dxa"/>
            <w:tcMar>
              <w:top w:w="40" w:type="dxa"/>
              <w:left w:w="80" w:type="dxa"/>
              <w:bottom w:w="40" w:type="dxa"/>
              <w:right w:w="80" w:type="dxa"/>
            </w:tcMar>
          </w:tcPr>
          <w:p>
            <w:pPr>
              <w:spacing w:before="20" w:after="20" w:line="240" w:lineRule="auto"/>
            </w:pPr>
            <w:r>
              <w:rPr>
                <w:color w:val="1A202C"/>
                <w:sz w:val="20"/>
              </w:rPr>
              <w:t xml:space="preserve">GDP contribution (2027 to 2041)</w:t>
            </w:r>
          </w:p>
        </w:tc>
        <w:tc>
          <w:tcPr>
            <w:tcW w:w="2346" w:type="dxa"/>
            <w:tcMar>
              <w:top w:w="40" w:type="dxa"/>
              <w:left w:w="80" w:type="dxa"/>
              <w:bottom w:w="40" w:type="dxa"/>
              <w:right w:w="80" w:type="dxa"/>
            </w:tcMar>
          </w:tcPr>
          <w:p>
            <w:pPr>
              <w:spacing w:before="20" w:after="20" w:line="240" w:lineRule="auto"/>
            </w:pPr>
            <w:r>
              <w:rPr>
                <w:color w:val="1A202C"/>
                <w:sz w:val="20"/>
              </w:rPr>
              <w:t xml:space="preserve">$35.0 billion</w:t>
            </w:r>
          </w:p>
        </w:tc>
        <w:tc>
          <w:tcPr>
            <w:tcW w:w="3251" w:type="dxa"/>
            <w:tcMar>
              <w:top w:w="40" w:type="dxa"/>
              <w:left w:w="80" w:type="dxa"/>
              <w:bottom w:w="40" w:type="dxa"/>
              <w:right w:w="80" w:type="dxa"/>
            </w:tcMar>
          </w:tcPr>
          <w:p>
            <w:pPr>
              <w:spacing w:before="20" w:after="20" w:line="240" w:lineRule="auto"/>
            </w:pPr>
            <w:r>
              <w:rPr>
                <w:color w:val="1A202C"/>
                <w:sz w:val="20"/>
              </w:rPr>
              <w:t xml:space="preserve">2.19x GDP multiplier (ISED 2024)</w:t>
            </w:r>
          </w:p>
        </w:tc>
      </w:tr>
      <w:tr>
        <w:tc>
          <w:tcPr>
            <w:tcW w:w="3429" w:type="dxa"/>
            <w:tcMar>
              <w:top w:w="40" w:type="dxa"/>
              <w:left w:w="80" w:type="dxa"/>
              <w:bottom w:w="40" w:type="dxa"/>
              <w:right w:w="80" w:type="dxa"/>
            </w:tcMar>
          </w:tcPr>
          <w:p>
            <w:pPr>
              <w:spacing w:before="20" w:after="20" w:line="240" w:lineRule="auto"/>
            </w:pPr>
            <w:r>
              <w:rPr>
                <w:color w:val="1A202C"/>
                <w:sz w:val="20"/>
              </w:rPr>
              <w:t xml:space="preserve">Canadian content</w:t>
            </w:r>
          </w:p>
        </w:tc>
        <w:tc>
          <w:tcPr>
            <w:tcW w:w="2346" w:type="dxa"/>
            <w:tcMar>
              <w:top w:w="40" w:type="dxa"/>
              <w:left w:w="80" w:type="dxa"/>
              <w:bottom w:w="40" w:type="dxa"/>
              <w:right w:w="80" w:type="dxa"/>
            </w:tcMar>
          </w:tcPr>
          <w:p>
            <w:pPr>
              <w:spacing w:before="20" w:after="20" w:line="240" w:lineRule="auto"/>
            </w:pPr>
            <w:r>
              <w:rPr>
                <w:color w:val="1A202C"/>
                <w:sz w:val="20"/>
              </w:rPr>
              <w:t xml:space="preserve">70% target</w:t>
            </w:r>
          </w:p>
        </w:tc>
        <w:tc>
          <w:tcPr>
            <w:tcW w:w="3251" w:type="dxa"/>
            <w:tcMar>
              <w:top w:w="40" w:type="dxa"/>
              <w:left w:w="80" w:type="dxa"/>
              <w:bottom w:w="40" w:type="dxa"/>
              <w:right w:w="80" w:type="dxa"/>
            </w:tcMar>
          </w:tcPr>
          <w:p>
            <w:pPr>
              <w:spacing w:before="20" w:after="20" w:line="240" w:lineRule="auto"/>
            </w:pPr>
            <w:r>
              <w:rPr>
                <w:color w:val="1A202C"/>
                <w:sz w:val="20"/>
              </w:rPr>
              <w:t xml:space="preserve">Build pathway, Defence Industrial Strategy</w:t>
            </w:r>
          </w:p>
        </w:tc>
      </w:tr>
      <w:tr>
        <w:tc>
          <w:tcPr>
            <w:tcW w:w="3429" w:type="dxa"/>
            <w:tcMar>
              <w:top w:w="40" w:type="dxa"/>
              <w:left w:w="80" w:type="dxa"/>
              <w:bottom w:w="40" w:type="dxa"/>
              <w:right w:w="80" w:type="dxa"/>
            </w:tcMar>
          </w:tcPr>
          <w:p>
            <w:pPr>
              <w:spacing w:before="20" w:after="20" w:line="240" w:lineRule="auto"/>
            </w:pPr>
            <w:r>
              <w:rPr>
                <w:color w:val="1A202C"/>
                <w:sz w:val="20"/>
              </w:rPr>
              <w:t xml:space="preserve">Tax revenue (program phase)</w:t>
            </w:r>
          </w:p>
        </w:tc>
        <w:tc>
          <w:tcPr>
            <w:tcW w:w="2346" w:type="dxa"/>
            <w:tcMar>
              <w:top w:w="40" w:type="dxa"/>
              <w:left w:w="80" w:type="dxa"/>
              <w:bottom w:w="40" w:type="dxa"/>
              <w:right w:w="80" w:type="dxa"/>
            </w:tcMar>
          </w:tcPr>
          <w:p>
            <w:pPr>
              <w:spacing w:before="20" w:after="20" w:line="240" w:lineRule="auto"/>
            </w:pPr>
            <w:r>
              <w:rPr>
                <w:color w:val="1A202C"/>
                <w:sz w:val="20"/>
              </w:rPr>
              <w:t xml:space="preserve">$7.0 billion</w:t>
            </w:r>
          </w:p>
        </w:tc>
        <w:tc>
          <w:tcPr>
            <w:tcW w:w="3251" w:type="dxa"/>
            <w:tcMar>
              <w:top w:w="40" w:type="dxa"/>
              <w:left w:w="80" w:type="dxa"/>
              <w:bottom w:w="40" w:type="dxa"/>
              <w:right w:w="80" w:type="dxa"/>
            </w:tcMar>
          </w:tcPr>
          <w:p>
            <w:pPr>
              <w:spacing w:before="20" w:after="20" w:line="240" w:lineRule="auto"/>
            </w:pPr>
            <w:r>
              <w:rPr>
                <w:color w:val="1A202C"/>
                <w:sz w:val="20"/>
              </w:rPr>
              <w:t xml:space="preserve">Federal + provincial tax model</w:t>
            </w:r>
          </w:p>
        </w:tc>
      </w:tr>
      <w:tr>
        <w:tc>
          <w:tcPr>
            <w:tcW w:w="3429" w:type="dxa"/>
            <w:tcMar>
              <w:top w:w="40" w:type="dxa"/>
              <w:left w:w="80" w:type="dxa"/>
              <w:bottom w:w="40" w:type="dxa"/>
              <w:right w:w="80" w:type="dxa"/>
            </w:tcMar>
          </w:tcPr>
          <w:p>
            <w:pPr>
              <w:spacing w:before="20" w:after="20" w:line="240" w:lineRule="auto"/>
            </w:pPr>
            <w:r>
              <w:rPr>
                <w:color w:val="1A202C"/>
                <w:sz w:val="20"/>
              </w:rPr>
              <w:t xml:space="preserve">Export potential (2035 to 2050)</w:t>
            </w:r>
          </w:p>
        </w:tc>
        <w:tc>
          <w:tcPr>
            <w:tcW w:w="2346" w:type="dxa"/>
            <w:tcMar>
              <w:top w:w="40" w:type="dxa"/>
              <w:left w:w="80" w:type="dxa"/>
              <w:bottom w:w="40" w:type="dxa"/>
              <w:right w:w="80" w:type="dxa"/>
            </w:tcMar>
          </w:tcPr>
          <w:p>
            <w:pPr>
              <w:spacing w:before="20" w:after="20" w:line="240" w:lineRule="auto"/>
            </w:pPr>
            <w:r>
              <w:rPr>
                <w:color w:val="1A202C"/>
                <w:sz w:val="20"/>
              </w:rPr>
              <w:t xml:space="preserve">$6.0 to 10.0 billion</w:t>
            </w:r>
          </w:p>
        </w:tc>
        <w:tc>
          <w:tcPr>
            <w:tcW w:w="3251" w:type="dxa"/>
            <w:tcMar>
              <w:top w:w="40" w:type="dxa"/>
              <w:left w:w="80" w:type="dxa"/>
              <w:bottom w:w="40" w:type="dxa"/>
              <w:right w:w="80" w:type="dxa"/>
            </w:tcMar>
          </w:tcPr>
          <w:p>
            <w:pPr>
              <w:spacing w:before="20" w:after="20" w:line="240" w:lineRule="auto"/>
            </w:pPr>
            <w:r>
              <w:rPr>
                <w:color w:val="1A202C"/>
                <w:sz w:val="20"/>
              </w:rPr>
              <w:t xml:space="preserve">Sixth-generation and CCA market analysis</w:t>
            </w:r>
          </w:p>
        </w:tc>
      </w:tr>
      <w:tr>
        <w:tc>
          <w:tcPr>
            <w:tcW w:w="3429" w:type="dxa"/>
            <w:tcMar>
              <w:top w:w="40" w:type="dxa"/>
              <w:left w:w="80" w:type="dxa"/>
              <w:bottom w:w="40" w:type="dxa"/>
              <w:right w:w="80" w:type="dxa"/>
            </w:tcMar>
          </w:tcPr>
          <w:p>
            <w:pPr>
              <w:spacing w:before="20" w:after="20" w:line="240" w:lineRule="auto"/>
            </w:pPr>
            <w:r>
              <w:rPr>
                <w:color w:val="1A202C"/>
                <w:sz w:val="20"/>
              </w:rPr>
              <w:t xml:space="preserve">Sustainment economic activity</w:t>
            </w:r>
          </w:p>
        </w:tc>
        <w:tc>
          <w:tcPr>
            <w:tcW w:w="2346" w:type="dxa"/>
            <w:tcMar>
              <w:top w:w="40" w:type="dxa"/>
              <w:left w:w="80" w:type="dxa"/>
              <w:bottom w:w="40" w:type="dxa"/>
              <w:right w:w="80" w:type="dxa"/>
            </w:tcMar>
          </w:tcPr>
          <w:p>
            <w:pPr>
              <w:spacing w:before="20" w:after="20" w:line="240" w:lineRule="auto"/>
            </w:pPr>
            <w:r>
              <w:rPr>
                <w:color w:val="1A202C"/>
                <w:sz w:val="20"/>
              </w:rPr>
              <w:t xml:space="preserve">$1.9 billion per year</w:t>
            </w:r>
          </w:p>
        </w:tc>
        <w:tc>
          <w:tcPr>
            <w:tcW w:w="3251" w:type="dxa"/>
            <w:tcMar>
              <w:top w:w="40" w:type="dxa"/>
              <w:left w:w="80" w:type="dxa"/>
              <w:bottom w:w="40" w:type="dxa"/>
              <w:right w:w="80" w:type="dxa"/>
            </w:tcMar>
          </w:tcPr>
          <w:p>
            <w:pPr>
              <w:spacing w:before="20" w:after="20" w:line="240" w:lineRule="auto"/>
            </w:pPr>
            <w:r>
              <w:rPr>
                <w:color w:val="1A202C"/>
                <w:sz w:val="20"/>
              </w:rPr>
              <w:t xml:space="preserve">204 aircraft x 180 hr x $52,000 CAD</w:t>
            </w:r>
          </w:p>
        </w:tc>
      </w:tr>
      <w:tr>
        <w:tc>
          <w:tcPr>
            <w:tcW w:w="3429" w:type="dxa"/>
            <w:tcMar>
              <w:top w:w="40" w:type="dxa"/>
              <w:left w:w="80" w:type="dxa"/>
              <w:bottom w:w="40" w:type="dxa"/>
              <w:right w:w="80" w:type="dxa"/>
            </w:tcMar>
          </w:tcPr>
          <w:p>
            <w:pPr>
              <w:spacing w:before="20" w:after="20" w:line="240" w:lineRule="auto"/>
            </w:pPr>
            <w:r>
              <w:rPr>
                <w:color w:val="1A202C"/>
                <w:sz w:val="20"/>
              </w:rPr>
              <w:t xml:space="preserve">Coalition scenario (recommended)</w:t>
            </w:r>
          </w:p>
        </w:tc>
        <w:tc>
          <w:tcPr>
            <w:tcW w:w="2346" w:type="dxa"/>
            <w:tcMar>
              <w:top w:w="40" w:type="dxa"/>
              <w:left w:w="80" w:type="dxa"/>
              <w:bottom w:w="40" w:type="dxa"/>
              <w:right w:w="80" w:type="dxa"/>
            </w:tcMar>
          </w:tcPr>
          <w:p>
            <w:pPr>
              <w:spacing w:before="20" w:after="20" w:line="240" w:lineRule="auto"/>
            </w:pPr>
            <w:r>
              <w:rPr>
                <w:color w:val="1A202C"/>
                <w:sz w:val="20"/>
              </w:rPr>
              <w:t xml:space="preserve">Cuts Canadian development exposure 50%</w:t>
            </w:r>
          </w:p>
        </w:tc>
        <w:tc>
          <w:tcPr>
            <w:tcW w:w="3251" w:type="dxa"/>
            <w:tcMar>
              <w:top w:w="40" w:type="dxa"/>
              <w:left w:w="80" w:type="dxa"/>
              <w:bottom w:w="40" w:type="dxa"/>
              <w:right w:w="80" w:type="dxa"/>
            </w:tcMar>
          </w:tcPr>
          <w:p>
            <w:pPr>
              <w:spacing w:before="20" w:after="20" w:line="240" w:lineRule="auto"/>
            </w:pPr>
            <w:r>
              <w:rPr>
                <w:color w:val="1A202C"/>
                <w:sz w:val="20"/>
              </w:rPr>
              <w:t xml:space="preserve">Part XV four-partner cost-sharing model</w:t>
            </w:r>
          </w:p>
        </w:tc>
      </w:tr>
    </w:tbl>
    <w:p>
      <w:pPr>
        <w:pStyle w:val="Heading2"/>
      </w:pPr>
      <w:r>
        <w:t>Key Finding</w:t>
      </w:r>
    </w:p>
    <w:p>
      <w:pPr>
        <w:spacing w:after="180" w:line="288" w:lineRule="auto"/>
      </w:pPr>
      <w:r>
        <w:t xml:space="preserve">The Aurora Arrow program stands as the largest aerospace industrial undertaking in Canadian history and the natural successor to the Avro CF-105 Arrow lineage its name honours. At $60.3 billion CAD for development plus production of 204 aircraft, the program directs approximately $42.2 billion into the Canadian economy under a 70% domestic content target, creates an estimated 29,160 total jobs at peak across direct, indirect, and induced categories, contributes $35.0 billion to national GDP across the 2027 to 2041 program phase, and returns $7.0 billion in federal and provincial tax revenue.</w:t>
      </w:r>
    </w:p>
    <w:p>
      <w:pPr>
        <w:spacing w:after="180" w:line="288" w:lineRule="auto"/>
      </w:pPr>
      <w:r>
        <w:t xml:space="preserve">The funding pathway already exists inside current federal policy. The February 2026 Defence Industrial Strategy opens $180 billion in defence procurement opportunities and $290 billion in defence-related capital investment over ten years, designates aerospace as a sovereign capability under its Build pillar, and targets 125,000 new defence careers nationwide. The Aurora Arrow converts that policy architecture into a concrete industrial engine. The program anchors the Quebec and Ontario aerospace clusters, extends high-value work to Western and Atlantic Canada, restores a sovereign combat-aircraft design capability absent since 1959, and positions Canadian industry inside the sixth-generation export market through the Mk.VI-E export configuration.</w:t>
      </w:r>
    </w:p>
    <w:p>
      <w:pPr>
        <w:spacing w:after="180" w:line="288" w:lineRule="auto"/>
      </w:pPr>
      <w:r>
        <w:t xml:space="preserve">Version 1.2 adds a full international dimension. Parts XIV and XV examine the coalition option: an Aurora International Programme built with the United Kingdom, Japan, Australia, and Finland on the governance template of the Global Combat Air Programme. The recommended four-partner scenario cuts Canada's share of the $32.9 billion development bill in half, from $32.9 billion to $16.5 billion, lowers total Canadian exposure from $60.3 billion to $43.9 billion, expands the production run from 204 to 384 aircraft, and lifts Canadian peak direct employment from 12,000 to 14,600 through additional coalition production on Canadian lines. Canada enters this negotiation from strength: first GCAP observer nation, founding host of the Defence, Security and Resilience Bank, SAFE procurement participant, and signatory of new defence-industrial frameworks with Japan and Korea.</w:t>
      </w:r>
    </w:p>
    <w:p>
      <w:pPr>
        <w:pStyle w:val="Heading1"/>
      </w:pPr>
      <w:r>
        <w:t>PART I: INTRODUCTION AND METHODOLOGY</w:t>
      </w:r>
    </w:p>
    <w:p>
      <w:pPr>
        <w:pStyle w:val="Heading2"/>
      </w:pPr>
      <w:r>
        <w:t>1.1 Purpose and Scope</w:t>
      </w:r>
    </w:p>
    <w:p>
      <w:pPr>
        <w:spacing w:after="180" w:line="288" w:lineRule="auto"/>
      </w:pPr>
      <w:r>
        <w:rPr>
          <w:b/>
        </w:rPr>
        <w:t xml:space="preserve">Objective: </w:t>
      </w:r>
      <w:r>
        <w:t xml:space="preserve">To provide a comprehensive, evidence-based economic impact assessment of building the Aurora Arrow Mk.VI in Canada as the core of a sovereign sixth-generation air dominance capability.</w:t>
      </w:r>
    </w:p>
    <w:p>
      <w:pPr>
        <w:spacing w:after="180" w:line="288" w:lineRule="auto"/>
      </w:pPr>
      <w:r>
        <w:rPr>
          <w:b/>
        </w:rPr>
        <w:t xml:space="preserve">Scope: </w:t>
      </w:r>
      <w:r>
        <w:t xml:space="preserve">Covers direct, indirect, and induced economic effects across all Canadian provinces and territories, including research and development, manufacturing, testing, training, sustainment, and exports.</w:t>
      </w:r>
    </w:p>
    <w:p>
      <w:pPr>
        <w:spacing w:after="180" w:line="288" w:lineRule="auto"/>
      </w:pPr>
      <w:r>
        <w:rPr>
          <w:b/>
        </w:rPr>
        <w:t xml:space="preserve">Time Horizon: </w:t>
      </w:r>
      <w:r>
        <w:t xml:space="preserve">Development and production phase (2026 to 2041), with sustainment and export projections to 2050.</w:t>
      </w:r>
    </w:p>
    <w:p>
      <w:pPr>
        <w:spacing w:after="180" w:line="288" w:lineRule="auto"/>
      </w:pPr>
      <w:r>
        <w:rPr>
          <w:b/>
        </w:rPr>
        <w:t xml:space="preserve">Counterfactual: </w:t>
      </w:r>
      <w:r>
        <w:t xml:space="preserve">The assessment compares the national build against two alternatives: the planned import of 88 F-35A aircraft at a 2024 Auditor General-estimated cost of $27.7 billion CAD, excluding a further $5.5 billion in infrastructure and weapons; and the December 2025 Saab industrial proposal to localize Gripen E and GlobalEye assembly in Canada, an offer Saab values at up to 12,600 jobs.</w:t>
      </w:r>
    </w:p>
    <w:p>
      <w:pPr>
        <w:pStyle w:val="Heading2"/>
      </w:pPr>
      <w:r>
        <w:t>1.2 Analytical Framework</w:t>
      </w:r>
    </w:p>
    <w:tbl>
      <w:tblPr>
        <w:tblW w:w="5000" w:type="pct"/>
        <w:tblBorders>
          <w:top w:val="single" w:color="1A2744" w:sz="12"/>
          <w:left w:val="nil"/>
          <w:bottom w:val="single" w:color="1A2744" w:sz="12"/>
          <w:right w:val="nil"/>
          <w:insideH w:val="single" w:color="C8C4BC" w:sz="4"/>
          <w:insideV w:val="nil"/>
        </w:tblBorders>
      </w:tblPr>
      <w:tblGrid>
        <w:gridCol w:w="3068"/>
        <w:gridCol w:w="5958"/>
      </w:tblGrid>
      <w:tr>
        <w:trPr>
          <w:tblHeader/>
        </w:trPr>
        <w:tc>
          <w:tcPr>
            <w:tcW w:w="3068" w:type="dxa"/>
            <w:shd w:val="clear" w:fill="F4F2EE"/>
            <w:tcMar>
              <w:top w:w="40" w:type="dxa"/>
              <w:left w:w="80" w:type="dxa"/>
              <w:bottom w:w="40" w:type="dxa"/>
              <w:right w:w="80" w:type="dxa"/>
            </w:tcMar>
          </w:tcPr>
          <w:p>
            <w:pPr>
              <w:spacing w:before="20" w:after="20" w:line="240" w:lineRule="auto"/>
            </w:pPr>
            <w:r>
              <w:rPr>
                <w:b/>
                <w:color w:val="1A2744"/>
                <w:sz w:val="20"/>
              </w:rPr>
              <w:t xml:space="preserve">Element</w:t>
            </w:r>
          </w:p>
        </w:tc>
        <w:tc>
          <w:tcPr>
            <w:tcW w:w="5958" w:type="dxa"/>
            <w:shd w:val="clear" w:fill="F4F2EE"/>
            <w:tcMar>
              <w:top w:w="40" w:type="dxa"/>
              <w:left w:w="80" w:type="dxa"/>
              <w:bottom w:w="40" w:type="dxa"/>
              <w:right w:w="80" w:type="dxa"/>
            </w:tcMar>
          </w:tcPr>
          <w:p>
            <w:pPr>
              <w:spacing w:before="20" w:after="20" w:line="240" w:lineRule="auto"/>
            </w:pPr>
            <w:r>
              <w:rPr>
                <w:b/>
                <w:color w:val="1A2744"/>
                <w:sz w:val="20"/>
              </w:rPr>
              <w:t xml:space="preserve">Description</w:t>
            </w:r>
          </w:p>
        </w:tc>
      </w:tr>
      <w:tr>
        <w:tc>
          <w:tcPr>
            <w:tcW w:w="3068" w:type="dxa"/>
            <w:tcMar>
              <w:top w:w="40" w:type="dxa"/>
              <w:left w:w="80" w:type="dxa"/>
              <w:bottom w:w="40" w:type="dxa"/>
              <w:right w:w="80" w:type="dxa"/>
            </w:tcMar>
          </w:tcPr>
          <w:p>
            <w:pPr>
              <w:spacing w:before="20" w:after="20" w:line="240" w:lineRule="auto"/>
            </w:pPr>
            <w:r>
              <w:rPr>
                <w:color w:val="1A202C"/>
                <w:sz w:val="20"/>
              </w:rPr>
              <w:t xml:space="preserve">Input-Output model</w:t>
            </w:r>
          </w:p>
        </w:tc>
        <w:tc>
          <w:tcPr>
            <w:tcW w:w="5958" w:type="dxa"/>
            <w:tcMar>
              <w:top w:w="40" w:type="dxa"/>
              <w:left w:w="80" w:type="dxa"/>
              <w:bottom w:w="40" w:type="dxa"/>
              <w:right w:w="80" w:type="dxa"/>
            </w:tcMar>
          </w:tcPr>
          <w:p>
            <w:pPr>
              <w:spacing w:before="20" w:after="20" w:line="240" w:lineRule="auto"/>
            </w:pPr>
            <w:r>
              <w:rPr>
                <w:color w:val="1A202C"/>
                <w:sz w:val="20"/>
              </w:rPr>
              <w:t xml:space="preserve">Statistics Canada inter-provincial I-O tables, as applied by ISED in the State of Canada's Aerospace Industry series</w:t>
            </w:r>
          </w:p>
        </w:tc>
      </w:tr>
      <w:tr>
        <w:tc>
          <w:tcPr>
            <w:tcW w:w="3068" w:type="dxa"/>
            <w:tcMar>
              <w:top w:w="40" w:type="dxa"/>
              <w:left w:w="80" w:type="dxa"/>
              <w:bottom w:w="40" w:type="dxa"/>
              <w:right w:w="80" w:type="dxa"/>
            </w:tcMar>
          </w:tcPr>
          <w:p>
            <w:pPr>
              <w:spacing w:before="20" w:after="20" w:line="240" w:lineRule="auto"/>
            </w:pPr>
            <w:r>
              <w:rPr>
                <w:color w:val="1A202C"/>
                <w:sz w:val="20"/>
              </w:rPr>
              <w:t xml:space="preserve">Employment multiplier</w:t>
            </w:r>
          </w:p>
        </w:tc>
        <w:tc>
          <w:tcPr>
            <w:tcW w:w="5958" w:type="dxa"/>
            <w:tcMar>
              <w:top w:w="40" w:type="dxa"/>
              <w:left w:w="80" w:type="dxa"/>
              <w:bottom w:w="40" w:type="dxa"/>
              <w:right w:w="80" w:type="dxa"/>
            </w:tcMar>
          </w:tcPr>
          <w:p>
            <w:pPr>
              <w:spacing w:before="20" w:after="20" w:line="240" w:lineRule="auto"/>
            </w:pPr>
            <w:r>
              <w:rPr>
                <w:color w:val="1A202C"/>
                <w:sz w:val="20"/>
              </w:rPr>
              <w:t xml:space="preserve">2.43x total jobs multiplier (92,500 direct aerospace jobs generate 225,000 total, ISED 2024)</w:t>
            </w:r>
          </w:p>
        </w:tc>
      </w:tr>
      <w:tr>
        <w:tc>
          <w:tcPr>
            <w:tcW w:w="3068" w:type="dxa"/>
            <w:tcMar>
              <w:top w:w="40" w:type="dxa"/>
              <w:left w:w="80" w:type="dxa"/>
              <w:bottom w:w="40" w:type="dxa"/>
              <w:right w:w="80" w:type="dxa"/>
            </w:tcMar>
          </w:tcPr>
          <w:p>
            <w:pPr>
              <w:spacing w:before="20" w:after="20" w:line="240" w:lineRule="auto"/>
            </w:pPr>
            <w:r>
              <w:rPr>
                <w:color w:val="1A202C"/>
                <w:sz w:val="20"/>
              </w:rPr>
              <w:t xml:space="preserve">GDP multiplier</w:t>
            </w:r>
          </w:p>
        </w:tc>
        <w:tc>
          <w:tcPr>
            <w:tcW w:w="5958" w:type="dxa"/>
            <w:tcMar>
              <w:top w:w="40" w:type="dxa"/>
              <w:left w:w="80" w:type="dxa"/>
              <w:bottom w:w="40" w:type="dxa"/>
              <w:right w:w="80" w:type="dxa"/>
            </w:tcMar>
          </w:tcPr>
          <w:p>
            <w:pPr>
              <w:spacing w:before="20" w:after="20" w:line="240" w:lineRule="auto"/>
            </w:pPr>
            <w:r>
              <w:rPr>
                <w:color w:val="1A202C"/>
                <w:sz w:val="20"/>
              </w:rPr>
              <w:t xml:space="preserve">2.19x total GDP multiplier ($15.6B direct generates $34.2B total, ISED 2024)</w:t>
            </w:r>
          </w:p>
        </w:tc>
      </w:tr>
      <w:tr>
        <w:tc>
          <w:tcPr>
            <w:tcW w:w="3068" w:type="dxa"/>
            <w:tcMar>
              <w:top w:w="40" w:type="dxa"/>
              <w:left w:w="80" w:type="dxa"/>
              <w:bottom w:w="40" w:type="dxa"/>
              <w:right w:w="80" w:type="dxa"/>
            </w:tcMar>
          </w:tcPr>
          <w:p>
            <w:pPr>
              <w:spacing w:before="20" w:after="20" w:line="240" w:lineRule="auto"/>
            </w:pPr>
            <w:r>
              <w:rPr>
                <w:color w:val="1A202C"/>
                <w:sz w:val="20"/>
              </w:rPr>
              <w:t xml:space="preserve">Jobs-to-spending ratio</w:t>
            </w:r>
          </w:p>
        </w:tc>
        <w:tc>
          <w:tcPr>
            <w:tcW w:w="5958" w:type="dxa"/>
            <w:tcMar>
              <w:top w:w="40" w:type="dxa"/>
              <w:left w:w="80" w:type="dxa"/>
              <w:bottom w:w="40" w:type="dxa"/>
              <w:right w:w="80" w:type="dxa"/>
            </w:tcMar>
          </w:tcPr>
          <w:p>
            <w:pPr>
              <w:spacing w:before="20" w:after="20" w:line="240" w:lineRule="auto"/>
            </w:pPr>
            <w:r>
              <w:rPr>
                <w:color w:val="1A202C"/>
                <w:sz w:val="20"/>
              </w:rPr>
              <w:t xml:space="preserve">Approximately 2,050 direct jobs per $1B of annual aerospace revenue (ISED 2024: 92,500 direct jobs on $45.2B revenue)</w:t>
            </w:r>
          </w:p>
        </w:tc>
      </w:tr>
      <w:tr>
        <w:tc>
          <w:tcPr>
            <w:tcW w:w="3068" w:type="dxa"/>
            <w:tcMar>
              <w:top w:w="40" w:type="dxa"/>
              <w:left w:w="80" w:type="dxa"/>
              <w:bottom w:w="40" w:type="dxa"/>
              <w:right w:w="80" w:type="dxa"/>
            </w:tcMar>
          </w:tcPr>
          <w:p>
            <w:pPr>
              <w:spacing w:before="20" w:after="20" w:line="240" w:lineRule="auto"/>
            </w:pPr>
            <w:r>
              <w:rPr>
                <w:color w:val="1A202C"/>
                <w:sz w:val="20"/>
              </w:rPr>
              <w:t xml:space="preserve">Regional distribution</w:t>
            </w:r>
          </w:p>
        </w:tc>
        <w:tc>
          <w:tcPr>
            <w:tcW w:w="5958" w:type="dxa"/>
            <w:tcMar>
              <w:top w:w="40" w:type="dxa"/>
              <w:left w:w="80" w:type="dxa"/>
              <w:bottom w:w="40" w:type="dxa"/>
              <w:right w:w="80" w:type="dxa"/>
            </w:tcMar>
          </w:tcPr>
          <w:p>
            <w:pPr>
              <w:spacing w:before="20" w:after="20" w:line="240" w:lineRule="auto"/>
            </w:pPr>
            <w:r>
              <w:rPr>
                <w:color w:val="1A202C"/>
                <w:sz w:val="20"/>
              </w:rPr>
              <w:t xml:space="preserve">ISED 2024 regional employment shares (Quebec 61% of manufacturing, Ontario 23%, Western and Northern Canada 12%, Atlantic Canada 4%), adjusted for program work-package geography</w:t>
            </w:r>
          </w:p>
        </w:tc>
      </w:tr>
      <w:tr>
        <w:tc>
          <w:tcPr>
            <w:tcW w:w="3068" w:type="dxa"/>
            <w:tcMar>
              <w:top w:w="40" w:type="dxa"/>
              <w:left w:w="80" w:type="dxa"/>
              <w:bottom w:w="40" w:type="dxa"/>
              <w:right w:w="80" w:type="dxa"/>
            </w:tcMar>
          </w:tcPr>
          <w:p>
            <w:pPr>
              <w:spacing w:before="20" w:after="20" w:line="240" w:lineRule="auto"/>
            </w:pPr>
            <w:r>
              <w:rPr>
                <w:color w:val="1A202C"/>
                <w:sz w:val="20"/>
              </w:rPr>
              <w:t xml:space="preserve">Exchange rate</w:t>
            </w:r>
          </w:p>
        </w:tc>
        <w:tc>
          <w:tcPr>
            <w:tcW w:w="5958" w:type="dxa"/>
            <w:tcMar>
              <w:top w:w="40" w:type="dxa"/>
              <w:left w:w="80" w:type="dxa"/>
              <w:bottom w:w="40" w:type="dxa"/>
              <w:right w:w="80" w:type="dxa"/>
            </w:tcMar>
          </w:tcPr>
          <w:p>
            <w:pPr>
              <w:spacing w:before="20" w:after="20" w:line="240" w:lineRule="auto"/>
            </w:pPr>
            <w:r>
              <w:rPr>
                <w:color w:val="1A202C"/>
                <w:sz w:val="20"/>
              </w:rPr>
              <w:t xml:space="preserve">1.37 CAD/USD (Bank of Canada 2026 range); program baseline figures originate in FY2025 US dollars</w:t>
            </w:r>
          </w:p>
        </w:tc>
      </w:tr>
      <w:tr>
        <w:tc>
          <w:tcPr>
            <w:tcW w:w="3068" w:type="dxa"/>
            <w:tcMar>
              <w:top w:w="40" w:type="dxa"/>
              <w:left w:w="80" w:type="dxa"/>
              <w:bottom w:w="40" w:type="dxa"/>
              <w:right w:w="80" w:type="dxa"/>
            </w:tcMar>
          </w:tcPr>
          <w:p>
            <w:pPr>
              <w:spacing w:before="20" w:after="20" w:line="240" w:lineRule="auto"/>
            </w:pPr>
            <w:r>
              <w:rPr>
                <w:color w:val="1A202C"/>
                <w:sz w:val="20"/>
              </w:rPr>
              <w:t xml:space="preserve">Salary benchmark</w:t>
            </w:r>
          </w:p>
        </w:tc>
        <w:tc>
          <w:tcPr>
            <w:tcW w:w="5958" w:type="dxa"/>
            <w:tcMar>
              <w:top w:w="40" w:type="dxa"/>
              <w:left w:w="80" w:type="dxa"/>
              <w:bottom w:w="40" w:type="dxa"/>
              <w:right w:w="80" w:type="dxa"/>
            </w:tcMar>
          </w:tcPr>
          <w:p>
            <w:pPr>
              <w:spacing w:before="20" w:after="20" w:line="240" w:lineRule="auto"/>
            </w:pPr>
            <w:r>
              <w:rPr>
                <w:color w:val="1A202C"/>
                <w:sz w:val="20"/>
              </w:rPr>
              <w:t xml:space="preserve">Aerospace manufacturing average above $85,000, roughly 25% above the manufacturing average (ISED 2024)</w:t>
            </w:r>
          </w:p>
        </w:tc>
      </w:tr>
      <w:tr>
        <w:tc>
          <w:tcPr>
            <w:tcW w:w="3068" w:type="dxa"/>
            <w:tcMar>
              <w:top w:w="40" w:type="dxa"/>
              <w:left w:w="80" w:type="dxa"/>
              <w:bottom w:w="40" w:type="dxa"/>
              <w:right w:w="80" w:type="dxa"/>
            </w:tcMar>
          </w:tcPr>
          <w:p>
            <w:pPr>
              <w:spacing w:before="20" w:after="20" w:line="240" w:lineRule="auto"/>
            </w:pPr>
            <w:r>
              <w:rPr>
                <w:color w:val="1A202C"/>
                <w:sz w:val="20"/>
              </w:rPr>
              <w:t xml:space="preserve">Benchmarks</w:t>
            </w:r>
          </w:p>
        </w:tc>
        <w:tc>
          <w:tcPr>
            <w:tcW w:w="5958" w:type="dxa"/>
            <w:tcMar>
              <w:top w:w="40" w:type="dxa"/>
              <w:left w:w="80" w:type="dxa"/>
              <w:bottom w:w="40" w:type="dxa"/>
              <w:right w:w="80" w:type="dxa"/>
            </w:tcMar>
          </w:tcPr>
          <w:p>
            <w:pPr>
              <w:spacing w:before="20" w:after="20" w:line="240" w:lineRule="auto"/>
            </w:pPr>
            <w:r>
              <w:rPr>
                <w:color w:val="1A202C"/>
                <w:sz w:val="20"/>
              </w:rPr>
              <w:t xml:space="preserve">Bombardier: $7.4B GDP and 48,500 jobs (PwC); Saab Canada proposal: up to 12,600 jobs (December 2025)</w:t>
            </w:r>
          </w:p>
        </w:tc>
      </w:tr>
    </w:tbl>
    <w:p>
      <w:pPr>
        <w:pStyle w:val="Heading2"/>
      </w:pPr>
      <w:r>
        <w:t>1.3 Data Sources</w:t>
      </w:r>
    </w:p>
    <w:tbl>
      <w:tblPr>
        <w:tblW w:w="5000" w:type="pct"/>
        <w:tblBorders>
          <w:top w:val="single" w:color="1A2744" w:sz="12"/>
          <w:left w:val="nil"/>
          <w:bottom w:val="single" w:color="1A2744" w:sz="12"/>
          <w:right w:val="nil"/>
          <w:insideH w:val="single" w:color="C8C4BC" w:sz="4"/>
          <w:insideV w:val="nil"/>
        </w:tblBorders>
      </w:tblPr>
      <w:tblGrid>
        <w:gridCol w:w="3068"/>
        <w:gridCol w:w="5958"/>
      </w:tblGrid>
      <w:tr>
        <w:trPr>
          <w:tblHeader/>
        </w:trPr>
        <w:tc>
          <w:tcPr>
            <w:tcW w:w="3068" w:type="dxa"/>
            <w:shd w:val="clear" w:fill="F4F2EE"/>
            <w:tcMar>
              <w:top w:w="40" w:type="dxa"/>
              <w:left w:w="80" w:type="dxa"/>
              <w:bottom w:w="40" w:type="dxa"/>
              <w:right w:w="80" w:type="dxa"/>
            </w:tcMar>
          </w:tcPr>
          <w:p>
            <w:pPr>
              <w:spacing w:before="20" w:after="20" w:line="240" w:lineRule="auto"/>
            </w:pPr>
            <w:r>
              <w:rPr>
                <w:b/>
                <w:color w:val="1A2744"/>
                <w:sz w:val="20"/>
              </w:rPr>
              <w:t xml:space="preserve">Data Type</w:t>
            </w:r>
          </w:p>
        </w:tc>
        <w:tc>
          <w:tcPr>
            <w:tcW w:w="5958" w:type="dxa"/>
            <w:shd w:val="clear" w:fill="F4F2EE"/>
            <w:tcMar>
              <w:top w:w="40" w:type="dxa"/>
              <w:left w:w="80" w:type="dxa"/>
              <w:bottom w:w="40" w:type="dxa"/>
              <w:right w:w="80" w:type="dxa"/>
            </w:tcMar>
          </w:tcPr>
          <w:p>
            <w:pPr>
              <w:spacing w:before="20" w:after="20" w:line="240" w:lineRule="auto"/>
            </w:pPr>
            <w:r>
              <w:rPr>
                <w:b/>
                <w:color w:val="1A2744"/>
                <w:sz w:val="20"/>
              </w:rPr>
              <w:t xml:space="preserve">Primary Sources</w:t>
            </w:r>
          </w:p>
        </w:tc>
      </w:tr>
      <w:tr>
        <w:tc>
          <w:tcPr>
            <w:tcW w:w="3068" w:type="dxa"/>
            <w:tcMar>
              <w:top w:w="40" w:type="dxa"/>
              <w:left w:w="80" w:type="dxa"/>
              <w:bottom w:w="40" w:type="dxa"/>
              <w:right w:w="80" w:type="dxa"/>
            </w:tcMar>
          </w:tcPr>
          <w:p>
            <w:pPr>
              <w:spacing w:before="20" w:after="20" w:line="240" w:lineRule="auto"/>
            </w:pPr>
            <w:r>
              <w:rPr>
                <w:color w:val="1A202C"/>
                <w:sz w:val="20"/>
              </w:rPr>
              <w:t xml:space="preserve">Program cost and production figures</w:t>
            </w:r>
          </w:p>
        </w:tc>
        <w:tc>
          <w:tcPr>
            <w:tcW w:w="5958" w:type="dxa"/>
            <w:tcMar>
              <w:top w:w="40" w:type="dxa"/>
              <w:left w:w="80" w:type="dxa"/>
              <w:bottom w:w="40" w:type="dxa"/>
              <w:right w:w="80" w:type="dxa"/>
            </w:tcMar>
          </w:tcPr>
          <w:p>
            <w:pPr>
              <w:spacing w:before="20" w:after="20" w:line="240" w:lineRule="auto"/>
            </w:pPr>
            <w:r>
              <w:rPr>
                <w:color w:val="1A202C"/>
                <w:sz w:val="20"/>
              </w:rPr>
              <w:t xml:space="preserve">AA-TS-2025-V2.5, Sections 22 to 24 (conceptual design baseline, Rev 2.5.15, 05 August 2026)</w:t>
            </w:r>
          </w:p>
        </w:tc>
      </w:tr>
      <w:tr>
        <w:tc>
          <w:tcPr>
            <w:tcW w:w="3068" w:type="dxa"/>
            <w:tcMar>
              <w:top w:w="40" w:type="dxa"/>
              <w:left w:w="80" w:type="dxa"/>
              <w:bottom w:w="40" w:type="dxa"/>
              <w:right w:w="80" w:type="dxa"/>
            </w:tcMar>
          </w:tcPr>
          <w:p>
            <w:pPr>
              <w:spacing w:before="20" w:after="20" w:line="240" w:lineRule="auto"/>
            </w:pPr>
            <w:r>
              <w:rPr>
                <w:color w:val="1A202C"/>
                <w:sz w:val="20"/>
              </w:rPr>
              <w:t xml:space="preserve">Aerospace GDP and employment</w:t>
            </w:r>
          </w:p>
        </w:tc>
        <w:tc>
          <w:tcPr>
            <w:tcW w:w="5958" w:type="dxa"/>
            <w:tcMar>
              <w:top w:w="40" w:type="dxa"/>
              <w:left w:w="80" w:type="dxa"/>
              <w:bottom w:w="40" w:type="dxa"/>
              <w:right w:w="80" w:type="dxa"/>
            </w:tcMar>
          </w:tcPr>
          <w:p>
            <w:pPr>
              <w:spacing w:before="20" w:after="20" w:line="240" w:lineRule="auto"/>
            </w:pPr>
            <w:r>
              <w:rPr>
                <w:color w:val="1A202C"/>
                <w:sz w:val="20"/>
              </w:rPr>
              <w:t xml:space="preserve">ISED and AIAC, State of Canada's Aerospace Industry (2024 and 2025 data editions)</w:t>
            </w:r>
          </w:p>
        </w:tc>
      </w:tr>
      <w:tr>
        <w:tc>
          <w:tcPr>
            <w:tcW w:w="3068" w:type="dxa"/>
            <w:tcMar>
              <w:top w:w="40" w:type="dxa"/>
              <w:left w:w="80" w:type="dxa"/>
              <w:bottom w:w="40" w:type="dxa"/>
              <w:right w:w="80" w:type="dxa"/>
            </w:tcMar>
          </w:tcPr>
          <w:p>
            <w:pPr>
              <w:spacing w:before="20" w:after="20" w:line="240" w:lineRule="auto"/>
            </w:pPr>
            <w:r>
              <w:rPr>
                <w:color w:val="1A202C"/>
                <w:sz w:val="20"/>
              </w:rPr>
              <w:t xml:space="preserve">Defence industrial policy</w:t>
            </w:r>
          </w:p>
        </w:tc>
        <w:tc>
          <w:tcPr>
            <w:tcW w:w="5958" w:type="dxa"/>
            <w:tcMar>
              <w:top w:w="40" w:type="dxa"/>
              <w:left w:w="80" w:type="dxa"/>
              <w:bottom w:w="40" w:type="dxa"/>
              <w:right w:w="80" w:type="dxa"/>
            </w:tcMar>
          </w:tcPr>
          <w:p>
            <w:pPr>
              <w:spacing w:before="20" w:after="20" w:line="240" w:lineRule="auto"/>
            </w:pPr>
            <w:r>
              <w:rPr>
                <w:color w:val="1A202C"/>
                <w:sz w:val="20"/>
              </w:rPr>
              <w:t xml:space="preserve">DND, Security, Sovereignty and Prosperity: Canada's Defence Industrial Strategy (February 2026); Budget 2025</w:t>
            </w:r>
          </w:p>
        </w:tc>
      </w:tr>
      <w:tr>
        <w:tc>
          <w:tcPr>
            <w:tcW w:w="3068" w:type="dxa"/>
            <w:tcMar>
              <w:top w:w="40" w:type="dxa"/>
              <w:left w:w="80" w:type="dxa"/>
              <w:bottom w:w="40" w:type="dxa"/>
              <w:right w:w="80" w:type="dxa"/>
            </w:tcMar>
          </w:tcPr>
          <w:p>
            <w:pPr>
              <w:spacing w:before="20" w:after="20" w:line="240" w:lineRule="auto"/>
            </w:pPr>
            <w:r>
              <w:rPr>
                <w:color w:val="1A202C"/>
                <w:sz w:val="20"/>
              </w:rPr>
              <w:t xml:space="preserve">Fighter procurement counterfactual</w:t>
            </w:r>
          </w:p>
        </w:tc>
        <w:tc>
          <w:tcPr>
            <w:tcW w:w="5958" w:type="dxa"/>
            <w:tcMar>
              <w:top w:w="40" w:type="dxa"/>
              <w:left w:w="80" w:type="dxa"/>
              <w:bottom w:w="40" w:type="dxa"/>
              <w:right w:w="80" w:type="dxa"/>
            </w:tcMar>
          </w:tcPr>
          <w:p>
            <w:pPr>
              <w:spacing w:before="20" w:after="20" w:line="240" w:lineRule="auto"/>
            </w:pPr>
            <w:r>
              <w:rPr>
                <w:color w:val="1A202C"/>
                <w:sz w:val="20"/>
              </w:rPr>
              <w:t xml:space="preserve">Office of the Auditor General of Canada, Delivering Canada's Future Fighter Jet Capability (June 2025); Parliamentary Budget Officer analyses</w:t>
            </w:r>
          </w:p>
        </w:tc>
      </w:tr>
      <w:tr>
        <w:tc>
          <w:tcPr>
            <w:tcW w:w="3068" w:type="dxa"/>
            <w:tcMar>
              <w:top w:w="40" w:type="dxa"/>
              <w:left w:w="80" w:type="dxa"/>
              <w:bottom w:w="40" w:type="dxa"/>
              <w:right w:w="80" w:type="dxa"/>
            </w:tcMar>
          </w:tcPr>
          <w:p>
            <w:pPr>
              <w:spacing w:before="20" w:after="20" w:line="240" w:lineRule="auto"/>
            </w:pPr>
            <w:r>
              <w:rPr>
                <w:color w:val="1A202C"/>
                <w:sz w:val="20"/>
              </w:rPr>
              <w:t xml:space="preserve">Sixth-generation landscape</w:t>
            </w:r>
          </w:p>
        </w:tc>
        <w:tc>
          <w:tcPr>
            <w:tcW w:w="5958" w:type="dxa"/>
            <w:tcMar>
              <w:top w:w="40" w:type="dxa"/>
              <w:left w:w="80" w:type="dxa"/>
              <w:bottom w:w="40" w:type="dxa"/>
              <w:right w:w="80" w:type="dxa"/>
            </w:tcMar>
          </w:tcPr>
          <w:p>
            <w:pPr>
              <w:spacing w:before="20" w:after="20" w:line="240" w:lineRule="auto"/>
            </w:pPr>
            <w:r>
              <w:rPr>
                <w:color w:val="1A202C"/>
                <w:sz w:val="20"/>
              </w:rPr>
              <w:t xml:space="preserve">UK Ministry of Defence GCAP announcements (July 2026); NATO 2025 summit Defence Investment Pledge</w:t>
            </w:r>
          </w:p>
        </w:tc>
      </w:tr>
      <w:tr>
        <w:tc>
          <w:tcPr>
            <w:tcW w:w="3068" w:type="dxa"/>
            <w:tcMar>
              <w:top w:w="40" w:type="dxa"/>
              <w:left w:w="80" w:type="dxa"/>
              <w:bottom w:w="40" w:type="dxa"/>
              <w:right w:w="80" w:type="dxa"/>
            </w:tcMar>
          </w:tcPr>
          <w:p>
            <w:pPr>
              <w:spacing w:before="20" w:after="20" w:line="240" w:lineRule="auto"/>
            </w:pPr>
            <w:r>
              <w:rPr>
                <w:color w:val="1A202C"/>
                <w:sz w:val="20"/>
              </w:rPr>
              <w:t xml:space="preserve">Regional economic data</w:t>
            </w:r>
          </w:p>
        </w:tc>
        <w:tc>
          <w:tcPr>
            <w:tcW w:w="5958" w:type="dxa"/>
            <w:tcMar>
              <w:top w:w="40" w:type="dxa"/>
              <w:left w:w="80" w:type="dxa"/>
              <w:bottom w:w="40" w:type="dxa"/>
              <w:right w:w="80" w:type="dxa"/>
            </w:tcMar>
          </w:tcPr>
          <w:p>
            <w:pPr>
              <w:spacing w:before="20" w:after="20" w:line="240" w:lineRule="auto"/>
            </w:pPr>
            <w:r>
              <w:rPr>
                <w:color w:val="1A202C"/>
                <w:sz w:val="20"/>
              </w:rPr>
              <w:t xml:space="preserve">Provincial economic agencies; Conference Board of Canada</w:t>
            </w:r>
          </w:p>
        </w:tc>
      </w:tr>
      <w:tr>
        <w:tc>
          <w:tcPr>
            <w:tcW w:w="3068" w:type="dxa"/>
            <w:tcMar>
              <w:top w:w="40" w:type="dxa"/>
              <w:left w:w="80" w:type="dxa"/>
              <w:bottom w:w="40" w:type="dxa"/>
              <w:right w:w="80" w:type="dxa"/>
            </w:tcMar>
          </w:tcPr>
          <w:p>
            <w:pPr>
              <w:spacing w:before="20" w:after="20" w:line="240" w:lineRule="auto"/>
            </w:pPr>
            <w:r>
              <w:rPr>
                <w:color w:val="1A202C"/>
                <w:sz w:val="20"/>
              </w:rPr>
              <w:t xml:space="preserve">Labour market data</w:t>
            </w:r>
          </w:p>
        </w:tc>
        <w:tc>
          <w:tcPr>
            <w:tcW w:w="5958" w:type="dxa"/>
            <w:tcMar>
              <w:top w:w="40" w:type="dxa"/>
              <w:left w:w="80" w:type="dxa"/>
              <w:bottom w:w="40" w:type="dxa"/>
              <w:right w:w="80" w:type="dxa"/>
            </w:tcMar>
          </w:tcPr>
          <w:p>
            <w:pPr>
              <w:spacing w:before="20" w:after="20" w:line="240" w:lineRule="auto"/>
            </w:pPr>
            <w:r>
              <w:rPr>
                <w:color w:val="1A202C"/>
                <w:sz w:val="20"/>
              </w:rPr>
              <w:t xml:space="preserve">Ontario Job Bank; Canadian Council for Aviation and Aerospace labour market studies</w:t>
            </w:r>
          </w:p>
        </w:tc>
      </w:tr>
      <w:tr>
        <w:tc>
          <w:tcPr>
            <w:tcW w:w="3068" w:type="dxa"/>
            <w:tcMar>
              <w:top w:w="40" w:type="dxa"/>
              <w:left w:w="80" w:type="dxa"/>
              <w:bottom w:w="40" w:type="dxa"/>
              <w:right w:w="80" w:type="dxa"/>
            </w:tcMar>
          </w:tcPr>
          <w:p>
            <w:pPr>
              <w:spacing w:before="20" w:after="20" w:line="240" w:lineRule="auto"/>
            </w:pPr>
            <w:r>
              <w:rPr>
                <w:color w:val="1A202C"/>
                <w:sz w:val="20"/>
              </w:rPr>
              <w:t xml:space="preserve">Methodology companion</w:t>
            </w:r>
          </w:p>
        </w:tc>
        <w:tc>
          <w:tcPr>
            <w:tcW w:w="5958" w:type="dxa"/>
            <w:tcMar>
              <w:top w:w="40" w:type="dxa"/>
              <w:left w:w="80" w:type="dxa"/>
              <w:bottom w:w="40" w:type="dxa"/>
              <w:right w:w="80" w:type="dxa"/>
            </w:tcMar>
          </w:tcPr>
          <w:p>
            <w:pPr>
              <w:spacing w:before="20" w:after="20" w:line="240" w:lineRule="auto"/>
            </w:pPr>
            <w:r>
              <w:rPr>
                <w:color w:val="1A202C"/>
                <w:sz w:val="20"/>
              </w:rPr>
              <w:t xml:space="preserve">ECD-ARCTIC-2026-001, The Economic Northern Horizon Outlook (June 2026)</w:t>
            </w:r>
          </w:p>
        </w:tc>
      </w:tr>
    </w:tbl>
    <w:p>
      <w:pPr>
        <w:pStyle w:val="Heading1"/>
      </w:pPr>
      <w:r>
        <w:t>PART II: THE AURORA ARROW PROGRAM BASELINE</w:t>
      </w:r>
    </w:p>
    <w:p>
      <w:pPr>
        <w:pStyle w:val="Heading2"/>
      </w:pPr>
      <w:r>
        <w:t>2.1 The Aircraft and Its Mission</w:t>
      </w:r>
    </w:p>
    <w:p>
      <w:pPr>
        <w:spacing w:after="180" w:line="288" w:lineRule="auto"/>
      </w:pPr>
      <w:r>
        <w:t xml:space="preserve">The Aurora Arrow Mk.VI is a conceptual sixth-generation, twin-engine, tailless delta-wing air dominance system designed around a distinctly Canadian problem set: continental air defence, NORAD commitments, and Arctic sovereignty across vast distances. The design fuses Mach 2.2 dash speed with Mach 1.5 dry-thrust supercruise, a 1,900 km combat radius, hybrid-electric energy storage, a multispectral mirror coating, an onboard AI mission officer, and airborne command of up to four loyal-wingman uncrewed aircraft.</w:t>
      </w:r>
    </w:p>
    <w:tbl>
      <w:tblPr>
        <w:tblW w:w="5000" w:type="pct"/>
        <w:tblBorders>
          <w:top w:val="single" w:color="1A2744" w:sz="12"/>
          <w:left w:val="nil"/>
          <w:bottom w:val="single" w:color="1A2744" w:sz="12"/>
          <w:right w:val="nil"/>
          <w:insideH w:val="single" w:color="C8C4BC" w:sz="4"/>
          <w:insideV w:val="nil"/>
        </w:tblBorders>
      </w:tblPr>
      <w:tblGrid>
        <w:gridCol w:w="3790"/>
        <w:gridCol w:w="5236"/>
      </w:tblGrid>
      <w:tr>
        <w:trPr>
          <w:tblHeader/>
        </w:trPr>
        <w:tc>
          <w:tcPr>
            <w:tcW w:w="3790" w:type="dxa"/>
            <w:shd w:val="clear" w:fill="F4F2EE"/>
            <w:tcMar>
              <w:top w:w="40" w:type="dxa"/>
              <w:left w:w="80" w:type="dxa"/>
              <w:bottom w:w="40" w:type="dxa"/>
              <w:right w:w="80" w:type="dxa"/>
            </w:tcMar>
          </w:tcPr>
          <w:p>
            <w:pPr>
              <w:spacing w:before="20" w:after="20" w:line="240" w:lineRule="auto"/>
            </w:pPr>
            <w:r>
              <w:rPr>
                <w:b/>
                <w:color w:val="1A2744"/>
                <w:sz w:val="20"/>
              </w:rPr>
              <w:t xml:space="preserve">Parameter</w:t>
            </w:r>
          </w:p>
        </w:tc>
        <w:tc>
          <w:tcPr>
            <w:tcW w:w="5236" w:type="dxa"/>
            <w:shd w:val="clear" w:fill="F4F2EE"/>
            <w:tcMar>
              <w:top w:w="40" w:type="dxa"/>
              <w:left w:w="80" w:type="dxa"/>
              <w:bottom w:w="40" w:type="dxa"/>
              <w:right w:w="80" w:type="dxa"/>
            </w:tcMar>
          </w:tcPr>
          <w:p>
            <w:pPr>
              <w:spacing w:before="20" w:after="20" w:line="240" w:lineRule="auto"/>
            </w:pPr>
            <w:r>
              <w:rPr>
                <w:b/>
                <w:color w:val="1A2744"/>
                <w:sz w:val="20"/>
              </w:rPr>
              <w:t xml:space="preserve">Value (AA-TS-2025-V2.5)</w:t>
            </w:r>
          </w:p>
        </w:tc>
      </w:tr>
      <w:tr>
        <w:tc>
          <w:tcPr>
            <w:tcW w:w="3790" w:type="dxa"/>
            <w:tcMar>
              <w:top w:w="40" w:type="dxa"/>
              <w:left w:w="80" w:type="dxa"/>
              <w:bottom w:w="40" w:type="dxa"/>
              <w:right w:w="80" w:type="dxa"/>
            </w:tcMar>
          </w:tcPr>
          <w:p>
            <w:pPr>
              <w:spacing w:before="20" w:after="20" w:line="240" w:lineRule="auto"/>
            </w:pPr>
            <w:r>
              <w:rPr>
                <w:color w:val="1A202C"/>
                <w:sz w:val="20"/>
              </w:rPr>
              <w:t xml:space="preserve">Crew</w:t>
            </w:r>
          </w:p>
        </w:tc>
        <w:tc>
          <w:tcPr>
            <w:tcW w:w="5236" w:type="dxa"/>
            <w:tcMar>
              <w:top w:w="40" w:type="dxa"/>
              <w:left w:w="80" w:type="dxa"/>
              <w:bottom w:w="40" w:type="dxa"/>
              <w:right w:w="80" w:type="dxa"/>
            </w:tcMar>
          </w:tcPr>
          <w:p>
            <w:pPr>
              <w:spacing w:before="20" w:after="20" w:line="240" w:lineRule="auto"/>
            </w:pPr>
            <w:r>
              <w:rPr>
                <w:color w:val="1A202C"/>
                <w:sz w:val="20"/>
              </w:rPr>
              <w:t xml:space="preserve">1 pilot (Mk.VI-B two-seat MUM-T/SEAD variant)</w:t>
            </w:r>
          </w:p>
        </w:tc>
      </w:tr>
      <w:tr>
        <w:tc>
          <w:tcPr>
            <w:tcW w:w="3790" w:type="dxa"/>
            <w:tcMar>
              <w:top w:w="40" w:type="dxa"/>
              <w:left w:w="80" w:type="dxa"/>
              <w:bottom w:w="40" w:type="dxa"/>
              <w:right w:w="80" w:type="dxa"/>
            </w:tcMar>
          </w:tcPr>
          <w:p>
            <w:pPr>
              <w:spacing w:before="20" w:after="20" w:line="240" w:lineRule="auto"/>
            </w:pPr>
            <w:r>
              <w:rPr>
                <w:color w:val="1A202C"/>
                <w:sz w:val="20"/>
              </w:rPr>
              <w:t xml:space="preserve">Dimensions</w:t>
            </w:r>
          </w:p>
        </w:tc>
        <w:tc>
          <w:tcPr>
            <w:tcW w:w="5236" w:type="dxa"/>
            <w:tcMar>
              <w:top w:w="40" w:type="dxa"/>
              <w:left w:w="80" w:type="dxa"/>
              <w:bottom w:w="40" w:type="dxa"/>
              <w:right w:w="80" w:type="dxa"/>
            </w:tcMar>
          </w:tcPr>
          <w:p>
            <w:pPr>
              <w:spacing w:before="20" w:after="20" w:line="240" w:lineRule="auto"/>
            </w:pPr>
            <w:r>
              <w:rPr>
                <w:color w:val="1A202C"/>
                <w:sz w:val="20"/>
              </w:rPr>
              <w:t xml:space="preserve">22.4 m length, 14.8 m span, 92 m2 wing</w:t>
            </w:r>
          </w:p>
        </w:tc>
      </w:tr>
      <w:tr>
        <w:tc>
          <w:tcPr>
            <w:tcW w:w="3790" w:type="dxa"/>
            <w:tcMar>
              <w:top w:w="40" w:type="dxa"/>
              <w:left w:w="80" w:type="dxa"/>
              <w:bottom w:w="40" w:type="dxa"/>
              <w:right w:w="80" w:type="dxa"/>
            </w:tcMar>
          </w:tcPr>
          <w:p>
            <w:pPr>
              <w:spacing w:before="20" w:after="20" w:line="240" w:lineRule="auto"/>
            </w:pPr>
            <w:r>
              <w:rPr>
                <w:color w:val="1A202C"/>
                <w:sz w:val="20"/>
              </w:rPr>
              <w:t xml:space="preserve">Mass</w:t>
            </w:r>
          </w:p>
        </w:tc>
        <w:tc>
          <w:tcPr>
            <w:tcW w:w="5236" w:type="dxa"/>
            <w:tcMar>
              <w:top w:w="40" w:type="dxa"/>
              <w:left w:w="80" w:type="dxa"/>
              <w:bottom w:w="40" w:type="dxa"/>
              <w:right w:w="80" w:type="dxa"/>
            </w:tcMar>
          </w:tcPr>
          <w:p>
            <w:pPr>
              <w:spacing w:before="20" w:after="20" w:line="240" w:lineRule="auto"/>
            </w:pPr>
            <w:r>
              <w:rPr>
                <w:color w:val="1A202C"/>
                <w:sz w:val="20"/>
              </w:rPr>
              <w:t xml:space="preserve">17,000 kg OEW / 38,000 kg MTOW</w:t>
            </w:r>
          </w:p>
        </w:tc>
      </w:tr>
      <w:tr>
        <w:tc>
          <w:tcPr>
            <w:tcW w:w="3790" w:type="dxa"/>
            <w:tcMar>
              <w:top w:w="40" w:type="dxa"/>
              <w:left w:w="80" w:type="dxa"/>
              <w:bottom w:w="40" w:type="dxa"/>
              <w:right w:w="80" w:type="dxa"/>
            </w:tcMar>
          </w:tcPr>
          <w:p>
            <w:pPr>
              <w:spacing w:before="20" w:after="20" w:line="240" w:lineRule="auto"/>
            </w:pPr>
            <w:r>
              <w:rPr>
                <w:color w:val="1A202C"/>
                <w:sz w:val="20"/>
              </w:rPr>
              <w:t xml:space="preserve">Maximum speed</w:t>
            </w:r>
          </w:p>
        </w:tc>
        <w:tc>
          <w:tcPr>
            <w:tcW w:w="5236" w:type="dxa"/>
            <w:tcMar>
              <w:top w:w="40" w:type="dxa"/>
              <w:left w:w="80" w:type="dxa"/>
              <w:bottom w:w="40" w:type="dxa"/>
              <w:right w:w="80" w:type="dxa"/>
            </w:tcMar>
          </w:tcPr>
          <w:p>
            <w:pPr>
              <w:spacing w:before="20" w:after="20" w:line="240" w:lineRule="auto"/>
            </w:pPr>
            <w:r>
              <w:rPr>
                <w:color w:val="1A202C"/>
                <w:sz w:val="20"/>
              </w:rPr>
              <w:t xml:space="preserve">Mach 2.2 at 40,000 ft (12 min thermal-limited dash)</w:t>
            </w:r>
          </w:p>
        </w:tc>
      </w:tr>
      <w:tr>
        <w:tc>
          <w:tcPr>
            <w:tcW w:w="3790" w:type="dxa"/>
            <w:tcMar>
              <w:top w:w="40" w:type="dxa"/>
              <w:left w:w="80" w:type="dxa"/>
              <w:bottom w:w="40" w:type="dxa"/>
              <w:right w:w="80" w:type="dxa"/>
            </w:tcMar>
          </w:tcPr>
          <w:p>
            <w:pPr>
              <w:spacing w:before="20" w:after="20" w:line="240" w:lineRule="auto"/>
            </w:pPr>
            <w:r>
              <w:rPr>
                <w:color w:val="1A202C"/>
                <w:sz w:val="20"/>
              </w:rPr>
              <w:t xml:space="preserve">Supercruise</w:t>
            </w:r>
          </w:p>
        </w:tc>
        <w:tc>
          <w:tcPr>
            <w:tcW w:w="5236" w:type="dxa"/>
            <w:tcMar>
              <w:top w:w="40" w:type="dxa"/>
              <w:left w:w="80" w:type="dxa"/>
              <w:bottom w:w="40" w:type="dxa"/>
              <w:right w:w="80" w:type="dxa"/>
            </w:tcMar>
          </w:tcPr>
          <w:p>
            <w:pPr>
              <w:spacing w:before="20" w:after="20" w:line="240" w:lineRule="auto"/>
            </w:pPr>
            <w:r>
              <w:rPr>
                <w:color w:val="1A202C"/>
                <w:sz w:val="20"/>
              </w:rPr>
              <w:t xml:space="preserve">Mach 1.5 at 45,000 ft on dry thrust</w:t>
            </w:r>
          </w:p>
        </w:tc>
      </w:tr>
      <w:tr>
        <w:tc>
          <w:tcPr>
            <w:tcW w:w="3790" w:type="dxa"/>
            <w:tcMar>
              <w:top w:w="40" w:type="dxa"/>
              <w:left w:w="80" w:type="dxa"/>
              <w:bottom w:w="40" w:type="dxa"/>
              <w:right w:w="80" w:type="dxa"/>
            </w:tcMar>
          </w:tcPr>
          <w:p>
            <w:pPr>
              <w:spacing w:before="20" w:after="20" w:line="240" w:lineRule="auto"/>
            </w:pPr>
            <w:r>
              <w:rPr>
                <w:color w:val="1A202C"/>
                <w:sz w:val="20"/>
              </w:rPr>
              <w:t xml:space="preserve">Combat radius</w:t>
            </w:r>
          </w:p>
        </w:tc>
        <w:tc>
          <w:tcPr>
            <w:tcW w:w="5236" w:type="dxa"/>
            <w:tcMar>
              <w:top w:w="40" w:type="dxa"/>
              <w:left w:w="80" w:type="dxa"/>
              <w:bottom w:w="40" w:type="dxa"/>
              <w:right w:w="80" w:type="dxa"/>
            </w:tcMar>
          </w:tcPr>
          <w:p>
            <w:pPr>
              <w:spacing w:before="20" w:after="20" w:line="240" w:lineRule="auto"/>
            </w:pPr>
            <w:r>
              <w:rPr>
                <w:color w:val="1A202C"/>
                <w:sz w:val="20"/>
              </w:rPr>
              <w:t xml:space="preserve">1,900 km (hi-hi-hi, air-superiority loadout)</w:t>
            </w:r>
          </w:p>
        </w:tc>
      </w:tr>
      <w:tr>
        <w:tc>
          <w:tcPr>
            <w:tcW w:w="3790" w:type="dxa"/>
            <w:tcMar>
              <w:top w:w="40" w:type="dxa"/>
              <w:left w:w="80" w:type="dxa"/>
              <w:bottom w:w="40" w:type="dxa"/>
              <w:right w:w="80" w:type="dxa"/>
            </w:tcMar>
          </w:tcPr>
          <w:p>
            <w:pPr>
              <w:spacing w:before="20" w:after="20" w:line="240" w:lineRule="auto"/>
            </w:pPr>
            <w:r>
              <w:rPr>
                <w:color w:val="1A202C"/>
                <w:sz w:val="20"/>
              </w:rPr>
              <w:t xml:space="preserve">Ferry range</w:t>
            </w:r>
          </w:p>
        </w:tc>
        <w:tc>
          <w:tcPr>
            <w:tcW w:w="5236" w:type="dxa"/>
            <w:tcMar>
              <w:top w:w="40" w:type="dxa"/>
              <w:left w:w="80" w:type="dxa"/>
              <w:bottom w:w="40" w:type="dxa"/>
              <w:right w:w="80" w:type="dxa"/>
            </w:tcMar>
          </w:tcPr>
          <w:p>
            <w:pPr>
              <w:spacing w:before="20" w:after="20" w:line="240" w:lineRule="auto"/>
            </w:pPr>
            <w:r>
              <w:rPr>
                <w:color w:val="1A202C"/>
                <w:sz w:val="20"/>
              </w:rPr>
              <w:t xml:space="preserve">4,600 km (internal plus conformal fuel)</w:t>
            </w:r>
          </w:p>
        </w:tc>
      </w:tr>
      <w:tr>
        <w:tc>
          <w:tcPr>
            <w:tcW w:w="3790" w:type="dxa"/>
            <w:tcMar>
              <w:top w:w="40" w:type="dxa"/>
              <w:left w:w="80" w:type="dxa"/>
              <w:bottom w:w="40" w:type="dxa"/>
              <w:right w:w="80" w:type="dxa"/>
            </w:tcMar>
          </w:tcPr>
          <w:p>
            <w:pPr>
              <w:spacing w:before="20" w:after="20" w:line="240" w:lineRule="auto"/>
            </w:pPr>
            <w:r>
              <w:rPr>
                <w:color w:val="1A202C"/>
                <w:sz w:val="20"/>
              </w:rPr>
              <w:t xml:space="preserve">Propulsion</w:t>
            </w:r>
          </w:p>
        </w:tc>
        <w:tc>
          <w:tcPr>
            <w:tcW w:w="5236" w:type="dxa"/>
            <w:tcMar>
              <w:top w:w="40" w:type="dxa"/>
              <w:left w:w="80" w:type="dxa"/>
              <w:bottom w:w="40" w:type="dxa"/>
              <w:right w:w="80" w:type="dxa"/>
            </w:tcMar>
          </w:tcPr>
          <w:p>
            <w:pPr>
              <w:spacing w:before="20" w:after="20" w:line="240" w:lineRule="auto"/>
            </w:pPr>
            <w:r>
              <w:rPr>
                <w:color w:val="1A202C"/>
                <w:sz w:val="20"/>
              </w:rPr>
              <w:t xml:space="preserve">2 x 100 kN adaptive three-stream turbofans + 4 x 12 kN boundary-layer fans</w:t>
            </w:r>
          </w:p>
        </w:tc>
      </w:tr>
      <w:tr>
        <w:tc>
          <w:tcPr>
            <w:tcW w:w="3790" w:type="dxa"/>
            <w:tcMar>
              <w:top w:w="40" w:type="dxa"/>
              <w:left w:w="80" w:type="dxa"/>
              <w:bottom w:w="40" w:type="dxa"/>
              <w:right w:w="80" w:type="dxa"/>
            </w:tcMar>
          </w:tcPr>
          <w:p>
            <w:pPr>
              <w:spacing w:before="20" w:after="20" w:line="240" w:lineRule="auto"/>
            </w:pPr>
            <w:r>
              <w:rPr>
                <w:color w:val="1A202C"/>
                <w:sz w:val="20"/>
              </w:rPr>
              <w:t xml:space="preserve">Energy storage</w:t>
            </w:r>
          </w:p>
        </w:tc>
        <w:tc>
          <w:tcPr>
            <w:tcW w:w="5236" w:type="dxa"/>
            <w:tcMar>
              <w:top w:w="40" w:type="dxa"/>
              <w:left w:w="80" w:type="dxa"/>
              <w:bottom w:w="40" w:type="dxa"/>
              <w:right w:w="80" w:type="dxa"/>
            </w:tcMar>
          </w:tcPr>
          <w:p>
            <w:pPr>
              <w:spacing w:before="20" w:after="20" w:line="240" w:lineRule="auto"/>
            </w:pPr>
            <w:r>
              <w:rPr>
                <w:color w:val="1A202C"/>
                <w:sz w:val="20"/>
              </w:rPr>
              <w:t xml:space="preserve">450 kWh lithium-sulfur solid-state pack, 2.7 MW peak</w:t>
            </w:r>
          </w:p>
        </w:tc>
      </w:tr>
      <w:tr>
        <w:tc>
          <w:tcPr>
            <w:tcW w:w="3790" w:type="dxa"/>
            <w:tcMar>
              <w:top w:w="40" w:type="dxa"/>
              <w:left w:w="80" w:type="dxa"/>
              <w:bottom w:w="40" w:type="dxa"/>
              <w:right w:w="80" w:type="dxa"/>
            </w:tcMar>
          </w:tcPr>
          <w:p>
            <w:pPr>
              <w:spacing w:before="20" w:after="20" w:line="240" w:lineRule="auto"/>
            </w:pPr>
            <w:r>
              <w:rPr>
                <w:color w:val="1A202C"/>
                <w:sz w:val="20"/>
              </w:rPr>
              <w:t xml:space="preserve">UCAV command</w:t>
            </w:r>
          </w:p>
        </w:tc>
        <w:tc>
          <w:tcPr>
            <w:tcW w:w="5236" w:type="dxa"/>
            <w:tcMar>
              <w:top w:w="40" w:type="dxa"/>
              <w:left w:w="80" w:type="dxa"/>
              <w:bottom w:w="40" w:type="dxa"/>
              <w:right w:w="80" w:type="dxa"/>
            </w:tcMar>
          </w:tcPr>
          <w:p>
            <w:pPr>
              <w:spacing w:before="20" w:after="20" w:line="240" w:lineRule="auto"/>
            </w:pPr>
            <w:r>
              <w:rPr>
                <w:color w:val="1A202C"/>
                <w:sz w:val="20"/>
              </w:rPr>
              <w:t xml:space="preserve">4 loyal wingmen (8 on Mk.VI-B)</w:t>
            </w:r>
          </w:p>
        </w:tc>
      </w:tr>
      <w:tr>
        <w:tc>
          <w:tcPr>
            <w:tcW w:w="3790" w:type="dxa"/>
            <w:tcMar>
              <w:top w:w="40" w:type="dxa"/>
              <w:left w:w="80" w:type="dxa"/>
              <w:bottom w:w="40" w:type="dxa"/>
              <w:right w:w="80" w:type="dxa"/>
            </w:tcMar>
          </w:tcPr>
          <w:p>
            <w:pPr>
              <w:spacing w:before="20" w:after="20" w:line="240" w:lineRule="auto"/>
            </w:pPr>
            <w:r>
              <w:rPr>
                <w:color w:val="1A202C"/>
                <w:sz w:val="20"/>
              </w:rPr>
              <w:t xml:space="preserve">Runway</w:t>
            </w:r>
          </w:p>
        </w:tc>
        <w:tc>
          <w:tcPr>
            <w:tcW w:w="5236" w:type="dxa"/>
            <w:tcMar>
              <w:top w:w="40" w:type="dxa"/>
              <w:left w:w="80" w:type="dxa"/>
              <w:bottom w:w="40" w:type="dxa"/>
              <w:right w:w="80" w:type="dxa"/>
            </w:tcMar>
          </w:tcPr>
          <w:p>
            <w:pPr>
              <w:spacing w:before="20" w:after="20" w:line="240" w:lineRule="auto"/>
            </w:pPr>
            <w:r>
              <w:rPr>
                <w:color w:val="1A202C"/>
                <w:sz w:val="20"/>
              </w:rPr>
              <w:t xml:space="preserve">2,400 m standard; 1,200 m minimum; 15 cm rutting-class semi-prepared strips</w:t>
            </w:r>
          </w:p>
        </w:tc>
      </w:tr>
    </w:tbl>
    <w:p>
      <w:pPr>
        <w:spacing w:after="180" w:line="288" w:lineRule="auto"/>
      </w:pPr>
      <w:r>
        <w:t xml:space="preserve">The Arctic Augmentation Package adds carbon-nanotube de-ice, cold-weather engine start, heated alert shelters that restore the 12-minute alert clock at -45C, and multi-constellation navigation. These provisions tailor the aircraft to the same northern operating reality that shaped the original CF-105, and they concentrate the industrial work in cold-climate specializations where no foreign competitor holds equivalent expertise.</w:t>
      </w:r>
    </w:p>
    <w:p>
      <w:pPr>
        <w:pStyle w:val="Heading2"/>
      </w:pPr>
      <w:r>
        <w:t>2.2 Program Cost Baseline</w:t>
      </w:r>
    </w:p>
    <w:p>
      <w:pPr>
        <w:spacing w:after="180" w:line="288" w:lineRule="auto"/>
      </w:pPr>
      <w:r>
        <w:t xml:space="preserve">The technical baseline prices the program honestly at the conceptual stage. The unit recurring flyaway average of $98M USD across the 204-unit run decomposes into the following work breakdown structure (FY2025 USD):</w:t>
      </w:r>
    </w:p>
    <w:tbl>
      <w:tblPr>
        <w:tblW w:w="5000" w:type="pct"/>
        <w:tblBorders>
          <w:top w:val="single" w:color="1A2744" w:sz="12"/>
          <w:left w:val="nil"/>
          <w:bottom w:val="single" w:color="1A2744" w:sz="12"/>
          <w:right w:val="nil"/>
          <w:insideH w:val="single" w:color="C8C4BC" w:sz="4"/>
          <w:insideV w:val="nil"/>
        </w:tblBorders>
      </w:tblPr>
      <w:tblGrid>
        <w:gridCol w:w="4513"/>
        <w:gridCol w:w="1805"/>
        <w:gridCol w:w="2708"/>
      </w:tblGrid>
      <w:tr>
        <w:trPr>
          <w:tblHeader/>
        </w:trPr>
        <w:tc>
          <w:tcPr>
            <w:tcW w:w="4513" w:type="dxa"/>
            <w:shd w:val="clear" w:fill="F4F2EE"/>
            <w:tcMar>
              <w:top w:w="40" w:type="dxa"/>
              <w:left w:w="80" w:type="dxa"/>
              <w:bottom w:w="40" w:type="dxa"/>
              <w:right w:w="80" w:type="dxa"/>
            </w:tcMar>
          </w:tcPr>
          <w:p>
            <w:pPr>
              <w:spacing w:before="20" w:after="20" w:line="240" w:lineRule="auto"/>
            </w:pPr>
            <w:r>
              <w:rPr>
                <w:b/>
                <w:color w:val="1A2744"/>
                <w:sz w:val="20"/>
              </w:rPr>
              <w:t xml:space="preserve">Work Breakdown Element</w:t>
            </w:r>
          </w:p>
        </w:tc>
        <w:tc>
          <w:tcPr>
            <w:tcW w:w="1805" w:type="dxa"/>
            <w:shd w:val="clear" w:fill="F4F2EE"/>
            <w:tcMar>
              <w:top w:w="40" w:type="dxa"/>
              <w:left w:w="80" w:type="dxa"/>
              <w:bottom w:w="40" w:type="dxa"/>
              <w:right w:w="80" w:type="dxa"/>
            </w:tcMar>
          </w:tcPr>
          <w:p>
            <w:pPr>
              <w:spacing w:before="20" w:after="20" w:line="240" w:lineRule="auto"/>
            </w:pPr>
            <w:r>
              <w:rPr>
                <w:b/>
                <w:color w:val="1A2744"/>
                <w:sz w:val="20"/>
              </w:rPr>
              <w:t xml:space="preserve">Cost ($M)</w:t>
            </w:r>
          </w:p>
        </w:tc>
        <w:tc>
          <w:tcPr>
            <w:tcW w:w="2708" w:type="dxa"/>
            <w:shd w:val="clear" w:fill="F4F2EE"/>
            <w:tcMar>
              <w:top w:w="40" w:type="dxa"/>
              <w:left w:w="80" w:type="dxa"/>
              <w:bottom w:w="40" w:type="dxa"/>
              <w:right w:w="80" w:type="dxa"/>
            </w:tcMar>
          </w:tcPr>
          <w:p>
            <w:pPr>
              <w:spacing w:before="20" w:after="20" w:line="240" w:lineRule="auto"/>
            </w:pPr>
            <w:r>
              <w:rPr>
                <w:b/>
                <w:color w:val="1A2744"/>
                <w:sz w:val="20"/>
              </w:rPr>
              <w:t xml:space="preserve">Share</w:t>
            </w:r>
          </w:p>
        </w:tc>
      </w:tr>
      <w:tr>
        <w:tc>
          <w:tcPr>
            <w:tcW w:w="4513" w:type="dxa"/>
            <w:tcMar>
              <w:top w:w="40" w:type="dxa"/>
              <w:left w:w="80" w:type="dxa"/>
              <w:bottom w:w="40" w:type="dxa"/>
              <w:right w:w="80" w:type="dxa"/>
            </w:tcMar>
          </w:tcPr>
          <w:p>
            <w:pPr>
              <w:spacing w:before="20" w:after="20" w:line="240" w:lineRule="auto"/>
            </w:pPr>
            <w:r>
              <w:rPr>
                <w:color w:val="1A202C"/>
                <w:sz w:val="20"/>
              </w:rPr>
              <w:t xml:space="preserve">Airframe structure (wing, fuselage, bay spine, gear)</w:t>
            </w:r>
          </w:p>
        </w:tc>
        <w:tc>
          <w:tcPr>
            <w:tcW w:w="1805" w:type="dxa"/>
            <w:tcMar>
              <w:top w:w="40" w:type="dxa"/>
              <w:left w:w="80" w:type="dxa"/>
              <w:bottom w:w="40" w:type="dxa"/>
              <w:right w:w="80" w:type="dxa"/>
            </w:tcMar>
          </w:tcPr>
          <w:p>
            <w:pPr>
              <w:spacing w:before="20" w:after="20" w:line="240" w:lineRule="auto"/>
            </w:pPr>
            <w:r>
              <w:rPr>
                <w:color w:val="1A202C"/>
                <w:sz w:val="20"/>
              </w:rPr>
              <w:t xml:space="preserve">18</w:t>
            </w:r>
          </w:p>
        </w:tc>
        <w:tc>
          <w:tcPr>
            <w:tcW w:w="2708" w:type="dxa"/>
            <w:tcMar>
              <w:top w:w="40" w:type="dxa"/>
              <w:left w:w="80" w:type="dxa"/>
              <w:bottom w:w="40" w:type="dxa"/>
              <w:right w:w="80" w:type="dxa"/>
            </w:tcMar>
          </w:tcPr>
          <w:p>
            <w:pPr>
              <w:spacing w:before="20" w:after="20" w:line="240" w:lineRule="auto"/>
            </w:pPr>
            <w:r>
              <w:rPr>
                <w:color w:val="1A202C"/>
                <w:sz w:val="20"/>
              </w:rPr>
              <w:t xml:space="preserve">18.4%</w:t>
            </w:r>
          </w:p>
        </w:tc>
      </w:tr>
      <w:tr>
        <w:tc>
          <w:tcPr>
            <w:tcW w:w="4513" w:type="dxa"/>
            <w:tcMar>
              <w:top w:w="40" w:type="dxa"/>
              <w:left w:w="80" w:type="dxa"/>
              <w:bottom w:w="40" w:type="dxa"/>
              <w:right w:w="80" w:type="dxa"/>
            </w:tcMar>
          </w:tcPr>
          <w:p>
            <w:pPr>
              <w:spacing w:before="20" w:after="20" w:line="240" w:lineRule="auto"/>
            </w:pPr>
            <w:r>
              <w:rPr>
                <w:color w:val="1A202C"/>
                <w:sz w:val="20"/>
              </w:rPr>
              <w:t xml:space="preserve">Mirror/reflective coating system</w:t>
            </w:r>
          </w:p>
        </w:tc>
        <w:tc>
          <w:tcPr>
            <w:tcW w:w="1805" w:type="dxa"/>
            <w:tcMar>
              <w:top w:w="40" w:type="dxa"/>
              <w:left w:w="80" w:type="dxa"/>
              <w:bottom w:w="40" w:type="dxa"/>
              <w:right w:w="80" w:type="dxa"/>
            </w:tcMar>
          </w:tcPr>
          <w:p>
            <w:pPr>
              <w:spacing w:before="20" w:after="20" w:line="240" w:lineRule="auto"/>
            </w:pPr>
            <w:r>
              <w:rPr>
                <w:color w:val="1A202C"/>
                <w:sz w:val="20"/>
              </w:rPr>
              <w:t xml:space="preserve">8</w:t>
            </w:r>
          </w:p>
        </w:tc>
        <w:tc>
          <w:tcPr>
            <w:tcW w:w="2708" w:type="dxa"/>
            <w:tcMar>
              <w:top w:w="40" w:type="dxa"/>
              <w:left w:w="80" w:type="dxa"/>
              <w:bottom w:w="40" w:type="dxa"/>
              <w:right w:w="80" w:type="dxa"/>
            </w:tcMar>
          </w:tcPr>
          <w:p>
            <w:pPr>
              <w:spacing w:before="20" w:after="20" w:line="240" w:lineRule="auto"/>
            </w:pPr>
            <w:r>
              <w:rPr>
                <w:color w:val="1A202C"/>
                <w:sz w:val="20"/>
              </w:rPr>
              <w:t xml:space="preserve">8.2%</w:t>
            </w:r>
          </w:p>
        </w:tc>
      </w:tr>
      <w:tr>
        <w:tc>
          <w:tcPr>
            <w:tcW w:w="4513" w:type="dxa"/>
            <w:tcMar>
              <w:top w:w="40" w:type="dxa"/>
              <w:left w:w="80" w:type="dxa"/>
              <w:bottom w:w="40" w:type="dxa"/>
              <w:right w:w="80" w:type="dxa"/>
            </w:tcMar>
          </w:tcPr>
          <w:p>
            <w:pPr>
              <w:spacing w:before="20" w:after="20" w:line="240" w:lineRule="auto"/>
            </w:pPr>
            <w:r>
              <w:rPr>
                <w:color w:val="1A202C"/>
                <w:sz w:val="20"/>
              </w:rPr>
              <w:t xml:space="preserve">Propulsion (two adaptive engines, electric array, battery)</w:t>
            </w:r>
          </w:p>
        </w:tc>
        <w:tc>
          <w:tcPr>
            <w:tcW w:w="1805" w:type="dxa"/>
            <w:tcMar>
              <w:top w:w="40" w:type="dxa"/>
              <w:left w:w="80" w:type="dxa"/>
              <w:bottom w:w="40" w:type="dxa"/>
              <w:right w:w="80" w:type="dxa"/>
            </w:tcMar>
          </w:tcPr>
          <w:p>
            <w:pPr>
              <w:spacing w:before="20" w:after="20" w:line="240" w:lineRule="auto"/>
            </w:pPr>
            <w:r>
              <w:rPr>
                <w:color w:val="1A202C"/>
                <w:sz w:val="20"/>
              </w:rPr>
              <w:t xml:space="preserve">34</w:t>
            </w:r>
          </w:p>
        </w:tc>
        <w:tc>
          <w:tcPr>
            <w:tcW w:w="2708" w:type="dxa"/>
            <w:tcMar>
              <w:top w:w="40" w:type="dxa"/>
              <w:left w:w="80" w:type="dxa"/>
              <w:bottom w:w="40" w:type="dxa"/>
              <w:right w:w="80" w:type="dxa"/>
            </w:tcMar>
          </w:tcPr>
          <w:p>
            <w:pPr>
              <w:spacing w:before="20" w:after="20" w:line="240" w:lineRule="auto"/>
            </w:pPr>
            <w:r>
              <w:rPr>
                <w:color w:val="1A202C"/>
                <w:sz w:val="20"/>
              </w:rPr>
              <w:t xml:space="preserve">34.7%</w:t>
            </w:r>
          </w:p>
        </w:tc>
      </w:tr>
      <w:tr>
        <w:tc>
          <w:tcPr>
            <w:tcW w:w="4513" w:type="dxa"/>
            <w:tcMar>
              <w:top w:w="40" w:type="dxa"/>
              <w:left w:w="80" w:type="dxa"/>
              <w:bottom w:w="40" w:type="dxa"/>
              <w:right w:w="80" w:type="dxa"/>
            </w:tcMar>
          </w:tcPr>
          <w:p>
            <w:pPr>
              <w:spacing w:before="20" w:after="20" w:line="240" w:lineRule="auto"/>
            </w:pPr>
            <w:r>
              <w:rPr>
                <w:color w:val="1A202C"/>
                <w:sz w:val="20"/>
              </w:rPr>
              <w:t xml:space="preserve">Avionics and sensors (AESA, IRST, ECHO/HSM)</w:t>
            </w:r>
          </w:p>
        </w:tc>
        <w:tc>
          <w:tcPr>
            <w:tcW w:w="1805" w:type="dxa"/>
            <w:tcMar>
              <w:top w:w="40" w:type="dxa"/>
              <w:left w:w="80" w:type="dxa"/>
              <w:bottom w:w="40" w:type="dxa"/>
              <w:right w:w="80" w:type="dxa"/>
            </w:tcMar>
          </w:tcPr>
          <w:p>
            <w:pPr>
              <w:spacing w:before="20" w:after="20" w:line="240" w:lineRule="auto"/>
            </w:pPr>
            <w:r>
              <w:rPr>
                <w:color w:val="1A202C"/>
                <w:sz w:val="20"/>
              </w:rPr>
              <w:t xml:space="preserve">26</w:t>
            </w:r>
          </w:p>
        </w:tc>
        <w:tc>
          <w:tcPr>
            <w:tcW w:w="2708" w:type="dxa"/>
            <w:tcMar>
              <w:top w:w="40" w:type="dxa"/>
              <w:left w:w="80" w:type="dxa"/>
              <w:bottom w:w="40" w:type="dxa"/>
              <w:right w:w="80" w:type="dxa"/>
            </w:tcMar>
          </w:tcPr>
          <w:p>
            <w:pPr>
              <w:spacing w:before="20" w:after="20" w:line="240" w:lineRule="auto"/>
            </w:pPr>
            <w:r>
              <w:rPr>
                <w:color w:val="1A202C"/>
                <w:sz w:val="20"/>
              </w:rPr>
              <w:t xml:space="preserve">26.5%</w:t>
            </w:r>
          </w:p>
        </w:tc>
      </w:tr>
      <w:tr>
        <w:tc>
          <w:tcPr>
            <w:tcW w:w="4513" w:type="dxa"/>
            <w:tcMar>
              <w:top w:w="40" w:type="dxa"/>
              <w:left w:w="80" w:type="dxa"/>
              <w:bottom w:w="40" w:type="dxa"/>
              <w:right w:w="80" w:type="dxa"/>
            </w:tcMar>
          </w:tcPr>
          <w:p>
            <w:pPr>
              <w:spacing w:before="20" w:after="20" w:line="240" w:lineRule="auto"/>
            </w:pPr>
            <w:r>
              <w:rPr>
                <w:color w:val="1A202C"/>
                <w:sz w:val="20"/>
              </w:rPr>
              <w:t xml:space="preserve">Armament, countermeasures, crew recovery</w:t>
            </w:r>
          </w:p>
        </w:tc>
        <w:tc>
          <w:tcPr>
            <w:tcW w:w="1805" w:type="dxa"/>
            <w:tcMar>
              <w:top w:w="40" w:type="dxa"/>
              <w:left w:w="80" w:type="dxa"/>
              <w:bottom w:w="40" w:type="dxa"/>
              <w:right w:w="80" w:type="dxa"/>
            </w:tcMar>
          </w:tcPr>
          <w:p>
            <w:pPr>
              <w:spacing w:before="20" w:after="20" w:line="240" w:lineRule="auto"/>
            </w:pPr>
            <w:r>
              <w:rPr>
                <w:color w:val="1A202C"/>
                <w:sz w:val="20"/>
              </w:rPr>
              <w:t xml:space="preserve">5</w:t>
            </w:r>
          </w:p>
        </w:tc>
        <w:tc>
          <w:tcPr>
            <w:tcW w:w="2708" w:type="dxa"/>
            <w:tcMar>
              <w:top w:w="40" w:type="dxa"/>
              <w:left w:w="80" w:type="dxa"/>
              <w:bottom w:w="40" w:type="dxa"/>
              <w:right w:w="80" w:type="dxa"/>
            </w:tcMar>
          </w:tcPr>
          <w:p>
            <w:pPr>
              <w:spacing w:before="20" w:after="20" w:line="240" w:lineRule="auto"/>
            </w:pPr>
            <w:r>
              <w:rPr>
                <w:color w:val="1A202C"/>
                <w:sz w:val="20"/>
              </w:rPr>
              <w:t xml:space="preserve">5.1%</w:t>
            </w:r>
          </w:p>
        </w:tc>
      </w:tr>
      <w:tr>
        <w:tc>
          <w:tcPr>
            <w:tcW w:w="4513" w:type="dxa"/>
            <w:tcMar>
              <w:top w:w="40" w:type="dxa"/>
              <w:left w:w="80" w:type="dxa"/>
              <w:bottom w:w="40" w:type="dxa"/>
              <w:right w:w="80" w:type="dxa"/>
            </w:tcMar>
          </w:tcPr>
          <w:p>
            <w:pPr>
              <w:spacing w:before="20" w:after="20" w:line="240" w:lineRule="auto"/>
            </w:pPr>
            <w:r>
              <w:rPr>
                <w:color w:val="1A202C"/>
                <w:sz w:val="20"/>
              </w:rPr>
              <w:t xml:space="preserve">Assembly, test, and profit</w:t>
            </w:r>
          </w:p>
        </w:tc>
        <w:tc>
          <w:tcPr>
            <w:tcW w:w="1805" w:type="dxa"/>
            <w:tcMar>
              <w:top w:w="40" w:type="dxa"/>
              <w:left w:w="80" w:type="dxa"/>
              <w:bottom w:w="40" w:type="dxa"/>
              <w:right w:w="80" w:type="dxa"/>
            </w:tcMar>
          </w:tcPr>
          <w:p>
            <w:pPr>
              <w:spacing w:before="20" w:after="20" w:line="240" w:lineRule="auto"/>
            </w:pPr>
            <w:r>
              <w:rPr>
                <w:color w:val="1A202C"/>
                <w:sz w:val="20"/>
              </w:rPr>
              <w:t xml:space="preserve">7</w:t>
            </w:r>
          </w:p>
        </w:tc>
        <w:tc>
          <w:tcPr>
            <w:tcW w:w="2708" w:type="dxa"/>
            <w:tcMar>
              <w:top w:w="40" w:type="dxa"/>
              <w:left w:w="80" w:type="dxa"/>
              <w:bottom w:w="40" w:type="dxa"/>
              <w:right w:w="80" w:type="dxa"/>
            </w:tcMar>
          </w:tcPr>
          <w:p>
            <w:pPr>
              <w:spacing w:before="20" w:after="20" w:line="240" w:lineRule="auto"/>
            </w:pPr>
            <w:r>
              <w:rPr>
                <w:color w:val="1A202C"/>
                <w:sz w:val="20"/>
              </w:rPr>
              <w:t xml:space="preserve">7.1%</w:t>
            </w:r>
          </w:p>
        </w:tc>
      </w:tr>
      <w:tr>
        <w:tc>
          <w:tcPr>
            <w:tcW w:w="4513" w:type="dxa"/>
            <w:tcMar>
              <w:top w:w="40" w:type="dxa"/>
              <w:left w:w="80" w:type="dxa"/>
              <w:bottom w:w="40" w:type="dxa"/>
              <w:right w:w="80" w:type="dxa"/>
            </w:tcMar>
          </w:tcPr>
          <w:p>
            <w:pPr>
              <w:spacing w:before="20" w:after="20" w:line="240" w:lineRule="auto"/>
            </w:pPr>
            <w:r>
              <w:rPr>
                <w:b/>
                <w:color w:val="1A202C"/>
                <w:sz w:val="20"/>
              </w:rPr>
              <w:t xml:space="preserve">Unit recurring flyaway (204-unit average)</w:t>
            </w:r>
          </w:p>
        </w:tc>
        <w:tc>
          <w:tcPr>
            <w:tcW w:w="1805" w:type="dxa"/>
            <w:tcMar>
              <w:top w:w="40" w:type="dxa"/>
              <w:left w:w="80" w:type="dxa"/>
              <w:bottom w:w="40" w:type="dxa"/>
              <w:right w:w="80" w:type="dxa"/>
            </w:tcMar>
          </w:tcPr>
          <w:p>
            <w:pPr>
              <w:spacing w:before="20" w:after="20" w:line="240" w:lineRule="auto"/>
            </w:pPr>
            <w:r>
              <w:rPr>
                <w:b/>
                <w:color w:val="1A202C"/>
                <w:sz w:val="20"/>
              </w:rPr>
              <w:t xml:space="preserve">98</w:t>
            </w:r>
          </w:p>
        </w:tc>
        <w:tc>
          <w:tcPr>
            <w:tcW w:w="2708" w:type="dxa"/>
            <w:tcMar>
              <w:top w:w="40" w:type="dxa"/>
              <w:left w:w="80" w:type="dxa"/>
              <w:bottom w:w="40" w:type="dxa"/>
              <w:right w:w="80" w:type="dxa"/>
            </w:tcMar>
          </w:tcPr>
          <w:p>
            <w:pPr>
              <w:spacing w:before="20" w:after="20" w:line="240" w:lineRule="auto"/>
            </w:pPr>
            <w:r>
              <w:rPr>
                <w:b/>
                <w:color w:val="1A202C"/>
                <w:sz w:val="20"/>
              </w:rPr>
              <w:t xml:space="preserve">100%</w:t>
            </w:r>
          </w:p>
        </w:tc>
      </w:tr>
    </w:tbl>
    <w:tbl>
      <w:tblPr>
        <w:tblW w:w="5000" w:type="pct"/>
        <w:tblBorders>
          <w:top w:val="single" w:color="1A2744" w:sz="12"/>
          <w:left w:val="nil"/>
          <w:bottom w:val="single" w:color="1A2744" w:sz="12"/>
          <w:right w:val="nil"/>
          <w:insideH w:val="single" w:color="C8C4BC" w:sz="4"/>
          <w:insideV w:val="nil"/>
        </w:tblBorders>
      </w:tblPr>
      <w:tblGrid>
        <w:gridCol w:w="3068"/>
        <w:gridCol w:w="1985"/>
        <w:gridCol w:w="3973"/>
      </w:tblGrid>
      <w:tr>
        <w:trPr>
          <w:tblHeader/>
        </w:trPr>
        <w:tc>
          <w:tcPr>
            <w:tcW w:w="3068" w:type="dxa"/>
            <w:shd w:val="clear" w:fill="F4F2EE"/>
            <w:tcMar>
              <w:top w:w="40" w:type="dxa"/>
              <w:left w:w="80" w:type="dxa"/>
              <w:bottom w:w="40" w:type="dxa"/>
              <w:right w:w="80" w:type="dxa"/>
            </w:tcMar>
          </w:tcPr>
          <w:p>
            <w:pPr>
              <w:spacing w:before="20" w:after="20" w:line="240" w:lineRule="auto"/>
            </w:pPr>
            <w:r>
              <w:rPr>
                <w:b/>
                <w:color w:val="1A2744"/>
                <w:sz w:val="20"/>
              </w:rPr>
              <w:t xml:space="preserve">Production Point</w:t>
            </w:r>
          </w:p>
        </w:tc>
        <w:tc>
          <w:tcPr>
            <w:tcW w:w="1985" w:type="dxa"/>
            <w:shd w:val="clear" w:fill="F4F2EE"/>
            <w:tcMar>
              <w:top w:w="40" w:type="dxa"/>
              <w:left w:w="80" w:type="dxa"/>
              <w:bottom w:w="40" w:type="dxa"/>
              <w:right w:w="80" w:type="dxa"/>
            </w:tcMar>
          </w:tcPr>
          <w:p>
            <w:pPr>
              <w:spacing w:before="20" w:after="20" w:line="240" w:lineRule="auto"/>
            </w:pPr>
            <w:r>
              <w:rPr>
                <w:b/>
                <w:color w:val="1A2744"/>
                <w:sz w:val="20"/>
              </w:rPr>
              <w:t xml:space="preserve">Unit Cost ($M USD)</w:t>
            </w:r>
          </w:p>
        </w:tc>
        <w:tc>
          <w:tcPr>
            <w:tcW w:w="3973" w:type="dxa"/>
            <w:shd w:val="clear" w:fill="F4F2EE"/>
            <w:tcMar>
              <w:top w:w="40" w:type="dxa"/>
              <w:left w:w="80" w:type="dxa"/>
              <w:bottom w:w="40" w:type="dxa"/>
              <w:right w:w="80" w:type="dxa"/>
            </w:tcMar>
          </w:tcPr>
          <w:p>
            <w:pPr>
              <w:spacing w:before="20" w:after="20" w:line="240" w:lineRule="auto"/>
            </w:pPr>
            <w:r>
              <w:rPr>
                <w:b/>
                <w:color w:val="1A2744"/>
                <w:sz w:val="20"/>
              </w:rPr>
              <w:t xml:space="preserve">Note</w:t>
            </w:r>
          </w:p>
        </w:tc>
      </w:tr>
      <w:tr>
        <w:tc>
          <w:tcPr>
            <w:tcW w:w="3068" w:type="dxa"/>
            <w:tcMar>
              <w:top w:w="40" w:type="dxa"/>
              <w:left w:w="80" w:type="dxa"/>
              <w:bottom w:w="40" w:type="dxa"/>
              <w:right w:w="80" w:type="dxa"/>
            </w:tcMar>
          </w:tcPr>
          <w:p>
            <w:pPr>
              <w:spacing w:before="20" w:after="20" w:line="240" w:lineRule="auto"/>
            </w:pPr>
            <w:r>
              <w:rPr>
                <w:color w:val="1A202C"/>
                <w:sz w:val="20"/>
              </w:rPr>
              <w:t xml:space="preserve">First article (unit 1)</w:t>
            </w:r>
          </w:p>
        </w:tc>
        <w:tc>
          <w:tcPr>
            <w:tcW w:w="1985" w:type="dxa"/>
            <w:tcMar>
              <w:top w:w="40" w:type="dxa"/>
              <w:left w:w="80" w:type="dxa"/>
              <w:bottom w:w="40" w:type="dxa"/>
              <w:right w:w="80" w:type="dxa"/>
            </w:tcMar>
          </w:tcPr>
          <w:p>
            <w:pPr>
              <w:spacing w:before="20" w:after="20" w:line="240" w:lineRule="auto"/>
            </w:pPr>
            <w:r>
              <w:rPr>
                <w:color w:val="1A202C"/>
                <w:sz w:val="20"/>
              </w:rPr>
              <w:t xml:space="preserve">168</w:t>
            </w:r>
          </w:p>
        </w:tc>
        <w:tc>
          <w:tcPr>
            <w:tcW w:w="3973" w:type="dxa"/>
            <w:tcMar>
              <w:top w:w="40" w:type="dxa"/>
              <w:left w:w="80" w:type="dxa"/>
              <w:bottom w:w="40" w:type="dxa"/>
              <w:right w:w="80" w:type="dxa"/>
            </w:tcMar>
          </w:tcPr>
          <w:p>
            <w:pPr>
              <w:spacing w:before="20" w:after="20" w:line="240" w:lineRule="auto"/>
            </w:pPr>
            <w:r>
              <w:rPr>
                <w:color w:val="1A202C"/>
                <w:sz w:val="20"/>
              </w:rPr>
              <w:t xml:space="preserve">Includes initial tooling amortisation</w:t>
            </w:r>
          </w:p>
        </w:tc>
      </w:tr>
      <w:tr>
        <w:tc>
          <w:tcPr>
            <w:tcW w:w="3068" w:type="dxa"/>
            <w:tcMar>
              <w:top w:w="40" w:type="dxa"/>
              <w:left w:w="80" w:type="dxa"/>
              <w:bottom w:w="40" w:type="dxa"/>
              <w:right w:w="80" w:type="dxa"/>
            </w:tcMar>
          </w:tcPr>
          <w:p>
            <w:pPr>
              <w:spacing w:before="20" w:after="20" w:line="240" w:lineRule="auto"/>
            </w:pPr>
            <w:r>
              <w:rPr>
                <w:color w:val="1A202C"/>
                <w:sz w:val="20"/>
              </w:rPr>
              <w:t xml:space="preserve">Unit 24</w:t>
            </w:r>
          </w:p>
        </w:tc>
        <w:tc>
          <w:tcPr>
            <w:tcW w:w="1985" w:type="dxa"/>
            <w:tcMar>
              <w:top w:w="40" w:type="dxa"/>
              <w:left w:w="80" w:type="dxa"/>
              <w:bottom w:w="40" w:type="dxa"/>
              <w:right w:w="80" w:type="dxa"/>
            </w:tcMar>
          </w:tcPr>
          <w:p>
            <w:pPr>
              <w:spacing w:before="20" w:after="20" w:line="240" w:lineRule="auto"/>
            </w:pPr>
            <w:r>
              <w:rPr>
                <w:color w:val="1A202C"/>
                <w:sz w:val="20"/>
              </w:rPr>
              <w:t xml:space="preserve">122</w:t>
            </w:r>
          </w:p>
        </w:tc>
        <w:tc>
          <w:tcPr>
            <w:tcW w:w="3973" w:type="dxa"/>
            <w:tcMar>
              <w:top w:w="40" w:type="dxa"/>
              <w:left w:w="80" w:type="dxa"/>
              <w:bottom w:w="40" w:type="dxa"/>
              <w:right w:w="80" w:type="dxa"/>
            </w:tcMar>
          </w:tcPr>
          <w:p>
            <w:pPr>
              <w:spacing w:before="20" w:after="20" w:line="240" w:lineRule="auto"/>
            </w:pPr>
            <w:r>
              <w:rPr>
                <w:color w:val="1A202C"/>
                <w:sz w:val="20"/>
              </w:rPr>
              <w:t xml:space="preserve">First full-rate year</w:t>
            </w:r>
          </w:p>
        </w:tc>
      </w:tr>
      <w:tr>
        <w:tc>
          <w:tcPr>
            <w:tcW w:w="3068" w:type="dxa"/>
            <w:tcMar>
              <w:top w:w="40" w:type="dxa"/>
              <w:left w:w="80" w:type="dxa"/>
              <w:bottom w:w="40" w:type="dxa"/>
              <w:right w:w="80" w:type="dxa"/>
            </w:tcMar>
          </w:tcPr>
          <w:p>
            <w:pPr>
              <w:spacing w:before="20" w:after="20" w:line="240" w:lineRule="auto"/>
            </w:pPr>
            <w:r>
              <w:rPr>
                <w:color w:val="1A202C"/>
                <w:sz w:val="20"/>
              </w:rPr>
              <w:t xml:space="preserve">Unit 60</w:t>
            </w:r>
          </w:p>
        </w:tc>
        <w:tc>
          <w:tcPr>
            <w:tcW w:w="1985" w:type="dxa"/>
            <w:tcMar>
              <w:top w:w="40" w:type="dxa"/>
              <w:left w:w="80" w:type="dxa"/>
              <w:bottom w:w="40" w:type="dxa"/>
              <w:right w:w="80" w:type="dxa"/>
            </w:tcMar>
          </w:tcPr>
          <w:p>
            <w:pPr>
              <w:spacing w:before="20" w:after="20" w:line="240" w:lineRule="auto"/>
            </w:pPr>
            <w:r>
              <w:rPr>
                <w:color w:val="1A202C"/>
                <w:sz w:val="20"/>
              </w:rPr>
              <w:t xml:space="preserve">106</w:t>
            </w:r>
          </w:p>
        </w:tc>
        <w:tc>
          <w:tcPr>
            <w:tcW w:w="3973" w:type="dxa"/>
            <w:tcMar>
              <w:top w:w="40" w:type="dxa"/>
              <w:left w:w="80" w:type="dxa"/>
              <w:bottom w:w="40" w:type="dxa"/>
              <w:right w:w="80" w:type="dxa"/>
            </w:tcMar>
          </w:tcPr>
          <w:p>
            <w:pPr>
              <w:spacing w:before="20" w:after="20" w:line="240" w:lineRule="auto"/>
            </w:pPr>
            <w:r>
              <w:rPr>
                <w:color w:val="1A202C"/>
                <w:sz w:val="20"/>
              </w:rPr>
              <w:t xml:space="preserve">Peak-rate learning</w:t>
            </w:r>
          </w:p>
        </w:tc>
      </w:tr>
      <w:tr>
        <w:tc>
          <w:tcPr>
            <w:tcW w:w="3068" w:type="dxa"/>
            <w:tcMar>
              <w:top w:w="40" w:type="dxa"/>
              <w:left w:w="80" w:type="dxa"/>
              <w:bottom w:w="40" w:type="dxa"/>
              <w:right w:w="80" w:type="dxa"/>
            </w:tcMar>
          </w:tcPr>
          <w:p>
            <w:pPr>
              <w:spacing w:before="20" w:after="20" w:line="240" w:lineRule="auto"/>
            </w:pPr>
            <w:r>
              <w:rPr>
                <w:color w:val="1A202C"/>
                <w:sz w:val="20"/>
              </w:rPr>
              <w:t xml:space="preserve">Unit 120</w:t>
            </w:r>
          </w:p>
        </w:tc>
        <w:tc>
          <w:tcPr>
            <w:tcW w:w="1985" w:type="dxa"/>
            <w:tcMar>
              <w:top w:w="40" w:type="dxa"/>
              <w:left w:w="80" w:type="dxa"/>
              <w:bottom w:w="40" w:type="dxa"/>
              <w:right w:w="80" w:type="dxa"/>
            </w:tcMar>
          </w:tcPr>
          <w:p>
            <w:pPr>
              <w:spacing w:before="20" w:after="20" w:line="240" w:lineRule="auto"/>
            </w:pPr>
            <w:r>
              <w:rPr>
                <w:color w:val="1A202C"/>
                <w:sz w:val="20"/>
              </w:rPr>
              <w:t xml:space="preserve">100</w:t>
            </w:r>
          </w:p>
        </w:tc>
        <w:tc>
          <w:tcPr>
            <w:tcW w:w="3973" w:type="dxa"/>
            <w:tcMar>
              <w:top w:w="40" w:type="dxa"/>
              <w:left w:w="80" w:type="dxa"/>
              <w:bottom w:w="40" w:type="dxa"/>
              <w:right w:w="80" w:type="dxa"/>
            </w:tcMar>
          </w:tcPr>
          <w:p>
            <w:pPr>
              <w:spacing w:before="20" w:after="20" w:line="240" w:lineRule="auto"/>
            </w:pPr>
            <w:r>
              <w:rPr>
                <w:color w:val="1A202C"/>
                <w:sz w:val="20"/>
              </w:rPr>
              <w:t xml:space="preserve">Steady state</w:t>
            </w:r>
          </w:p>
        </w:tc>
      </w:tr>
      <w:tr>
        <w:tc>
          <w:tcPr>
            <w:tcW w:w="3068" w:type="dxa"/>
            <w:tcMar>
              <w:top w:w="40" w:type="dxa"/>
              <w:left w:w="80" w:type="dxa"/>
              <w:bottom w:w="40" w:type="dxa"/>
              <w:right w:w="80" w:type="dxa"/>
            </w:tcMar>
          </w:tcPr>
          <w:p>
            <w:pPr>
              <w:spacing w:before="20" w:after="20" w:line="240" w:lineRule="auto"/>
            </w:pPr>
            <w:r>
              <w:rPr>
                <w:color w:val="1A202C"/>
                <w:sz w:val="20"/>
              </w:rPr>
              <w:t xml:space="preserve">Unit 204</w:t>
            </w:r>
          </w:p>
        </w:tc>
        <w:tc>
          <w:tcPr>
            <w:tcW w:w="1985" w:type="dxa"/>
            <w:tcMar>
              <w:top w:w="40" w:type="dxa"/>
              <w:left w:w="80" w:type="dxa"/>
              <w:bottom w:w="40" w:type="dxa"/>
              <w:right w:w="80" w:type="dxa"/>
            </w:tcMar>
          </w:tcPr>
          <w:p>
            <w:pPr>
              <w:spacing w:before="20" w:after="20" w:line="240" w:lineRule="auto"/>
            </w:pPr>
            <w:r>
              <w:rPr>
                <w:color w:val="1A202C"/>
                <w:sz w:val="20"/>
              </w:rPr>
              <w:t xml:space="preserve">94</w:t>
            </w:r>
          </w:p>
        </w:tc>
        <w:tc>
          <w:tcPr>
            <w:tcW w:w="3973" w:type="dxa"/>
            <w:tcMar>
              <w:top w:w="40" w:type="dxa"/>
              <w:left w:w="80" w:type="dxa"/>
              <w:bottom w:w="40" w:type="dxa"/>
              <w:right w:w="80" w:type="dxa"/>
            </w:tcMar>
          </w:tcPr>
          <w:p>
            <w:pPr>
              <w:spacing w:before="20" w:after="20" w:line="240" w:lineRule="auto"/>
            </w:pPr>
            <w:r>
              <w:rPr>
                <w:color w:val="1A202C"/>
                <w:sz w:val="20"/>
              </w:rPr>
              <w:t xml:space="preserve">88% Wright learning curve on touch labour</w:t>
            </w:r>
          </w:p>
        </w:tc>
      </w:tr>
      <w:tr>
        <w:tc>
          <w:tcPr>
            <w:tcW w:w="3068" w:type="dxa"/>
            <w:tcMar>
              <w:top w:w="40" w:type="dxa"/>
              <w:left w:w="80" w:type="dxa"/>
              <w:bottom w:w="40" w:type="dxa"/>
              <w:right w:w="80" w:type="dxa"/>
            </w:tcMar>
          </w:tcPr>
          <w:p>
            <w:pPr>
              <w:spacing w:before="20" w:after="20" w:line="240" w:lineRule="auto"/>
            </w:pPr>
            <w:r>
              <w:rPr>
                <w:b/>
                <w:color w:val="1A202C"/>
                <w:sz w:val="20"/>
              </w:rPr>
              <w:t xml:space="preserve">204-unit average</w:t>
            </w:r>
          </w:p>
        </w:tc>
        <w:tc>
          <w:tcPr>
            <w:tcW w:w="1985" w:type="dxa"/>
            <w:tcMar>
              <w:top w:w="40" w:type="dxa"/>
              <w:left w:w="80" w:type="dxa"/>
              <w:bottom w:w="40" w:type="dxa"/>
              <w:right w:w="80" w:type="dxa"/>
            </w:tcMar>
          </w:tcPr>
          <w:p>
            <w:pPr>
              <w:spacing w:before="20" w:after="20" w:line="240" w:lineRule="auto"/>
            </w:pPr>
            <w:r>
              <w:rPr>
                <w:b/>
                <w:color w:val="1A202C"/>
                <w:sz w:val="20"/>
              </w:rPr>
              <w:t xml:space="preserve">98</w:t>
            </w:r>
          </w:p>
        </w:tc>
        <w:tc>
          <w:tcPr>
            <w:tcW w:w="3973" w:type="dxa"/>
            <w:tcMar>
              <w:top w:w="40" w:type="dxa"/>
              <w:left w:w="80" w:type="dxa"/>
              <w:bottom w:w="40" w:type="dxa"/>
              <w:right w:w="80" w:type="dxa"/>
            </w:tcMar>
          </w:tcPr>
          <w:p>
            <w:pPr>
              <w:spacing w:before="20" w:after="20" w:line="240" w:lineRule="auto"/>
            </w:pPr>
            <w:r>
              <w:rPr>
                <w:b/>
                <w:color w:val="1A202C"/>
                <w:sz w:val="20"/>
              </w:rPr>
              <w:t xml:space="preserve">Planning value</w:t>
            </w:r>
          </w:p>
        </w:tc>
      </w:tr>
    </w:tbl>
    <w:p>
      <w:pPr>
        <w:spacing w:after="180" w:line="288" w:lineRule="auto"/>
      </w:pPr>
      <w:r>
        <w:t xml:space="preserve">Nonrecurring development totals $24.0B USD. At 1.37 CAD/USD, the Canadian-dollar baseline stands at $32.9B for development and $27.4B for production, a $60.3B total acquisition program. Operating cost reaches a steady-state $38,000 USD ($52,000 CAD) per flight hour, or $6.8M USD ($9.3M CAD) per tail per year at 180 flying hours, placing fleet sustainment near $1.9B CAD per year at full strength.</w:t>
      </w:r>
    </w:p>
    <w:p>
      <w:pPr>
        <w:spacing w:after="180" w:line="288" w:lineRule="auto"/>
      </w:pPr>
      <w:r>
        <w:rPr>
          <w:b/>
        </w:rPr>
        <w:t xml:space="preserve">Cost realism note: </w:t>
      </w:r>
      <w:r>
        <w:t xml:space="preserve">Rev 2.5.5 of the technical baseline rebaselined flyaway from $65M to the $95M to $110M range after an external review found the earlier figure not credible for a sixth-generation aircraft with two adaptive engines, GaN arrays, and a mirror coating stack. Honest conceptual costing anchors every economic figure in this document and prevents the death spiral that unrealistic baselines guarantee once real mass and complexity surface in development.</w:t>
      </w:r>
    </w:p>
    <w:p>
      <w:pPr>
        <w:pStyle w:val="Heading2"/>
      </w:pPr>
      <w:r>
        <w:t>2.3 The Avro Arrow Parallel</w:t>
      </w:r>
    </w:p>
    <w:p>
      <w:pPr>
        <w:spacing w:after="180" w:line="288" w:lineRule="auto"/>
      </w:pPr>
      <w:r>
        <w:t xml:space="preserve">The program name honours the Avro Canada CF-105 Arrow, the delta-wing interceptor that first flew on 25 March 1958 and set world-class performance marks before the government of the day cancelled the program on 20 February 1959. Avro Canada laid off roughly 14,500 employees on the day of the announcement, and historians place total job losses across the supplier network at 25,000 to 30,000. The engineering team dispersed to NASA, to US aerospace primes, and to British programs; Canada never again designed a frontline combat aircraft. The Aurora Arrow restores that sovereign design lineage sixty-seven years later, this time with an economic architecture that keeps the engineering, the intellectual property, and the production value inside Canada.</w:t>
      </w:r>
    </w:p>
    <w:p>
      <w:pPr>
        <w:pStyle w:val="Heading1"/>
      </w:pPr>
      <w:r>
        <w:t>PART III: BUILDING THE AURORA ARROW IN CANADA</w:t>
      </w:r>
    </w:p>
    <w:p>
      <w:pPr>
        <w:pStyle w:val="Heading2"/>
      </w:pPr>
      <w:r>
        <w:t>3.1 The Industrial Foundation</w:t>
      </w:r>
    </w:p>
    <w:p>
      <w:pPr>
        <w:spacing w:after="180" w:line="288" w:lineRule="auto"/>
      </w:pPr>
      <w:r>
        <w:t xml:space="preserve">Canada fields the seventh-largest aerospace industry in the world. The sector contributed $33.1 billion to GDP and supported 218,700 jobs in 2025, exported $28.2 billion to more than 170 countries, and invested over $1.8 billion in R&amp;D at 4.5 times the manufacturing-average intensity. Canada holds top-five global rankings in civil flight simulators, engines, and aircraft segments. This foundation supplies the primes, the suppliers, and the workforce that a sixth-generation program demands: Bombardier-class final assembly, Pratt &amp; Whitney Canada propulsion, CAE training and mission systems, MDA sensors and space systems, L3Harris mission integration, Magellan composites, and Heroux-Devtek landing gear.</w:t>
      </w:r>
    </w:p>
    <w:p>
      <w:pPr>
        <w:pStyle w:val="Heading2"/>
      </w:pPr>
      <w:r>
        <w:t>3.2 The Build Pathway</w:t>
      </w:r>
    </w:p>
    <w:p>
      <w:pPr>
        <w:spacing w:after="180" w:line="288" w:lineRule="auto"/>
      </w:pPr>
      <w:r>
        <w:t xml:space="preserve">The build pathway assigns every major work package to an existing Canadian industrial anchor, closing gaps through the Partner pillar of the Defence Industrial Strategy where domestic capability falls short.</w:t>
      </w:r>
    </w:p>
    <w:tbl>
      <w:tblPr>
        <w:tblW w:w="5000" w:type="pct"/>
        <w:tblBorders>
          <w:top w:val="single" w:color="1A2744" w:sz="12"/>
          <w:left w:val="nil"/>
          <w:bottom w:val="single" w:color="1A2744" w:sz="12"/>
          <w:right w:val="nil"/>
          <w:insideH w:val="single" w:color="C8C4BC" w:sz="4"/>
          <w:insideV w:val="nil"/>
        </w:tblBorders>
      </w:tblPr>
      <w:tblGrid>
        <w:gridCol w:w="2346"/>
        <w:gridCol w:w="2346"/>
        <w:gridCol w:w="2346"/>
        <w:gridCol w:w="1988"/>
      </w:tblGrid>
      <w:tr>
        <w:trPr>
          <w:tblHeader/>
        </w:trPr>
        <w:tc>
          <w:tcPr>
            <w:tcW w:w="2346" w:type="dxa"/>
            <w:shd w:val="clear" w:fill="F4F2EE"/>
            <w:tcMar>
              <w:top w:w="40" w:type="dxa"/>
              <w:left w:w="80" w:type="dxa"/>
              <w:bottom w:w="40" w:type="dxa"/>
              <w:right w:w="80" w:type="dxa"/>
            </w:tcMar>
          </w:tcPr>
          <w:p>
            <w:pPr>
              <w:spacing w:before="20" w:after="20" w:line="240" w:lineRule="auto"/>
            </w:pPr>
            <w:r>
              <w:rPr>
                <w:b/>
                <w:color w:val="1A2744"/>
                <w:sz w:val="20"/>
              </w:rPr>
              <w:t xml:space="preserve">Work Package</w:t>
            </w:r>
          </w:p>
        </w:tc>
        <w:tc>
          <w:tcPr>
            <w:tcW w:w="2346" w:type="dxa"/>
            <w:shd w:val="clear" w:fill="F4F2EE"/>
            <w:tcMar>
              <w:top w:w="40" w:type="dxa"/>
              <w:left w:w="80" w:type="dxa"/>
              <w:bottom w:w="40" w:type="dxa"/>
              <w:right w:w="80" w:type="dxa"/>
            </w:tcMar>
          </w:tcPr>
          <w:p>
            <w:pPr>
              <w:spacing w:before="20" w:after="20" w:line="240" w:lineRule="auto"/>
            </w:pPr>
            <w:r>
              <w:rPr>
                <w:b/>
                <w:color w:val="1A2744"/>
                <w:sz w:val="20"/>
              </w:rPr>
              <w:t xml:space="preserve">Lead Location</w:t>
            </w:r>
          </w:p>
        </w:tc>
        <w:tc>
          <w:tcPr>
            <w:tcW w:w="2346" w:type="dxa"/>
            <w:shd w:val="clear" w:fill="F4F2EE"/>
            <w:tcMar>
              <w:top w:w="40" w:type="dxa"/>
              <w:left w:w="80" w:type="dxa"/>
              <w:bottom w:w="40" w:type="dxa"/>
              <w:right w:w="80" w:type="dxa"/>
            </w:tcMar>
          </w:tcPr>
          <w:p>
            <w:pPr>
              <w:spacing w:before="20" w:after="20" w:line="240" w:lineRule="auto"/>
            </w:pPr>
            <w:r>
              <w:rPr>
                <w:b/>
                <w:color w:val="1A2744"/>
                <w:sz w:val="20"/>
              </w:rPr>
              <w:t xml:space="preserve">Industrial Anchor</w:t>
            </w:r>
          </w:p>
        </w:tc>
        <w:tc>
          <w:tcPr>
            <w:tcW w:w="1988" w:type="dxa"/>
            <w:shd w:val="clear" w:fill="F4F2EE"/>
            <w:tcMar>
              <w:top w:w="40" w:type="dxa"/>
              <w:left w:w="80" w:type="dxa"/>
              <w:bottom w:w="40" w:type="dxa"/>
              <w:right w:w="80" w:type="dxa"/>
            </w:tcMar>
          </w:tcPr>
          <w:p>
            <w:pPr>
              <w:spacing w:before="20" w:after="20" w:line="240" w:lineRule="auto"/>
            </w:pPr>
            <w:r>
              <w:rPr>
                <w:b/>
                <w:color w:val="1A2744"/>
                <w:sz w:val="20"/>
              </w:rPr>
              <w:t xml:space="preserve">Notes</w:t>
            </w:r>
          </w:p>
        </w:tc>
      </w:tr>
      <w:tr>
        <w:tc>
          <w:tcPr>
            <w:tcW w:w="2346" w:type="dxa"/>
            <w:tcMar>
              <w:top w:w="40" w:type="dxa"/>
              <w:left w:w="80" w:type="dxa"/>
              <w:bottom w:w="40" w:type="dxa"/>
              <w:right w:w="80" w:type="dxa"/>
            </w:tcMar>
          </w:tcPr>
          <w:p>
            <w:pPr>
              <w:spacing w:before="20" w:after="20" w:line="240" w:lineRule="auto"/>
            </w:pPr>
            <w:r>
              <w:rPr>
                <w:color w:val="1A202C"/>
                <w:sz w:val="20"/>
              </w:rPr>
              <w:t xml:space="preserve">Final assembly and integration</w:t>
            </w:r>
          </w:p>
        </w:tc>
        <w:tc>
          <w:tcPr>
            <w:tcW w:w="2346" w:type="dxa"/>
            <w:tcMar>
              <w:top w:w="40" w:type="dxa"/>
              <w:left w:w="80" w:type="dxa"/>
              <w:bottom w:w="40" w:type="dxa"/>
              <w:right w:w="80" w:type="dxa"/>
            </w:tcMar>
          </w:tcPr>
          <w:p>
            <w:pPr>
              <w:spacing w:before="20" w:after="20" w:line="240" w:lineRule="auto"/>
            </w:pPr>
            <w:r>
              <w:rPr>
                <w:color w:val="1A202C"/>
                <w:sz w:val="20"/>
              </w:rPr>
              <w:t xml:space="preserve">Mirabel, Quebec</w:t>
            </w:r>
          </w:p>
        </w:tc>
        <w:tc>
          <w:tcPr>
            <w:tcW w:w="2346" w:type="dxa"/>
            <w:tcMar>
              <w:top w:w="40" w:type="dxa"/>
              <w:left w:w="80" w:type="dxa"/>
              <w:bottom w:w="40" w:type="dxa"/>
              <w:right w:w="80" w:type="dxa"/>
            </w:tcMar>
          </w:tcPr>
          <w:p>
            <w:pPr>
              <w:spacing w:before="20" w:after="20" w:line="240" w:lineRule="auto"/>
            </w:pPr>
            <w:r>
              <w:rPr>
                <w:color w:val="1A202C"/>
                <w:sz w:val="20"/>
              </w:rPr>
              <w:t xml:space="preserve">Bombardier-class final assembly line</w:t>
            </w:r>
          </w:p>
        </w:tc>
        <w:tc>
          <w:tcPr>
            <w:tcW w:w="1988" w:type="dxa"/>
            <w:tcMar>
              <w:top w:w="40" w:type="dxa"/>
              <w:left w:w="80" w:type="dxa"/>
              <w:bottom w:w="40" w:type="dxa"/>
              <w:right w:w="80" w:type="dxa"/>
            </w:tcMar>
          </w:tcPr>
          <w:p>
            <w:pPr>
              <w:spacing w:before="20" w:after="20" w:line="240" w:lineRule="auto"/>
            </w:pPr>
            <w:r>
              <w:rPr>
                <w:color w:val="1A202C"/>
                <w:sz w:val="20"/>
              </w:rPr>
              <w:t xml:space="preserve">Single national line per Section 23.3; peak 24 aircraft per year</w:t>
            </w:r>
          </w:p>
        </w:tc>
      </w:tr>
      <w:tr>
        <w:tc>
          <w:tcPr>
            <w:tcW w:w="2346" w:type="dxa"/>
            <w:tcMar>
              <w:top w:w="40" w:type="dxa"/>
              <w:left w:w="80" w:type="dxa"/>
              <w:bottom w:w="40" w:type="dxa"/>
              <w:right w:w="80" w:type="dxa"/>
            </w:tcMar>
          </w:tcPr>
          <w:p>
            <w:pPr>
              <w:spacing w:before="20" w:after="20" w:line="240" w:lineRule="auto"/>
            </w:pPr>
            <w:r>
              <w:rPr>
                <w:color w:val="1A202C"/>
                <w:sz w:val="20"/>
              </w:rPr>
              <w:t xml:space="preserve">Adaptive propulsion</w:t>
            </w:r>
          </w:p>
        </w:tc>
        <w:tc>
          <w:tcPr>
            <w:tcW w:w="2346" w:type="dxa"/>
            <w:tcMar>
              <w:top w:w="40" w:type="dxa"/>
              <w:left w:w="80" w:type="dxa"/>
              <w:bottom w:w="40" w:type="dxa"/>
              <w:right w:w="80" w:type="dxa"/>
            </w:tcMar>
          </w:tcPr>
          <w:p>
            <w:pPr>
              <w:spacing w:before="20" w:after="20" w:line="240" w:lineRule="auto"/>
            </w:pPr>
            <w:r>
              <w:rPr>
                <w:color w:val="1A202C"/>
                <w:sz w:val="20"/>
              </w:rPr>
              <w:t xml:space="preserve">Longueuil, Quebec</w:t>
            </w:r>
          </w:p>
        </w:tc>
        <w:tc>
          <w:tcPr>
            <w:tcW w:w="2346" w:type="dxa"/>
            <w:tcMar>
              <w:top w:w="40" w:type="dxa"/>
              <w:left w:w="80" w:type="dxa"/>
              <w:bottom w:w="40" w:type="dxa"/>
              <w:right w:w="80" w:type="dxa"/>
            </w:tcMar>
          </w:tcPr>
          <w:p>
            <w:pPr>
              <w:spacing w:before="20" w:after="20" w:line="240" w:lineRule="auto"/>
            </w:pPr>
            <w:r>
              <w:rPr>
                <w:color w:val="1A202C"/>
                <w:sz w:val="20"/>
              </w:rPr>
              <w:t xml:space="preserve">Pratt and Whitney Canada plus allied engine partner</w:t>
            </w:r>
          </w:p>
        </w:tc>
        <w:tc>
          <w:tcPr>
            <w:tcW w:w="1988" w:type="dxa"/>
            <w:tcMar>
              <w:top w:w="40" w:type="dxa"/>
              <w:left w:w="80" w:type="dxa"/>
              <w:bottom w:w="40" w:type="dxa"/>
              <w:right w:w="80" w:type="dxa"/>
            </w:tcMar>
          </w:tcPr>
          <w:p>
            <w:pPr>
              <w:spacing w:before="20" w:after="20" w:line="240" w:lineRule="auto"/>
            </w:pPr>
            <w:r>
              <w:rPr>
                <w:color w:val="1A202C"/>
                <w:sz w:val="20"/>
              </w:rPr>
              <w:t xml:space="preserve">Partner pillar; 100 kN adaptive three-stream core</w:t>
            </w:r>
          </w:p>
        </w:tc>
      </w:tr>
      <w:tr>
        <w:tc>
          <w:tcPr>
            <w:tcW w:w="2346" w:type="dxa"/>
            <w:tcMar>
              <w:top w:w="40" w:type="dxa"/>
              <w:left w:w="80" w:type="dxa"/>
              <w:bottom w:w="40" w:type="dxa"/>
              <w:right w:w="80" w:type="dxa"/>
            </w:tcMar>
          </w:tcPr>
          <w:p>
            <w:pPr>
              <w:spacing w:before="20" w:after="20" w:line="240" w:lineRule="auto"/>
            </w:pPr>
            <w:r>
              <w:rPr>
                <w:color w:val="1A202C"/>
                <w:sz w:val="20"/>
              </w:rPr>
              <w:t xml:space="preserve">Mission systems and ECHO AI</w:t>
            </w:r>
          </w:p>
        </w:tc>
        <w:tc>
          <w:tcPr>
            <w:tcW w:w="2346" w:type="dxa"/>
            <w:tcMar>
              <w:top w:w="40" w:type="dxa"/>
              <w:left w:w="80" w:type="dxa"/>
              <w:bottom w:w="40" w:type="dxa"/>
              <w:right w:w="80" w:type="dxa"/>
            </w:tcMar>
          </w:tcPr>
          <w:p>
            <w:pPr>
              <w:spacing w:before="20" w:after="20" w:line="240" w:lineRule="auto"/>
            </w:pPr>
            <w:r>
              <w:rPr>
                <w:color w:val="1A202C"/>
                <w:sz w:val="20"/>
              </w:rPr>
              <w:t xml:space="preserve">Montreal and Ottawa</w:t>
            </w:r>
          </w:p>
        </w:tc>
        <w:tc>
          <w:tcPr>
            <w:tcW w:w="2346" w:type="dxa"/>
            <w:tcMar>
              <w:top w:w="40" w:type="dxa"/>
              <w:left w:w="80" w:type="dxa"/>
              <w:bottom w:w="40" w:type="dxa"/>
              <w:right w:w="80" w:type="dxa"/>
            </w:tcMar>
          </w:tcPr>
          <w:p>
            <w:pPr>
              <w:spacing w:before="20" w:after="20" w:line="240" w:lineRule="auto"/>
            </w:pPr>
            <w:r>
              <w:rPr>
                <w:color w:val="1A202C"/>
                <w:sz w:val="20"/>
              </w:rPr>
              <w:t xml:space="preserve">CAE, MDA, Ottawa autonomy cluster</w:t>
            </w:r>
          </w:p>
        </w:tc>
        <w:tc>
          <w:tcPr>
            <w:tcW w:w="1988" w:type="dxa"/>
            <w:tcMar>
              <w:top w:w="40" w:type="dxa"/>
              <w:left w:w="80" w:type="dxa"/>
              <w:bottom w:w="40" w:type="dxa"/>
              <w:right w:w="80" w:type="dxa"/>
            </w:tcMar>
          </w:tcPr>
          <w:p>
            <w:pPr>
              <w:spacing w:before="20" w:after="20" w:line="240" w:lineRule="auto"/>
            </w:pPr>
            <w:r>
              <w:rPr>
                <w:color w:val="1A202C"/>
                <w:sz w:val="20"/>
              </w:rPr>
              <w:t xml:space="preserve">12 TFLOPS core processor; sovereign training pipeline</w:t>
            </w:r>
          </w:p>
        </w:tc>
      </w:tr>
      <w:tr>
        <w:tc>
          <w:tcPr>
            <w:tcW w:w="2346" w:type="dxa"/>
            <w:tcMar>
              <w:top w:w="40" w:type="dxa"/>
              <w:left w:w="80" w:type="dxa"/>
              <w:bottom w:w="40" w:type="dxa"/>
              <w:right w:w="80" w:type="dxa"/>
            </w:tcMar>
          </w:tcPr>
          <w:p>
            <w:pPr>
              <w:spacing w:before="20" w:after="20" w:line="240" w:lineRule="auto"/>
            </w:pPr>
            <w:r>
              <w:rPr>
                <w:color w:val="1A202C"/>
                <w:sz w:val="20"/>
              </w:rPr>
              <w:t xml:space="preserve">AESA and GaN sensors</w:t>
            </w:r>
          </w:p>
        </w:tc>
        <w:tc>
          <w:tcPr>
            <w:tcW w:w="2346" w:type="dxa"/>
            <w:tcMar>
              <w:top w:w="40" w:type="dxa"/>
              <w:left w:w="80" w:type="dxa"/>
              <w:bottom w:w="40" w:type="dxa"/>
              <w:right w:w="80" w:type="dxa"/>
            </w:tcMar>
          </w:tcPr>
          <w:p>
            <w:pPr>
              <w:spacing w:before="20" w:after="20" w:line="240" w:lineRule="auto"/>
            </w:pPr>
            <w:r>
              <w:rPr>
                <w:color w:val="1A202C"/>
                <w:sz w:val="20"/>
              </w:rPr>
              <w:t xml:space="preserve">Ottawa/Kanata, Ontario</w:t>
            </w:r>
          </w:p>
        </w:tc>
        <w:tc>
          <w:tcPr>
            <w:tcW w:w="2346" w:type="dxa"/>
            <w:tcMar>
              <w:top w:w="40" w:type="dxa"/>
              <w:left w:w="80" w:type="dxa"/>
              <w:bottom w:w="40" w:type="dxa"/>
              <w:right w:w="80" w:type="dxa"/>
            </w:tcMar>
          </w:tcPr>
          <w:p>
            <w:pPr>
              <w:spacing w:before="20" w:after="20" w:line="240" w:lineRule="auto"/>
            </w:pPr>
            <w:r>
              <w:rPr>
                <w:color w:val="1A202C"/>
                <w:sz w:val="20"/>
              </w:rPr>
              <w:t xml:space="preserve">MDA plus a domestic GaN module line</w:t>
            </w:r>
          </w:p>
        </w:tc>
        <w:tc>
          <w:tcPr>
            <w:tcW w:w="1988" w:type="dxa"/>
            <w:tcMar>
              <w:top w:w="40" w:type="dxa"/>
              <w:left w:w="80" w:type="dxa"/>
              <w:bottom w:w="40" w:type="dxa"/>
              <w:right w:w="80" w:type="dxa"/>
            </w:tcMar>
          </w:tcPr>
          <w:p>
            <w:pPr>
              <w:spacing w:before="20" w:after="20" w:line="240" w:lineRule="auto"/>
            </w:pPr>
            <w:r>
              <w:rPr>
                <w:color w:val="1A202C"/>
                <w:sz w:val="20"/>
              </w:rPr>
              <w:t xml:space="preserve">Nose and cheek arrays, 2,000+ elements</w:t>
            </w:r>
          </w:p>
        </w:tc>
      </w:tr>
      <w:tr>
        <w:tc>
          <w:tcPr>
            <w:tcW w:w="2346" w:type="dxa"/>
            <w:tcMar>
              <w:top w:w="40" w:type="dxa"/>
              <w:left w:w="80" w:type="dxa"/>
              <w:bottom w:w="40" w:type="dxa"/>
              <w:right w:w="80" w:type="dxa"/>
            </w:tcMar>
          </w:tcPr>
          <w:p>
            <w:pPr>
              <w:spacing w:before="20" w:after="20" w:line="240" w:lineRule="auto"/>
            </w:pPr>
            <w:r>
              <w:rPr>
                <w:color w:val="1A202C"/>
                <w:sz w:val="20"/>
              </w:rPr>
              <w:t xml:space="preserve">Airframe composites and coating</w:t>
            </w:r>
          </w:p>
        </w:tc>
        <w:tc>
          <w:tcPr>
            <w:tcW w:w="2346" w:type="dxa"/>
            <w:tcMar>
              <w:top w:w="40" w:type="dxa"/>
              <w:left w:w="80" w:type="dxa"/>
              <w:bottom w:w="40" w:type="dxa"/>
              <w:right w:w="80" w:type="dxa"/>
            </w:tcMar>
          </w:tcPr>
          <w:p>
            <w:pPr>
              <w:spacing w:before="20" w:after="20" w:line="240" w:lineRule="auto"/>
            </w:pPr>
            <w:r>
              <w:rPr>
                <w:color w:val="1A202C"/>
                <w:sz w:val="20"/>
              </w:rPr>
              <w:t xml:space="preserve">Winnipeg and Montreal</w:t>
            </w:r>
          </w:p>
        </w:tc>
        <w:tc>
          <w:tcPr>
            <w:tcW w:w="2346" w:type="dxa"/>
            <w:tcMar>
              <w:top w:w="40" w:type="dxa"/>
              <w:left w:w="80" w:type="dxa"/>
              <w:bottom w:w="40" w:type="dxa"/>
              <w:right w:w="80" w:type="dxa"/>
            </w:tcMar>
          </w:tcPr>
          <w:p>
            <w:pPr>
              <w:spacing w:before="20" w:after="20" w:line="240" w:lineRule="auto"/>
            </w:pPr>
            <w:r>
              <w:rPr>
                <w:color w:val="1A202C"/>
                <w:sz w:val="20"/>
              </w:rPr>
              <w:t xml:space="preserve">Magellan-class composite fabrication</w:t>
            </w:r>
          </w:p>
        </w:tc>
        <w:tc>
          <w:tcPr>
            <w:tcW w:w="1988" w:type="dxa"/>
            <w:tcMar>
              <w:top w:w="40" w:type="dxa"/>
              <w:left w:w="80" w:type="dxa"/>
              <w:bottom w:w="40" w:type="dxa"/>
              <w:right w:w="80" w:type="dxa"/>
            </w:tcMar>
          </w:tcPr>
          <w:p>
            <w:pPr>
              <w:spacing w:before="20" w:after="20" w:line="240" w:lineRule="auto"/>
            </w:pPr>
            <w:r>
              <w:rPr>
                <w:color w:val="1A202C"/>
                <w:sz w:val="20"/>
              </w:rPr>
              <w:t xml:space="preserve">Shares composite fabrication with the MQ-28 family (Section 23.3)</w:t>
            </w:r>
          </w:p>
        </w:tc>
      </w:tr>
      <w:tr>
        <w:tc>
          <w:tcPr>
            <w:tcW w:w="2346" w:type="dxa"/>
            <w:tcMar>
              <w:top w:w="40" w:type="dxa"/>
              <w:left w:w="80" w:type="dxa"/>
              <w:bottom w:w="40" w:type="dxa"/>
              <w:right w:w="80" w:type="dxa"/>
            </w:tcMar>
          </w:tcPr>
          <w:p>
            <w:pPr>
              <w:spacing w:before="20" w:after="20" w:line="240" w:lineRule="auto"/>
            </w:pPr>
            <w:r>
              <w:rPr>
                <w:color w:val="1A202C"/>
                <w:sz w:val="20"/>
              </w:rPr>
              <w:t xml:space="preserve">Solid-state energy storage</w:t>
            </w:r>
          </w:p>
        </w:tc>
        <w:tc>
          <w:tcPr>
            <w:tcW w:w="2346" w:type="dxa"/>
            <w:tcMar>
              <w:top w:w="40" w:type="dxa"/>
              <w:left w:w="80" w:type="dxa"/>
              <w:bottom w:w="40" w:type="dxa"/>
              <w:right w:w="80" w:type="dxa"/>
            </w:tcMar>
          </w:tcPr>
          <w:p>
            <w:pPr>
              <w:spacing w:before="20" w:after="20" w:line="240" w:lineRule="auto"/>
            </w:pPr>
            <w:r>
              <w:rPr>
                <w:color w:val="1A202C"/>
                <w:sz w:val="20"/>
              </w:rPr>
              <w:t xml:space="preserve">Quebec-Ontario battery belt</w:t>
            </w:r>
          </w:p>
        </w:tc>
        <w:tc>
          <w:tcPr>
            <w:tcW w:w="2346" w:type="dxa"/>
            <w:tcMar>
              <w:top w:w="40" w:type="dxa"/>
              <w:left w:w="80" w:type="dxa"/>
              <w:bottom w:w="40" w:type="dxa"/>
              <w:right w:w="80" w:type="dxa"/>
            </w:tcMar>
          </w:tcPr>
          <w:p>
            <w:pPr>
              <w:spacing w:before="20" w:after="20" w:line="240" w:lineRule="auto"/>
            </w:pPr>
            <w:r>
              <w:rPr>
                <w:color w:val="1A202C"/>
                <w:sz w:val="20"/>
              </w:rPr>
              <w:t xml:space="preserve">8 GWh per year cell facility (Section 23.3)</w:t>
            </w:r>
          </w:p>
        </w:tc>
        <w:tc>
          <w:tcPr>
            <w:tcW w:w="1988" w:type="dxa"/>
            <w:tcMar>
              <w:top w:w="40" w:type="dxa"/>
              <w:left w:w="80" w:type="dxa"/>
              <w:bottom w:w="40" w:type="dxa"/>
              <w:right w:w="80" w:type="dxa"/>
            </w:tcMar>
          </w:tcPr>
          <w:p>
            <w:pPr>
              <w:spacing w:before="20" w:after="20" w:line="240" w:lineRule="auto"/>
            </w:pPr>
            <w:r>
              <w:rPr>
                <w:color w:val="1A202C"/>
                <w:sz w:val="20"/>
              </w:rPr>
              <w:t xml:space="preserve">450 kWh Li-S packs at 0.80 kWh/kg</w:t>
            </w:r>
          </w:p>
        </w:tc>
      </w:tr>
      <w:tr>
        <w:tc>
          <w:tcPr>
            <w:tcW w:w="2346" w:type="dxa"/>
            <w:tcMar>
              <w:top w:w="40" w:type="dxa"/>
              <w:left w:w="80" w:type="dxa"/>
              <w:bottom w:w="40" w:type="dxa"/>
              <w:right w:w="80" w:type="dxa"/>
            </w:tcMar>
          </w:tcPr>
          <w:p>
            <w:pPr>
              <w:spacing w:before="20" w:after="20" w:line="240" w:lineRule="auto"/>
            </w:pPr>
            <w:r>
              <w:rPr>
                <w:color w:val="1A202C"/>
                <w:sz w:val="20"/>
              </w:rPr>
              <w:t xml:space="preserve">Landing gear and actuation</w:t>
            </w:r>
          </w:p>
        </w:tc>
        <w:tc>
          <w:tcPr>
            <w:tcW w:w="2346" w:type="dxa"/>
            <w:tcMar>
              <w:top w:w="40" w:type="dxa"/>
              <w:left w:w="80" w:type="dxa"/>
              <w:bottom w:w="40" w:type="dxa"/>
              <w:right w:w="80" w:type="dxa"/>
            </w:tcMar>
          </w:tcPr>
          <w:p>
            <w:pPr>
              <w:spacing w:before="20" w:after="20" w:line="240" w:lineRule="auto"/>
            </w:pPr>
            <w:r>
              <w:rPr>
                <w:color w:val="1A202C"/>
                <w:sz w:val="20"/>
              </w:rPr>
              <w:t xml:space="preserve">Ontario and Quebec</w:t>
            </w:r>
          </w:p>
        </w:tc>
        <w:tc>
          <w:tcPr>
            <w:tcW w:w="2346" w:type="dxa"/>
            <w:tcMar>
              <w:top w:w="40" w:type="dxa"/>
              <w:left w:w="80" w:type="dxa"/>
              <w:bottom w:w="40" w:type="dxa"/>
              <w:right w:w="80" w:type="dxa"/>
            </w:tcMar>
          </w:tcPr>
          <w:p>
            <w:pPr>
              <w:spacing w:before="20" w:after="20" w:line="240" w:lineRule="auto"/>
            </w:pPr>
            <w:r>
              <w:rPr>
                <w:color w:val="1A202C"/>
                <w:sz w:val="20"/>
              </w:rPr>
              <w:t xml:space="preserve">Heroux-Devtek-class gear supplier</w:t>
            </w:r>
          </w:p>
        </w:tc>
        <w:tc>
          <w:tcPr>
            <w:tcW w:w="1988" w:type="dxa"/>
            <w:tcMar>
              <w:top w:w="40" w:type="dxa"/>
              <w:left w:w="80" w:type="dxa"/>
              <w:bottom w:w="40" w:type="dxa"/>
              <w:right w:w="80" w:type="dxa"/>
            </w:tcMar>
          </w:tcPr>
          <w:p>
            <w:pPr>
              <w:spacing w:before="20" w:after="20" w:line="240" w:lineRule="auto"/>
            </w:pPr>
            <w:r>
              <w:rPr>
                <w:color w:val="1A202C"/>
                <w:sz w:val="20"/>
              </w:rPr>
              <w:t xml:space="preserve">Strengthened 15 cm rutting-class gear</w:t>
            </w:r>
          </w:p>
        </w:tc>
      </w:tr>
      <w:tr>
        <w:tc>
          <w:tcPr>
            <w:tcW w:w="2346" w:type="dxa"/>
            <w:tcMar>
              <w:top w:w="40" w:type="dxa"/>
              <w:left w:w="80" w:type="dxa"/>
              <w:bottom w:w="40" w:type="dxa"/>
              <w:right w:w="80" w:type="dxa"/>
            </w:tcMar>
          </w:tcPr>
          <w:p>
            <w:pPr>
              <w:spacing w:before="20" w:after="20" w:line="240" w:lineRule="auto"/>
            </w:pPr>
            <w:r>
              <w:rPr>
                <w:color w:val="1A202C"/>
                <w:sz w:val="20"/>
              </w:rPr>
              <w:t xml:space="preserve">Test and evaluation</w:t>
            </w:r>
          </w:p>
        </w:tc>
        <w:tc>
          <w:tcPr>
            <w:tcW w:w="2346" w:type="dxa"/>
            <w:tcMar>
              <w:top w:w="40" w:type="dxa"/>
              <w:left w:w="80" w:type="dxa"/>
              <w:bottom w:w="40" w:type="dxa"/>
              <w:right w:w="80" w:type="dxa"/>
            </w:tcMar>
          </w:tcPr>
          <w:p>
            <w:pPr>
              <w:spacing w:before="20" w:after="20" w:line="240" w:lineRule="auto"/>
            </w:pPr>
            <w:r>
              <w:rPr>
                <w:color w:val="1A202C"/>
                <w:sz w:val="20"/>
              </w:rPr>
              <w:t xml:space="preserve">Cold Lake and Bagotville</w:t>
            </w:r>
          </w:p>
        </w:tc>
        <w:tc>
          <w:tcPr>
            <w:tcW w:w="2346" w:type="dxa"/>
            <w:tcMar>
              <w:top w:w="40" w:type="dxa"/>
              <w:left w:w="80" w:type="dxa"/>
              <w:bottom w:w="40" w:type="dxa"/>
              <w:right w:w="80" w:type="dxa"/>
            </w:tcMar>
          </w:tcPr>
          <w:p>
            <w:pPr>
              <w:spacing w:before="20" w:after="20" w:line="240" w:lineRule="auto"/>
            </w:pPr>
            <w:r>
              <w:rPr>
                <w:color w:val="1A202C"/>
                <w:sz w:val="20"/>
              </w:rPr>
              <w:t xml:space="preserve">RCAF test wings, NRC facilities</w:t>
            </w:r>
          </w:p>
        </w:tc>
        <w:tc>
          <w:tcPr>
            <w:tcW w:w="1988" w:type="dxa"/>
            <w:tcMar>
              <w:top w:w="40" w:type="dxa"/>
              <w:left w:w="80" w:type="dxa"/>
              <w:bottom w:w="40" w:type="dxa"/>
              <w:right w:w="80" w:type="dxa"/>
            </w:tcMar>
          </w:tcPr>
          <w:p>
            <w:pPr>
              <w:spacing w:before="20" w:after="20" w:line="240" w:lineRule="auto"/>
            </w:pPr>
            <w:r>
              <w:rPr>
                <w:color w:val="1A202C"/>
                <w:sz w:val="20"/>
              </w:rPr>
              <w:t xml:space="preserve">IOC window 2032 to 2035</w:t>
            </w:r>
          </w:p>
        </w:tc>
      </w:tr>
    </w:tbl>
    <w:p>
      <w:pPr>
        <w:pStyle w:val="Heading2"/>
      </w:pPr>
      <w:r>
        <w:t>3.3 Capability Gap Closure</w:t>
      </w:r>
    </w:p>
    <w:tbl>
      <w:tblPr>
        <w:tblW w:w="5000" w:type="pct"/>
        <w:tblBorders>
          <w:top w:val="single" w:color="1A2744" w:sz="12"/>
          <w:left w:val="nil"/>
          <w:bottom w:val="single" w:color="1A2744" w:sz="12"/>
          <w:right w:val="nil"/>
          <w:insideH w:val="single" w:color="C8C4BC" w:sz="4"/>
          <w:insideV w:val="nil"/>
        </w:tblBorders>
      </w:tblPr>
      <w:tblGrid>
        <w:gridCol w:w="2166"/>
        <w:gridCol w:w="2888"/>
        <w:gridCol w:w="3972"/>
      </w:tblGrid>
      <w:tr>
        <w:trPr>
          <w:tblHeader/>
        </w:trPr>
        <w:tc>
          <w:tcPr>
            <w:tcW w:w="2166" w:type="dxa"/>
            <w:shd w:val="clear" w:fill="F4F2EE"/>
            <w:tcMar>
              <w:top w:w="40" w:type="dxa"/>
              <w:left w:w="80" w:type="dxa"/>
              <w:bottom w:w="40" w:type="dxa"/>
              <w:right w:w="80" w:type="dxa"/>
            </w:tcMar>
          </w:tcPr>
          <w:p>
            <w:pPr>
              <w:spacing w:before="20" w:after="20" w:line="240" w:lineRule="auto"/>
            </w:pPr>
            <w:r>
              <w:rPr>
                <w:b/>
                <w:color w:val="1A2744"/>
                <w:sz w:val="20"/>
              </w:rPr>
              <w:t xml:space="preserve">Capability Gap</w:t>
            </w:r>
          </w:p>
        </w:tc>
        <w:tc>
          <w:tcPr>
            <w:tcW w:w="2888" w:type="dxa"/>
            <w:shd w:val="clear" w:fill="F4F2EE"/>
            <w:tcMar>
              <w:top w:w="40" w:type="dxa"/>
              <w:left w:w="80" w:type="dxa"/>
              <w:bottom w:w="40" w:type="dxa"/>
              <w:right w:w="80" w:type="dxa"/>
            </w:tcMar>
          </w:tcPr>
          <w:p>
            <w:pPr>
              <w:spacing w:before="20" w:after="20" w:line="240" w:lineRule="auto"/>
            </w:pPr>
            <w:r>
              <w:rPr>
                <w:b/>
                <w:color w:val="1A2744"/>
                <w:sz w:val="20"/>
              </w:rPr>
              <w:t xml:space="preserve">Current Position</w:t>
            </w:r>
          </w:p>
        </w:tc>
        <w:tc>
          <w:tcPr>
            <w:tcW w:w="3972" w:type="dxa"/>
            <w:shd w:val="clear" w:fill="F4F2EE"/>
            <w:tcMar>
              <w:top w:w="40" w:type="dxa"/>
              <w:left w:w="80" w:type="dxa"/>
              <w:bottom w:w="40" w:type="dxa"/>
              <w:right w:w="80" w:type="dxa"/>
            </w:tcMar>
          </w:tcPr>
          <w:p>
            <w:pPr>
              <w:spacing w:before="20" w:after="20" w:line="240" w:lineRule="auto"/>
            </w:pPr>
            <w:r>
              <w:rPr>
                <w:b/>
                <w:color w:val="1A2744"/>
                <w:sz w:val="20"/>
              </w:rPr>
              <w:t xml:space="preserve">Closure Pathway</w:t>
            </w:r>
          </w:p>
        </w:tc>
      </w:tr>
      <w:tr>
        <w:tc>
          <w:tcPr>
            <w:tcW w:w="2166" w:type="dxa"/>
            <w:tcMar>
              <w:top w:w="40" w:type="dxa"/>
              <w:left w:w="80" w:type="dxa"/>
              <w:bottom w:w="40" w:type="dxa"/>
              <w:right w:w="80" w:type="dxa"/>
            </w:tcMar>
          </w:tcPr>
          <w:p>
            <w:pPr>
              <w:spacing w:before="20" w:after="20" w:line="240" w:lineRule="auto"/>
            </w:pPr>
            <w:r>
              <w:rPr>
                <w:color w:val="1A202C"/>
                <w:sz w:val="20"/>
              </w:rPr>
              <w:t xml:space="preserve">Large military turbofan</w:t>
            </w:r>
          </w:p>
        </w:tc>
        <w:tc>
          <w:tcPr>
            <w:tcW w:w="2888" w:type="dxa"/>
            <w:tcMar>
              <w:top w:w="40" w:type="dxa"/>
              <w:left w:w="80" w:type="dxa"/>
              <w:bottom w:w="40" w:type="dxa"/>
              <w:right w:w="80" w:type="dxa"/>
            </w:tcMar>
          </w:tcPr>
          <w:p>
            <w:pPr>
              <w:spacing w:before="20" w:after="20" w:line="240" w:lineRule="auto"/>
            </w:pPr>
            <w:r>
              <w:rPr>
                <w:color w:val="1A202C"/>
                <w:sz w:val="20"/>
              </w:rPr>
              <w:t xml:space="preserve">No domestic large fighter engine line</w:t>
            </w:r>
          </w:p>
        </w:tc>
        <w:tc>
          <w:tcPr>
            <w:tcW w:w="3972" w:type="dxa"/>
            <w:tcMar>
              <w:top w:w="40" w:type="dxa"/>
              <w:left w:w="80" w:type="dxa"/>
              <w:bottom w:w="40" w:type="dxa"/>
              <w:right w:w="80" w:type="dxa"/>
            </w:tcMar>
          </w:tcPr>
          <w:p>
            <w:pPr>
              <w:spacing w:before="20" w:after="20" w:line="240" w:lineRule="auto"/>
            </w:pPr>
            <w:r>
              <w:rPr>
                <w:color w:val="1A202C"/>
                <w:sz w:val="20"/>
              </w:rPr>
              <w:t xml:space="preserve">Partner: co-develop the adaptive core with an allied engine house; P&amp;WC leads Canadian modules and final assembly</w:t>
            </w:r>
          </w:p>
        </w:tc>
      </w:tr>
      <w:tr>
        <w:tc>
          <w:tcPr>
            <w:tcW w:w="2166" w:type="dxa"/>
            <w:tcMar>
              <w:top w:w="40" w:type="dxa"/>
              <w:left w:w="80" w:type="dxa"/>
              <w:bottom w:w="40" w:type="dxa"/>
              <w:right w:w="80" w:type="dxa"/>
            </w:tcMar>
          </w:tcPr>
          <w:p>
            <w:pPr>
              <w:spacing w:before="20" w:after="20" w:line="240" w:lineRule="auto"/>
            </w:pPr>
            <w:r>
              <w:rPr>
                <w:color w:val="1A202C"/>
                <w:sz w:val="20"/>
              </w:rPr>
              <w:t xml:space="preserve">GaN transmit/receive modules</w:t>
            </w:r>
          </w:p>
        </w:tc>
        <w:tc>
          <w:tcPr>
            <w:tcW w:w="2888" w:type="dxa"/>
            <w:tcMar>
              <w:top w:w="40" w:type="dxa"/>
              <w:left w:w="80" w:type="dxa"/>
              <w:bottom w:w="40" w:type="dxa"/>
              <w:right w:w="80" w:type="dxa"/>
            </w:tcMar>
          </w:tcPr>
          <w:p>
            <w:pPr>
              <w:spacing w:before="20" w:after="20" w:line="240" w:lineRule="auto"/>
            </w:pPr>
            <w:r>
              <w:rPr>
                <w:color w:val="1A202C"/>
                <w:sz w:val="20"/>
              </w:rPr>
              <w:t xml:space="preserve">Research and niche production</w:t>
            </w:r>
          </w:p>
        </w:tc>
        <w:tc>
          <w:tcPr>
            <w:tcW w:w="3972" w:type="dxa"/>
            <w:tcMar>
              <w:top w:w="40" w:type="dxa"/>
              <w:left w:w="80" w:type="dxa"/>
              <w:bottom w:w="40" w:type="dxa"/>
              <w:right w:w="80" w:type="dxa"/>
            </w:tcMar>
          </w:tcPr>
          <w:p>
            <w:pPr>
              <w:spacing w:before="20" w:after="20" w:line="240" w:lineRule="auto"/>
            </w:pPr>
            <w:r>
              <w:rPr>
                <w:color w:val="1A202C"/>
                <w:sz w:val="20"/>
              </w:rPr>
              <w:t xml:space="preserve">Build: dedicated foundry investment under DIS sovereign-capability funding</w:t>
            </w:r>
          </w:p>
        </w:tc>
      </w:tr>
      <w:tr>
        <w:tc>
          <w:tcPr>
            <w:tcW w:w="2166" w:type="dxa"/>
            <w:tcMar>
              <w:top w:w="40" w:type="dxa"/>
              <w:left w:w="80" w:type="dxa"/>
              <w:bottom w:w="40" w:type="dxa"/>
              <w:right w:w="80" w:type="dxa"/>
            </w:tcMar>
          </w:tcPr>
          <w:p>
            <w:pPr>
              <w:spacing w:before="20" w:after="20" w:line="240" w:lineRule="auto"/>
            </w:pPr>
            <w:r>
              <w:rPr>
                <w:color w:val="1A202C"/>
                <w:sz w:val="20"/>
              </w:rPr>
              <w:t xml:space="preserve">Single-crystal turbine blades</w:t>
            </w:r>
          </w:p>
        </w:tc>
        <w:tc>
          <w:tcPr>
            <w:tcW w:w="2888" w:type="dxa"/>
            <w:tcMar>
              <w:top w:w="40" w:type="dxa"/>
              <w:left w:w="80" w:type="dxa"/>
              <w:bottom w:w="40" w:type="dxa"/>
              <w:right w:w="80" w:type="dxa"/>
            </w:tcMar>
          </w:tcPr>
          <w:p>
            <w:pPr>
              <w:spacing w:before="20" w:after="20" w:line="240" w:lineRule="auto"/>
            </w:pPr>
            <w:r>
              <w:rPr>
                <w:color w:val="1A202C"/>
                <w:sz w:val="20"/>
              </w:rPr>
              <w:t xml:space="preserve">No domestic production; 26-month long-lead (Section 23.3)</w:t>
            </w:r>
          </w:p>
        </w:tc>
        <w:tc>
          <w:tcPr>
            <w:tcW w:w="3972" w:type="dxa"/>
            <w:tcMar>
              <w:top w:w="40" w:type="dxa"/>
              <w:left w:w="80" w:type="dxa"/>
              <w:bottom w:w="40" w:type="dxa"/>
              <w:right w:w="80" w:type="dxa"/>
            </w:tcMar>
          </w:tcPr>
          <w:p>
            <w:pPr>
              <w:spacing w:before="20" w:after="20" w:line="240" w:lineRule="auto"/>
            </w:pPr>
            <w:r>
              <w:rPr>
                <w:color w:val="1A202C"/>
                <w:sz w:val="20"/>
              </w:rPr>
              <w:t xml:space="preserve">Partner plus strategic stockpile; second-source qualification</w:t>
            </w:r>
          </w:p>
        </w:tc>
      </w:tr>
      <w:tr>
        <w:tc>
          <w:tcPr>
            <w:tcW w:w="2166" w:type="dxa"/>
            <w:tcMar>
              <w:top w:w="40" w:type="dxa"/>
              <w:left w:w="80" w:type="dxa"/>
              <w:bottom w:w="40" w:type="dxa"/>
              <w:right w:w="80" w:type="dxa"/>
            </w:tcMar>
          </w:tcPr>
          <w:p>
            <w:pPr>
              <w:spacing w:before="20" w:after="20" w:line="240" w:lineRule="auto"/>
            </w:pPr>
            <w:r>
              <w:rPr>
                <w:color w:val="1A202C"/>
                <w:sz w:val="20"/>
              </w:rPr>
              <w:t xml:space="preserve">Silicon-carbide power modules</w:t>
            </w:r>
          </w:p>
        </w:tc>
        <w:tc>
          <w:tcPr>
            <w:tcW w:w="2888" w:type="dxa"/>
            <w:tcMar>
              <w:top w:w="40" w:type="dxa"/>
              <w:left w:w="80" w:type="dxa"/>
              <w:bottom w:w="40" w:type="dxa"/>
              <w:right w:w="80" w:type="dxa"/>
            </w:tcMar>
          </w:tcPr>
          <w:p>
            <w:pPr>
              <w:spacing w:before="20" w:after="20" w:line="240" w:lineRule="auto"/>
            </w:pPr>
            <w:r>
              <w:rPr>
                <w:color w:val="1A202C"/>
                <w:sz w:val="20"/>
              </w:rPr>
              <w:t xml:space="preserve">Growing domestic base</w:t>
            </w:r>
          </w:p>
        </w:tc>
        <w:tc>
          <w:tcPr>
            <w:tcW w:w="3972" w:type="dxa"/>
            <w:tcMar>
              <w:top w:w="40" w:type="dxa"/>
              <w:left w:w="80" w:type="dxa"/>
              <w:bottom w:w="40" w:type="dxa"/>
              <w:right w:w="80" w:type="dxa"/>
            </w:tcMar>
          </w:tcPr>
          <w:p>
            <w:pPr>
              <w:spacing w:before="20" w:after="20" w:line="240" w:lineRule="auto"/>
            </w:pPr>
            <w:r>
              <w:rPr>
                <w:color w:val="1A202C"/>
                <w:sz w:val="20"/>
              </w:rPr>
              <w:t xml:space="preserve">Build: the 1,200 V DC bus anchors a Canadian SiC production line</w:t>
            </w:r>
          </w:p>
        </w:tc>
      </w:tr>
      <w:tr>
        <w:tc>
          <w:tcPr>
            <w:tcW w:w="2166" w:type="dxa"/>
            <w:tcMar>
              <w:top w:w="40" w:type="dxa"/>
              <w:left w:w="80" w:type="dxa"/>
              <w:bottom w:w="40" w:type="dxa"/>
              <w:right w:w="80" w:type="dxa"/>
            </w:tcMar>
          </w:tcPr>
          <w:p>
            <w:pPr>
              <w:spacing w:before="20" w:after="20" w:line="240" w:lineRule="auto"/>
            </w:pPr>
            <w:r>
              <w:rPr>
                <w:color w:val="1A202C"/>
                <w:sz w:val="20"/>
              </w:rPr>
              <w:t xml:space="preserve">Mirror coating at scale</w:t>
            </w:r>
          </w:p>
        </w:tc>
        <w:tc>
          <w:tcPr>
            <w:tcW w:w="2888" w:type="dxa"/>
            <w:tcMar>
              <w:top w:w="40" w:type="dxa"/>
              <w:left w:w="80" w:type="dxa"/>
              <w:bottom w:w="40" w:type="dxa"/>
              <w:right w:w="80" w:type="dxa"/>
            </w:tcMar>
          </w:tcPr>
          <w:p>
            <w:pPr>
              <w:spacing w:before="20" w:after="20" w:line="240" w:lineRule="auto"/>
            </w:pPr>
            <w:r>
              <w:rPr>
                <w:color w:val="1A202C"/>
                <w:sz w:val="20"/>
              </w:rPr>
              <w:t xml:space="preserve">Laboratory maturity; 140 m2 per aircraft in 0.15 m2 tiles</w:t>
            </w:r>
          </w:p>
        </w:tc>
        <w:tc>
          <w:tcPr>
            <w:tcW w:w="3972" w:type="dxa"/>
            <w:tcMar>
              <w:top w:w="40" w:type="dxa"/>
              <w:left w:w="80" w:type="dxa"/>
              <w:bottom w:w="40" w:type="dxa"/>
              <w:right w:w="80" w:type="dxa"/>
            </w:tcMar>
          </w:tcPr>
          <w:p>
            <w:pPr>
              <w:spacing w:before="20" w:after="20" w:line="240" w:lineRule="auto"/>
            </w:pPr>
            <w:r>
              <w:rPr>
                <w:color w:val="1A202C"/>
                <w:sz w:val="20"/>
              </w:rPr>
              <w:t xml:space="preserve">Build: new coating plant colocated with final assembly</w:t>
            </w:r>
          </w:p>
        </w:tc>
      </w:tr>
      <w:tr>
        <w:tc>
          <w:tcPr>
            <w:tcW w:w="2166" w:type="dxa"/>
            <w:tcMar>
              <w:top w:w="40" w:type="dxa"/>
              <w:left w:w="80" w:type="dxa"/>
              <w:bottom w:w="40" w:type="dxa"/>
              <w:right w:w="80" w:type="dxa"/>
            </w:tcMar>
          </w:tcPr>
          <w:p>
            <w:pPr>
              <w:spacing w:before="20" w:after="20" w:line="240" w:lineRule="auto"/>
            </w:pPr>
            <w:r>
              <w:rPr>
                <w:color w:val="1A202C"/>
                <w:sz w:val="20"/>
              </w:rPr>
              <w:t xml:space="preserve">Solid-state Li-S cells</w:t>
            </w:r>
          </w:p>
        </w:tc>
        <w:tc>
          <w:tcPr>
            <w:tcW w:w="2888" w:type="dxa"/>
            <w:tcMar>
              <w:top w:w="40" w:type="dxa"/>
              <w:left w:w="80" w:type="dxa"/>
              <w:bottom w:w="40" w:type="dxa"/>
              <w:right w:w="80" w:type="dxa"/>
            </w:tcMar>
          </w:tcPr>
          <w:p>
            <w:pPr>
              <w:spacing w:before="20" w:after="20" w:line="240" w:lineRule="auto"/>
            </w:pPr>
            <w:r>
              <w:rPr>
                <w:color w:val="1A202C"/>
                <w:sz w:val="20"/>
              </w:rPr>
              <w:t xml:space="preserve">Pre-commercial technology</w:t>
            </w:r>
          </w:p>
        </w:tc>
        <w:tc>
          <w:tcPr>
            <w:tcW w:w="3972" w:type="dxa"/>
            <w:tcMar>
              <w:top w:w="40" w:type="dxa"/>
              <w:left w:w="80" w:type="dxa"/>
              <w:bottom w:w="40" w:type="dxa"/>
              <w:right w:w="80" w:type="dxa"/>
            </w:tcMar>
          </w:tcPr>
          <w:p>
            <w:pPr>
              <w:spacing w:before="20" w:after="20" w:line="240" w:lineRule="auto"/>
            </w:pPr>
            <w:r>
              <w:rPr>
                <w:color w:val="1A202C"/>
                <w:sz w:val="20"/>
              </w:rPr>
              <w:t xml:space="preserve">Build: gigafactory scale-up on existing battery-belt investments</w:t>
            </w:r>
          </w:p>
        </w:tc>
      </w:tr>
    </w:tbl>
    <w:p>
      <w:pPr>
        <w:pStyle w:val="Heading2"/>
      </w:pPr>
      <w:r>
        <w:t>3.4 Development Phase Plan</w:t>
      </w:r>
    </w:p>
    <w:tbl>
      <w:tblPr>
        <w:tblW w:w="5000" w:type="pct"/>
        <w:tblBorders>
          <w:top w:val="single" w:color="1A2744" w:sz="12"/>
          <w:left w:val="nil"/>
          <w:bottom w:val="single" w:color="1A2744" w:sz="12"/>
          <w:right w:val="nil"/>
          <w:insideH w:val="single" w:color="C8C4BC" w:sz="4"/>
          <w:insideV w:val="nil"/>
        </w:tblBorders>
      </w:tblPr>
      <w:tblGrid>
        <w:gridCol w:w="2527"/>
        <w:gridCol w:w="1624"/>
        <w:gridCol w:w="3249"/>
        <w:gridCol w:w="1626"/>
      </w:tblGrid>
      <w:tr>
        <w:trPr>
          <w:tblHeader/>
        </w:trPr>
        <w:tc>
          <w:tcPr>
            <w:tcW w:w="2527" w:type="dxa"/>
            <w:shd w:val="clear" w:fill="F4F2EE"/>
            <w:tcMar>
              <w:top w:w="40" w:type="dxa"/>
              <w:left w:w="80" w:type="dxa"/>
              <w:bottom w:w="40" w:type="dxa"/>
              <w:right w:w="80" w:type="dxa"/>
            </w:tcMar>
          </w:tcPr>
          <w:p>
            <w:pPr>
              <w:spacing w:before="20" w:after="20" w:line="240" w:lineRule="auto"/>
            </w:pPr>
            <w:r>
              <w:rPr>
                <w:b/>
                <w:color w:val="1A2744"/>
                <w:sz w:val="20"/>
              </w:rPr>
              <w:t xml:space="preserve">Phase</w:t>
            </w:r>
          </w:p>
        </w:tc>
        <w:tc>
          <w:tcPr>
            <w:tcW w:w="1624" w:type="dxa"/>
            <w:shd w:val="clear" w:fill="F4F2EE"/>
            <w:tcMar>
              <w:top w:w="40" w:type="dxa"/>
              <w:left w:w="80" w:type="dxa"/>
              <w:bottom w:w="40" w:type="dxa"/>
              <w:right w:w="80" w:type="dxa"/>
            </w:tcMar>
          </w:tcPr>
          <w:p>
            <w:pPr>
              <w:spacing w:before="20" w:after="20" w:line="240" w:lineRule="auto"/>
            </w:pPr>
            <w:r>
              <w:rPr>
                <w:b/>
                <w:color w:val="1A2744"/>
                <w:sz w:val="20"/>
              </w:rPr>
              <w:t xml:space="preserve">Window</w:t>
            </w:r>
          </w:p>
        </w:tc>
        <w:tc>
          <w:tcPr>
            <w:tcW w:w="3249" w:type="dxa"/>
            <w:shd w:val="clear" w:fill="F4F2EE"/>
            <w:tcMar>
              <w:top w:w="40" w:type="dxa"/>
              <w:left w:w="80" w:type="dxa"/>
              <w:bottom w:w="40" w:type="dxa"/>
              <w:right w:w="80" w:type="dxa"/>
            </w:tcMar>
          </w:tcPr>
          <w:p>
            <w:pPr>
              <w:spacing w:before="20" w:after="20" w:line="240" w:lineRule="auto"/>
            </w:pPr>
            <w:r>
              <w:rPr>
                <w:b/>
                <w:color w:val="1A2744"/>
                <w:sz w:val="20"/>
              </w:rPr>
              <w:t xml:space="preserve">Scope</w:t>
            </w:r>
          </w:p>
        </w:tc>
        <w:tc>
          <w:tcPr>
            <w:tcW w:w="1626" w:type="dxa"/>
            <w:shd w:val="clear" w:fill="F4F2EE"/>
            <w:tcMar>
              <w:top w:w="40" w:type="dxa"/>
              <w:left w:w="80" w:type="dxa"/>
              <w:bottom w:w="40" w:type="dxa"/>
              <w:right w:w="80" w:type="dxa"/>
            </w:tcMar>
          </w:tcPr>
          <w:p>
            <w:pPr>
              <w:spacing w:before="20" w:after="20" w:line="240" w:lineRule="auto"/>
            </w:pPr>
            <w:r>
              <w:rPr>
                <w:b/>
                <w:color w:val="1A2744"/>
                <w:sz w:val="20"/>
              </w:rPr>
              <w:t xml:space="preserve">Cost (CAD)</w:t>
            </w:r>
          </w:p>
        </w:tc>
      </w:tr>
      <w:tr>
        <w:tc>
          <w:tcPr>
            <w:tcW w:w="2527" w:type="dxa"/>
            <w:tcMar>
              <w:top w:w="40" w:type="dxa"/>
              <w:left w:w="80" w:type="dxa"/>
              <w:bottom w:w="40" w:type="dxa"/>
              <w:right w:w="80" w:type="dxa"/>
            </w:tcMar>
          </w:tcPr>
          <w:p>
            <w:pPr>
              <w:spacing w:before="20" w:after="20" w:line="240" w:lineRule="auto"/>
            </w:pPr>
            <w:r>
              <w:rPr>
                <w:color w:val="1A202C"/>
                <w:sz w:val="20"/>
              </w:rPr>
              <w:t xml:space="preserve">Phase 0: Program stand-up</w:t>
            </w:r>
          </w:p>
        </w:tc>
        <w:tc>
          <w:tcPr>
            <w:tcW w:w="1624" w:type="dxa"/>
            <w:tcMar>
              <w:top w:w="40" w:type="dxa"/>
              <w:left w:w="80" w:type="dxa"/>
              <w:bottom w:w="40" w:type="dxa"/>
              <w:right w:w="80" w:type="dxa"/>
            </w:tcMar>
          </w:tcPr>
          <w:p>
            <w:pPr>
              <w:spacing w:before="20" w:after="20" w:line="240" w:lineRule="auto"/>
            </w:pPr>
            <w:r>
              <w:rPr>
                <w:color w:val="1A202C"/>
                <w:sz w:val="20"/>
              </w:rPr>
              <w:t xml:space="preserve">2026 to 2027</w:t>
            </w:r>
          </w:p>
        </w:tc>
        <w:tc>
          <w:tcPr>
            <w:tcW w:w="3249" w:type="dxa"/>
            <w:tcMar>
              <w:top w:w="40" w:type="dxa"/>
              <w:left w:w="80" w:type="dxa"/>
              <w:bottom w:w="40" w:type="dxa"/>
              <w:right w:w="80" w:type="dxa"/>
            </w:tcMar>
          </w:tcPr>
          <w:p>
            <w:pPr>
              <w:spacing w:before="20" w:after="20" w:line="240" w:lineRule="auto"/>
            </w:pPr>
            <w:r>
              <w:rPr>
                <w:color w:val="1A202C"/>
                <w:sz w:val="20"/>
              </w:rPr>
              <w:t xml:space="preserve">Program office, requirements freeze, partner selection</w:t>
            </w:r>
          </w:p>
        </w:tc>
        <w:tc>
          <w:tcPr>
            <w:tcW w:w="1626" w:type="dxa"/>
            <w:tcMar>
              <w:top w:w="40" w:type="dxa"/>
              <w:left w:w="80" w:type="dxa"/>
              <w:bottom w:w="40" w:type="dxa"/>
              <w:right w:w="80" w:type="dxa"/>
            </w:tcMar>
          </w:tcPr>
          <w:p>
            <w:pPr>
              <w:spacing w:before="20" w:after="20" w:line="240" w:lineRule="auto"/>
            </w:pPr>
            <w:r>
              <w:rPr>
                <w:color w:val="1A202C"/>
                <w:sz w:val="20"/>
              </w:rPr>
              <w:t xml:space="preserve">$0.9B</w:t>
            </w:r>
          </w:p>
        </w:tc>
      </w:tr>
      <w:tr>
        <w:tc>
          <w:tcPr>
            <w:tcW w:w="2527" w:type="dxa"/>
            <w:tcMar>
              <w:top w:w="40" w:type="dxa"/>
              <w:left w:w="80" w:type="dxa"/>
              <w:bottom w:w="40" w:type="dxa"/>
              <w:right w:w="80" w:type="dxa"/>
            </w:tcMar>
          </w:tcPr>
          <w:p>
            <w:pPr>
              <w:spacing w:before="20" w:after="20" w:line="240" w:lineRule="auto"/>
            </w:pPr>
            <w:r>
              <w:rPr>
                <w:color w:val="1A202C"/>
                <w:sz w:val="20"/>
              </w:rPr>
              <w:t xml:space="preserve">Phase 1: Technology maturation</w:t>
            </w:r>
          </w:p>
        </w:tc>
        <w:tc>
          <w:tcPr>
            <w:tcW w:w="1624" w:type="dxa"/>
            <w:tcMar>
              <w:top w:w="40" w:type="dxa"/>
              <w:left w:w="80" w:type="dxa"/>
              <w:bottom w:w="40" w:type="dxa"/>
              <w:right w:w="80" w:type="dxa"/>
            </w:tcMar>
          </w:tcPr>
          <w:p>
            <w:pPr>
              <w:spacing w:before="20" w:after="20" w:line="240" w:lineRule="auto"/>
            </w:pPr>
            <w:r>
              <w:rPr>
                <w:color w:val="1A202C"/>
                <w:sz w:val="20"/>
              </w:rPr>
              <w:t xml:space="preserve">2027 to 2030</w:t>
            </w:r>
          </w:p>
        </w:tc>
        <w:tc>
          <w:tcPr>
            <w:tcW w:w="3249" w:type="dxa"/>
            <w:tcMar>
              <w:top w:w="40" w:type="dxa"/>
              <w:left w:w="80" w:type="dxa"/>
              <w:bottom w:w="40" w:type="dxa"/>
              <w:right w:w="80" w:type="dxa"/>
            </w:tcMar>
          </w:tcPr>
          <w:p>
            <w:pPr>
              <w:spacing w:before="20" w:after="20" w:line="240" w:lineRule="auto"/>
            </w:pPr>
            <w:r>
              <w:rPr>
                <w:color w:val="1A202C"/>
                <w:sz w:val="20"/>
              </w:rPr>
              <w:t xml:space="preserve">Engine demonstrator, GaN line, battery scale-up, coating pilot plant</w:t>
            </w:r>
          </w:p>
        </w:tc>
        <w:tc>
          <w:tcPr>
            <w:tcW w:w="1626" w:type="dxa"/>
            <w:tcMar>
              <w:top w:w="40" w:type="dxa"/>
              <w:left w:w="80" w:type="dxa"/>
              <w:bottom w:w="40" w:type="dxa"/>
              <w:right w:w="80" w:type="dxa"/>
            </w:tcMar>
          </w:tcPr>
          <w:p>
            <w:pPr>
              <w:spacing w:before="20" w:after="20" w:line="240" w:lineRule="auto"/>
            </w:pPr>
            <w:r>
              <w:rPr>
                <w:color w:val="1A202C"/>
                <w:sz w:val="20"/>
              </w:rPr>
              <w:t xml:space="preserve">$6.5B</w:t>
            </w:r>
          </w:p>
        </w:tc>
      </w:tr>
      <w:tr>
        <w:tc>
          <w:tcPr>
            <w:tcW w:w="2527" w:type="dxa"/>
            <w:tcMar>
              <w:top w:w="40" w:type="dxa"/>
              <w:left w:w="80" w:type="dxa"/>
              <w:bottom w:w="40" w:type="dxa"/>
              <w:right w:w="80" w:type="dxa"/>
            </w:tcMar>
          </w:tcPr>
          <w:p>
            <w:pPr>
              <w:spacing w:before="20" w:after="20" w:line="240" w:lineRule="auto"/>
            </w:pPr>
            <w:r>
              <w:rPr>
                <w:color w:val="1A202C"/>
                <w:sz w:val="20"/>
              </w:rPr>
              <w:t xml:space="preserve">Phase 2: Full-scale development</w:t>
            </w:r>
          </w:p>
        </w:tc>
        <w:tc>
          <w:tcPr>
            <w:tcW w:w="1624" w:type="dxa"/>
            <w:tcMar>
              <w:top w:w="40" w:type="dxa"/>
              <w:left w:w="80" w:type="dxa"/>
              <w:bottom w:w="40" w:type="dxa"/>
              <w:right w:w="80" w:type="dxa"/>
            </w:tcMar>
          </w:tcPr>
          <w:p>
            <w:pPr>
              <w:spacing w:before="20" w:after="20" w:line="240" w:lineRule="auto"/>
            </w:pPr>
            <w:r>
              <w:rPr>
                <w:color w:val="1A202C"/>
                <w:sz w:val="20"/>
              </w:rPr>
              <w:t xml:space="preserve">2029 to 2035</w:t>
            </w:r>
          </w:p>
        </w:tc>
        <w:tc>
          <w:tcPr>
            <w:tcW w:w="3249" w:type="dxa"/>
            <w:tcMar>
              <w:top w:w="40" w:type="dxa"/>
              <w:left w:w="80" w:type="dxa"/>
              <w:bottom w:w="40" w:type="dxa"/>
              <w:right w:w="80" w:type="dxa"/>
            </w:tcMar>
          </w:tcPr>
          <w:p>
            <w:pPr>
              <w:spacing w:before="20" w:after="20" w:line="240" w:lineRule="auto"/>
            </w:pPr>
            <w:r>
              <w:rPr>
                <w:color w:val="1A202C"/>
                <w:sz w:val="20"/>
              </w:rPr>
              <w:t xml:space="preserve">Prototypes, flight test, qualification; IOC 2032 to 2035</w:t>
            </w:r>
          </w:p>
        </w:tc>
        <w:tc>
          <w:tcPr>
            <w:tcW w:w="1626" w:type="dxa"/>
            <w:tcMar>
              <w:top w:w="40" w:type="dxa"/>
              <w:left w:w="80" w:type="dxa"/>
              <w:bottom w:w="40" w:type="dxa"/>
              <w:right w:w="80" w:type="dxa"/>
            </w:tcMar>
          </w:tcPr>
          <w:p>
            <w:pPr>
              <w:spacing w:before="20" w:after="20" w:line="240" w:lineRule="auto"/>
            </w:pPr>
            <w:r>
              <w:rPr>
                <w:color w:val="1A202C"/>
                <w:sz w:val="20"/>
              </w:rPr>
              <w:t xml:space="preserve">$25.5B</w:t>
            </w:r>
          </w:p>
        </w:tc>
      </w:tr>
      <w:tr>
        <w:tc>
          <w:tcPr>
            <w:tcW w:w="2527" w:type="dxa"/>
            <w:tcMar>
              <w:top w:w="40" w:type="dxa"/>
              <w:left w:w="80" w:type="dxa"/>
              <w:bottom w:w="40" w:type="dxa"/>
              <w:right w:w="80" w:type="dxa"/>
            </w:tcMar>
          </w:tcPr>
          <w:p>
            <w:pPr>
              <w:spacing w:before="20" w:after="20" w:line="240" w:lineRule="auto"/>
            </w:pPr>
            <w:r>
              <w:rPr>
                <w:color w:val="1A202C"/>
                <w:sz w:val="20"/>
              </w:rPr>
              <w:t xml:space="preserve">Phase 3: Production</w:t>
            </w:r>
          </w:p>
        </w:tc>
        <w:tc>
          <w:tcPr>
            <w:tcW w:w="1624" w:type="dxa"/>
            <w:tcMar>
              <w:top w:w="40" w:type="dxa"/>
              <w:left w:w="80" w:type="dxa"/>
              <w:bottom w:w="40" w:type="dxa"/>
              <w:right w:w="80" w:type="dxa"/>
            </w:tcMar>
          </w:tcPr>
          <w:p>
            <w:pPr>
              <w:spacing w:before="20" w:after="20" w:line="240" w:lineRule="auto"/>
            </w:pPr>
            <w:r>
              <w:rPr>
                <w:color w:val="1A202C"/>
                <w:sz w:val="20"/>
              </w:rPr>
              <w:t xml:space="preserve">2032 to 2041</w:t>
            </w:r>
          </w:p>
        </w:tc>
        <w:tc>
          <w:tcPr>
            <w:tcW w:w="3249" w:type="dxa"/>
            <w:tcMar>
              <w:top w:w="40" w:type="dxa"/>
              <w:left w:w="80" w:type="dxa"/>
              <w:bottom w:w="40" w:type="dxa"/>
              <w:right w:w="80" w:type="dxa"/>
            </w:tcMar>
          </w:tcPr>
          <w:p>
            <w:pPr>
              <w:spacing w:before="20" w:after="20" w:line="240" w:lineRule="auto"/>
            </w:pPr>
            <w:r>
              <w:rPr>
                <w:color w:val="1A202C"/>
                <w:sz w:val="20"/>
              </w:rPr>
              <w:t xml:space="preserve">204 aircraft, peak rate 24 per year</w:t>
            </w:r>
          </w:p>
        </w:tc>
        <w:tc>
          <w:tcPr>
            <w:tcW w:w="1626" w:type="dxa"/>
            <w:tcMar>
              <w:top w:w="40" w:type="dxa"/>
              <w:left w:w="80" w:type="dxa"/>
              <w:bottom w:w="40" w:type="dxa"/>
              <w:right w:w="80" w:type="dxa"/>
            </w:tcMar>
          </w:tcPr>
          <w:p>
            <w:pPr>
              <w:spacing w:before="20" w:after="20" w:line="240" w:lineRule="auto"/>
            </w:pPr>
            <w:r>
              <w:rPr>
                <w:color w:val="1A202C"/>
                <w:sz w:val="20"/>
              </w:rPr>
              <w:t xml:space="preserve">$27.4B</w:t>
            </w:r>
          </w:p>
        </w:tc>
      </w:tr>
      <w:tr>
        <w:tc>
          <w:tcPr>
            <w:tcW w:w="2527" w:type="dxa"/>
            <w:tcMar>
              <w:top w:w="40" w:type="dxa"/>
              <w:left w:w="80" w:type="dxa"/>
              <w:bottom w:w="40" w:type="dxa"/>
              <w:right w:w="80" w:type="dxa"/>
            </w:tcMar>
          </w:tcPr>
          <w:p>
            <w:pPr>
              <w:spacing w:before="20" w:after="20" w:line="240" w:lineRule="auto"/>
            </w:pPr>
            <w:r>
              <w:rPr>
                <w:b/>
                <w:color w:val="1A202C"/>
                <w:sz w:val="20"/>
              </w:rPr>
              <w:t xml:space="preserve">Total</w:t>
            </w:r>
          </w:p>
        </w:tc>
        <w:tc>
          <w:tcPr>
            <w:tcW w:w="1624" w:type="dxa"/>
            <w:tcMar>
              <w:top w:w="40" w:type="dxa"/>
              <w:left w:w="80" w:type="dxa"/>
              <w:bottom w:w="40" w:type="dxa"/>
              <w:right w:w="80" w:type="dxa"/>
            </w:tcMar>
          </w:tcPr>
          <w:p>
            <w:pPr>
              <w:spacing w:before="20" w:after="20" w:line="240" w:lineRule="auto"/>
            </w:pPr>
            <w:r>
              <w:rPr>
                <w:b/>
                <w:color w:val="1A202C"/>
                <w:sz w:val="20"/>
              </w:rPr>
              <w:t xml:space="preserve">2026 to 2041</w:t>
            </w:r>
          </w:p>
        </w:tc>
        <w:tc>
          <w:tcPr>
            <w:tcW w:w="3249" w:type="dxa"/>
            <w:tcMar>
              <w:top w:w="40" w:type="dxa"/>
              <w:left w:w="80" w:type="dxa"/>
              <w:bottom w:w="40" w:type="dxa"/>
              <w:right w:w="80" w:type="dxa"/>
            </w:tcMar>
          </w:tcPr>
          <w:p>
            <w:pPr>
              <w:spacing w:before="20" w:after="20" w:line="240" w:lineRule="auto"/>
            </w:pPr>
            <w:r>
              <w:rPr>
                <w:b/>
                <w:color w:val="1A202C"/>
                <w:sz w:val="20"/>
              </w:rPr>
              <w:t xml:space="preserve">Development plus production</w:t>
            </w:r>
          </w:p>
        </w:tc>
        <w:tc>
          <w:tcPr>
            <w:tcW w:w="1626" w:type="dxa"/>
            <w:tcMar>
              <w:top w:w="40" w:type="dxa"/>
              <w:left w:w="80" w:type="dxa"/>
              <w:bottom w:w="40" w:type="dxa"/>
              <w:right w:w="80" w:type="dxa"/>
            </w:tcMar>
          </w:tcPr>
          <w:p>
            <w:pPr>
              <w:spacing w:before="20" w:after="20" w:line="240" w:lineRule="auto"/>
            </w:pPr>
            <w:r>
              <w:rPr>
                <w:b/>
                <w:color w:val="1A202C"/>
                <w:sz w:val="20"/>
              </w:rPr>
              <w:t xml:space="preserve">$60.3B</w:t>
            </w:r>
          </w:p>
        </w:tc>
      </w:tr>
    </w:tbl>
    <w:p>
      <w:pPr>
        <w:spacing w:after="180" w:line="288" w:lineRule="auto"/>
      </w:pPr>
      <w:r>
        <w:t xml:space="preserve">The phase plan overlaps deliberately. Technology maturation feeds full-scale development, and production begins while development completes qualification, mirroring the Block 1 IOC window of 2032 to 2035 in the technical baseline and the Block 10 and Block 20 growth roadmap that follows.</w:t>
      </w:r>
    </w:p>
    <w:p>
      <w:pPr>
        <w:pStyle w:val="Heading1"/>
      </w:pPr>
      <w:r>
        <w:t>PART IV: FUNDING PATHWAYS</w:t>
      </w:r>
    </w:p>
    <w:p>
      <w:pPr>
        <w:pStyle w:val="Heading2"/>
      </w:pPr>
      <w:r>
        <w:t>4.1 The Fiscal Context</w:t>
      </w:r>
    </w:p>
    <w:p>
      <w:pPr>
        <w:spacing w:after="180" w:line="288" w:lineRule="auto"/>
      </w:pPr>
      <w:r>
        <w:t xml:space="preserve">Canada reached the NATO 2% of GDP defence spending benchmark in the 2025-26 fiscal year, with planned spending exceeding $62 billion ($48.1 billion under National Defence and $14.6 billion under other departments, per Parliamentary Budget Officer analysis). Budget 2025 added $82 billion in new defence investment, and the 2025 NATO summit Defence Investment Pledge commits Canada to 5% of GDP by 2035, split between 3.5% for core military needs and 1.5% for defence-related investment.</w:t>
      </w:r>
    </w:p>
    <w:p>
      <w:pPr>
        <w:spacing w:after="180" w:line="288" w:lineRule="auto"/>
      </w:pPr>
      <w:r>
        <w:t xml:space="preserve">The February 2026 Defence Industrial Strategy converts that fiscal trajectory into an industrial demand signal: $180 billion in defence procurement opportunities and $290 billion in defence-related capital investment over ten years, an anticipated $125 billion in downstream economic benefit by 2035, 125,000 new high-paying careers, a 50% increase in defence exports, Canadian firms winning 70% of defence acquisitions, and 240% growth in defence industry revenues. Aerospace sits on the strategy's initial list of ten sovereign capabilities, which places the Aurora Arrow squarely inside the Build pillar.</w:t>
      </w:r>
    </w:p>
    <w:p>
      <w:pPr>
        <w:pStyle w:val="Heading2"/>
      </w:pPr>
      <w:r>
        <w:t>4.2 Funding Sources</w:t>
      </w:r>
    </w:p>
    <w:tbl>
      <w:tblPr>
        <w:tblW w:w="5000" w:type="pct"/>
        <w:tblBorders>
          <w:top w:val="single" w:color="1A2744" w:sz="12"/>
          <w:left w:val="nil"/>
          <w:bottom w:val="single" w:color="1A2744" w:sz="12"/>
          <w:right w:val="nil"/>
          <w:insideH w:val="single" w:color="C8C4BC" w:sz="4"/>
          <w:insideV w:val="nil"/>
        </w:tblBorders>
      </w:tblPr>
      <w:tblGrid>
        <w:gridCol w:w="2346"/>
        <w:gridCol w:w="3249"/>
        <w:gridCol w:w="3431"/>
      </w:tblGrid>
      <w:tr>
        <w:trPr>
          <w:tblHeader/>
        </w:trPr>
        <w:tc>
          <w:tcPr>
            <w:tcW w:w="2346" w:type="dxa"/>
            <w:shd w:val="clear" w:fill="F4F2EE"/>
            <w:tcMar>
              <w:top w:w="40" w:type="dxa"/>
              <w:left w:w="80" w:type="dxa"/>
              <w:bottom w:w="40" w:type="dxa"/>
              <w:right w:w="80" w:type="dxa"/>
            </w:tcMar>
          </w:tcPr>
          <w:p>
            <w:pPr>
              <w:spacing w:before="20" w:after="20" w:line="240" w:lineRule="auto"/>
            </w:pPr>
            <w:r>
              <w:rPr>
                <w:b/>
                <w:color w:val="1A2744"/>
                <w:sz w:val="20"/>
              </w:rPr>
              <w:t xml:space="preserve">Source</w:t>
            </w:r>
          </w:p>
        </w:tc>
        <w:tc>
          <w:tcPr>
            <w:tcW w:w="3249" w:type="dxa"/>
            <w:shd w:val="clear" w:fill="F4F2EE"/>
            <w:tcMar>
              <w:top w:w="40" w:type="dxa"/>
              <w:left w:w="80" w:type="dxa"/>
              <w:bottom w:w="40" w:type="dxa"/>
              <w:right w:w="80" w:type="dxa"/>
            </w:tcMar>
          </w:tcPr>
          <w:p>
            <w:pPr>
              <w:spacing w:before="20" w:after="20" w:line="240" w:lineRule="auto"/>
            </w:pPr>
            <w:r>
              <w:rPr>
                <w:b/>
                <w:color w:val="1A2744"/>
                <w:sz w:val="20"/>
              </w:rPr>
              <w:t xml:space="preserve">Instrument</w:t>
            </w:r>
          </w:p>
        </w:tc>
        <w:tc>
          <w:tcPr>
            <w:tcW w:w="3431" w:type="dxa"/>
            <w:shd w:val="clear" w:fill="F4F2EE"/>
            <w:tcMar>
              <w:top w:w="40" w:type="dxa"/>
              <w:left w:w="80" w:type="dxa"/>
              <w:bottom w:w="40" w:type="dxa"/>
              <w:right w:w="80" w:type="dxa"/>
            </w:tcMar>
          </w:tcPr>
          <w:p>
            <w:pPr>
              <w:spacing w:before="20" w:after="20" w:line="240" w:lineRule="auto"/>
            </w:pPr>
            <w:r>
              <w:rPr>
                <w:b/>
                <w:color w:val="1A2744"/>
                <w:sz w:val="20"/>
              </w:rPr>
              <w:t xml:space="preserve">Contribution to the Program</w:t>
            </w:r>
          </w:p>
        </w:tc>
      </w:tr>
      <w:tr>
        <w:tc>
          <w:tcPr>
            <w:tcW w:w="2346" w:type="dxa"/>
            <w:tcMar>
              <w:top w:w="40" w:type="dxa"/>
              <w:left w:w="80" w:type="dxa"/>
              <w:bottom w:w="40" w:type="dxa"/>
              <w:right w:w="80" w:type="dxa"/>
            </w:tcMar>
          </w:tcPr>
          <w:p>
            <w:pPr>
              <w:spacing w:before="20" w:after="20" w:line="240" w:lineRule="auto"/>
            </w:pPr>
            <w:r>
              <w:rPr>
                <w:color w:val="1A202C"/>
                <w:sz w:val="20"/>
              </w:rPr>
              <w:t xml:space="preserve">Defence procurement envelope</w:t>
            </w:r>
          </w:p>
        </w:tc>
        <w:tc>
          <w:tcPr>
            <w:tcW w:w="3249" w:type="dxa"/>
            <w:tcMar>
              <w:top w:w="40" w:type="dxa"/>
              <w:left w:w="80" w:type="dxa"/>
              <w:bottom w:w="40" w:type="dxa"/>
              <w:right w:w="80" w:type="dxa"/>
            </w:tcMar>
          </w:tcPr>
          <w:p>
            <w:pPr>
              <w:spacing w:before="20" w:after="20" w:line="240" w:lineRule="auto"/>
            </w:pPr>
            <w:r>
              <w:rPr>
                <w:color w:val="1A202C"/>
                <w:sz w:val="20"/>
              </w:rPr>
              <w:t xml:space="preserve">DIS demand signal: $180B over 10 years</w:t>
            </w:r>
          </w:p>
        </w:tc>
        <w:tc>
          <w:tcPr>
            <w:tcW w:w="3431" w:type="dxa"/>
            <w:tcMar>
              <w:top w:w="40" w:type="dxa"/>
              <w:left w:w="80" w:type="dxa"/>
              <w:bottom w:w="40" w:type="dxa"/>
              <w:right w:w="80" w:type="dxa"/>
            </w:tcMar>
          </w:tcPr>
          <w:p>
            <w:pPr>
              <w:spacing w:before="20" w:after="20" w:line="240" w:lineRule="auto"/>
            </w:pPr>
            <w:r>
              <w:rPr>
                <w:color w:val="1A202C"/>
                <w:sz w:val="20"/>
              </w:rPr>
              <w:t xml:space="preserve">Aerospace sovereign-capability designation directs the program to Canadian firms as a matter of policy</w:t>
            </w:r>
          </w:p>
        </w:tc>
      </w:tr>
      <w:tr>
        <w:tc>
          <w:tcPr>
            <w:tcW w:w="2346" w:type="dxa"/>
            <w:tcMar>
              <w:top w:w="40" w:type="dxa"/>
              <w:left w:w="80" w:type="dxa"/>
              <w:bottom w:w="40" w:type="dxa"/>
              <w:right w:w="80" w:type="dxa"/>
            </w:tcMar>
          </w:tcPr>
          <w:p>
            <w:pPr>
              <w:spacing w:before="20" w:after="20" w:line="240" w:lineRule="auto"/>
            </w:pPr>
            <w:r>
              <w:rPr>
                <w:color w:val="1A202C"/>
                <w:sz w:val="20"/>
              </w:rPr>
              <w:t xml:space="preserve">Defence Investment Agency</w:t>
            </w:r>
          </w:p>
        </w:tc>
        <w:tc>
          <w:tcPr>
            <w:tcW w:w="3249" w:type="dxa"/>
            <w:tcMar>
              <w:top w:w="40" w:type="dxa"/>
              <w:left w:w="80" w:type="dxa"/>
              <w:bottom w:w="40" w:type="dxa"/>
              <w:right w:w="80" w:type="dxa"/>
            </w:tcMar>
          </w:tcPr>
          <w:p>
            <w:pPr>
              <w:spacing w:before="20" w:after="20" w:line="240" w:lineRule="auto"/>
            </w:pPr>
            <w:r>
              <w:rPr>
                <w:color w:val="1A202C"/>
                <w:sz w:val="20"/>
              </w:rPr>
              <w:t xml:space="preserve">Directed procurement, Build-Partner-Buy framework</w:t>
            </w:r>
          </w:p>
        </w:tc>
        <w:tc>
          <w:tcPr>
            <w:tcW w:w="3431" w:type="dxa"/>
            <w:tcMar>
              <w:top w:w="40" w:type="dxa"/>
              <w:left w:w="80" w:type="dxa"/>
              <w:bottom w:w="40" w:type="dxa"/>
              <w:right w:w="80" w:type="dxa"/>
            </w:tcMar>
          </w:tcPr>
          <w:p>
            <w:pPr>
              <w:spacing w:before="20" w:after="20" w:line="240" w:lineRule="auto"/>
            </w:pPr>
            <w:r>
              <w:rPr>
                <w:color w:val="1A202C"/>
                <w:sz w:val="20"/>
              </w:rPr>
              <w:t xml:space="preserve">Single decision point; national security exception enables directed work</w:t>
            </w:r>
          </w:p>
        </w:tc>
      </w:tr>
      <w:tr>
        <w:tc>
          <w:tcPr>
            <w:tcW w:w="2346" w:type="dxa"/>
            <w:tcMar>
              <w:top w:w="40" w:type="dxa"/>
              <w:left w:w="80" w:type="dxa"/>
              <w:bottom w:w="40" w:type="dxa"/>
              <w:right w:w="80" w:type="dxa"/>
            </w:tcMar>
          </w:tcPr>
          <w:p>
            <w:pPr>
              <w:spacing w:before="20" w:after="20" w:line="240" w:lineRule="auto"/>
            </w:pPr>
            <w:r>
              <w:rPr>
                <w:color w:val="1A202C"/>
                <w:sz w:val="20"/>
              </w:rPr>
              <w:t xml:space="preserve">BDC Defence Platform</w:t>
            </w:r>
          </w:p>
        </w:tc>
        <w:tc>
          <w:tcPr>
            <w:tcW w:w="3249" w:type="dxa"/>
            <w:tcMar>
              <w:top w:w="40" w:type="dxa"/>
              <w:left w:w="80" w:type="dxa"/>
              <w:bottom w:w="40" w:type="dxa"/>
              <w:right w:w="80" w:type="dxa"/>
            </w:tcMar>
          </w:tcPr>
          <w:p>
            <w:pPr>
              <w:spacing w:before="20" w:after="20" w:line="240" w:lineRule="auto"/>
            </w:pPr>
            <w:r>
              <w:rPr>
                <w:color w:val="1A202C"/>
                <w:sz w:val="20"/>
              </w:rPr>
              <w:t xml:space="preserve">$4B in loans, venture capital, advisory services</w:t>
            </w:r>
          </w:p>
        </w:tc>
        <w:tc>
          <w:tcPr>
            <w:tcW w:w="3431" w:type="dxa"/>
            <w:tcMar>
              <w:top w:w="40" w:type="dxa"/>
              <w:left w:w="80" w:type="dxa"/>
              <w:bottom w:w="40" w:type="dxa"/>
              <w:right w:w="80" w:type="dxa"/>
            </w:tcMar>
          </w:tcPr>
          <w:p>
            <w:pPr>
              <w:spacing w:before="20" w:after="20" w:line="240" w:lineRule="auto"/>
            </w:pPr>
            <w:r>
              <w:rPr>
                <w:color w:val="1A202C"/>
                <w:sz w:val="20"/>
              </w:rPr>
              <w:t xml:space="preserve">Capitalizes SME suppliers entering the program</w:t>
            </w:r>
          </w:p>
        </w:tc>
      </w:tr>
      <w:tr>
        <w:tc>
          <w:tcPr>
            <w:tcW w:w="2346" w:type="dxa"/>
            <w:tcMar>
              <w:top w:w="40" w:type="dxa"/>
              <w:left w:w="80" w:type="dxa"/>
              <w:bottom w:w="40" w:type="dxa"/>
              <w:right w:w="80" w:type="dxa"/>
            </w:tcMar>
          </w:tcPr>
          <w:p>
            <w:pPr>
              <w:spacing w:before="20" w:after="20" w:line="240" w:lineRule="auto"/>
            </w:pPr>
            <w:r>
              <w:rPr>
                <w:color w:val="1A202C"/>
                <w:sz w:val="20"/>
              </w:rPr>
              <w:t xml:space="preserve">BOREALIS</w:t>
            </w:r>
          </w:p>
        </w:tc>
        <w:tc>
          <w:tcPr>
            <w:tcW w:w="3249" w:type="dxa"/>
            <w:tcMar>
              <w:top w:w="40" w:type="dxa"/>
              <w:left w:w="80" w:type="dxa"/>
              <w:bottom w:w="40" w:type="dxa"/>
              <w:right w:w="80" w:type="dxa"/>
            </w:tcMar>
          </w:tcPr>
          <w:p>
            <w:pPr>
              <w:spacing w:before="20" w:after="20" w:line="240" w:lineRule="auto"/>
            </w:pPr>
            <w:r>
              <w:rPr>
                <w:color w:val="1A202C"/>
                <w:sz w:val="20"/>
              </w:rPr>
              <w:t xml:space="preserve">Frontier research organization (AI, quantum, cyber)</w:t>
            </w:r>
          </w:p>
        </w:tc>
        <w:tc>
          <w:tcPr>
            <w:tcW w:w="3431" w:type="dxa"/>
            <w:tcMar>
              <w:top w:w="40" w:type="dxa"/>
              <w:left w:w="80" w:type="dxa"/>
              <w:bottom w:w="40" w:type="dxa"/>
              <w:right w:w="80" w:type="dxa"/>
            </w:tcMar>
          </w:tcPr>
          <w:p>
            <w:pPr>
              <w:spacing w:before="20" w:after="20" w:line="240" w:lineRule="auto"/>
            </w:pPr>
            <w:r>
              <w:rPr>
                <w:color w:val="1A202C"/>
                <w:sz w:val="20"/>
              </w:rPr>
              <w:t xml:space="preserve">Funds ECHO autonomy and cognitive electronic-warfare research</w:t>
            </w:r>
          </w:p>
        </w:tc>
      </w:tr>
      <w:tr>
        <w:tc>
          <w:tcPr>
            <w:tcW w:w="2346" w:type="dxa"/>
            <w:tcMar>
              <w:top w:w="40" w:type="dxa"/>
              <w:left w:w="80" w:type="dxa"/>
              <w:bottom w:w="40" w:type="dxa"/>
              <w:right w:w="80" w:type="dxa"/>
            </w:tcMar>
          </w:tcPr>
          <w:p>
            <w:pPr>
              <w:spacing w:before="20" w:after="20" w:line="240" w:lineRule="auto"/>
            </w:pPr>
            <w:r>
              <w:rPr>
                <w:color w:val="1A202C"/>
                <w:sz w:val="20"/>
              </w:rPr>
              <w:t xml:space="preserve">NRC Drone Innovation Hub</w:t>
            </w:r>
          </w:p>
        </w:tc>
        <w:tc>
          <w:tcPr>
            <w:tcW w:w="3249" w:type="dxa"/>
            <w:tcMar>
              <w:top w:w="40" w:type="dxa"/>
              <w:left w:w="80" w:type="dxa"/>
              <w:bottom w:w="40" w:type="dxa"/>
              <w:right w:w="80" w:type="dxa"/>
            </w:tcMar>
          </w:tcPr>
          <w:p>
            <w:pPr>
              <w:spacing w:before="20" w:after="20" w:line="240" w:lineRule="auto"/>
            </w:pPr>
            <w:r>
              <w:rPr>
                <w:color w:val="1A202C"/>
                <w:sz w:val="20"/>
              </w:rPr>
              <w:t xml:space="preserve">$105M over three years</w:t>
            </w:r>
          </w:p>
        </w:tc>
        <w:tc>
          <w:tcPr>
            <w:tcW w:w="3431" w:type="dxa"/>
            <w:tcMar>
              <w:top w:w="40" w:type="dxa"/>
              <w:left w:w="80" w:type="dxa"/>
              <w:bottom w:w="40" w:type="dxa"/>
              <w:right w:w="80" w:type="dxa"/>
            </w:tcMar>
          </w:tcPr>
          <w:p>
            <w:pPr>
              <w:spacing w:before="20" w:after="20" w:line="240" w:lineRule="auto"/>
            </w:pPr>
            <w:r>
              <w:rPr>
                <w:color w:val="1A202C"/>
                <w:sz w:val="20"/>
              </w:rPr>
              <w:t xml:space="preserve">Matures loyal-wingman and UCAV technology</w:t>
            </w:r>
          </w:p>
        </w:tc>
      </w:tr>
      <w:tr>
        <w:tc>
          <w:tcPr>
            <w:tcW w:w="2346" w:type="dxa"/>
            <w:tcMar>
              <w:top w:w="40" w:type="dxa"/>
              <w:left w:w="80" w:type="dxa"/>
              <w:bottom w:w="40" w:type="dxa"/>
              <w:right w:w="80" w:type="dxa"/>
            </w:tcMar>
          </w:tcPr>
          <w:p>
            <w:pPr>
              <w:spacing w:before="20" w:after="20" w:line="240" w:lineRule="auto"/>
            </w:pPr>
            <w:r>
              <w:rPr>
                <w:color w:val="1A202C"/>
                <w:sz w:val="20"/>
              </w:rPr>
              <w:t xml:space="preserve">NRC-IRAP Defence Industry Assist</w:t>
            </w:r>
          </w:p>
        </w:tc>
        <w:tc>
          <w:tcPr>
            <w:tcW w:w="3249" w:type="dxa"/>
            <w:tcMar>
              <w:top w:w="40" w:type="dxa"/>
              <w:left w:w="80" w:type="dxa"/>
              <w:bottom w:w="40" w:type="dxa"/>
              <w:right w:w="80" w:type="dxa"/>
            </w:tcMar>
          </w:tcPr>
          <w:p>
            <w:pPr>
              <w:spacing w:before="20" w:after="20" w:line="240" w:lineRule="auto"/>
            </w:pPr>
            <w:r>
              <w:rPr>
                <w:color w:val="1A202C"/>
                <w:sz w:val="20"/>
              </w:rPr>
              <w:t xml:space="preserve">$244M for SMB defence and dual-use technology</w:t>
            </w:r>
          </w:p>
        </w:tc>
        <w:tc>
          <w:tcPr>
            <w:tcW w:w="3431" w:type="dxa"/>
            <w:tcMar>
              <w:top w:w="40" w:type="dxa"/>
              <w:left w:w="80" w:type="dxa"/>
              <w:bottom w:w="40" w:type="dxa"/>
              <w:right w:w="80" w:type="dxa"/>
            </w:tcMar>
          </w:tcPr>
          <w:p>
            <w:pPr>
              <w:spacing w:before="20" w:after="20" w:line="240" w:lineRule="auto"/>
            </w:pPr>
            <w:r>
              <w:rPr>
                <w:color w:val="1A202C"/>
                <w:sz w:val="20"/>
              </w:rPr>
              <w:t xml:space="preserve">De-risks Tier 2 and Tier 3 supplier technology</w:t>
            </w:r>
          </w:p>
        </w:tc>
      </w:tr>
      <w:tr>
        <w:tc>
          <w:tcPr>
            <w:tcW w:w="2346" w:type="dxa"/>
            <w:tcMar>
              <w:top w:w="40" w:type="dxa"/>
              <w:left w:w="80" w:type="dxa"/>
              <w:bottom w:w="40" w:type="dxa"/>
              <w:right w:w="80" w:type="dxa"/>
            </w:tcMar>
          </w:tcPr>
          <w:p>
            <w:pPr>
              <w:spacing w:before="20" w:after="20" w:line="240" w:lineRule="auto"/>
            </w:pPr>
            <w:r>
              <w:rPr>
                <w:color w:val="1A202C"/>
                <w:sz w:val="20"/>
              </w:rPr>
              <w:t xml:space="preserve">Regional Defence Investment Initiative</w:t>
            </w:r>
          </w:p>
        </w:tc>
        <w:tc>
          <w:tcPr>
            <w:tcW w:w="3249" w:type="dxa"/>
            <w:tcMar>
              <w:top w:w="40" w:type="dxa"/>
              <w:left w:w="80" w:type="dxa"/>
              <w:bottom w:w="40" w:type="dxa"/>
              <w:right w:w="80" w:type="dxa"/>
            </w:tcMar>
          </w:tcPr>
          <w:p>
            <w:pPr>
              <w:spacing w:before="20" w:after="20" w:line="240" w:lineRule="auto"/>
            </w:pPr>
            <w:r>
              <w:rPr>
                <w:color w:val="1A202C"/>
                <w:sz w:val="20"/>
              </w:rPr>
              <w:t xml:space="preserve">$357.7M</w:t>
            </w:r>
          </w:p>
        </w:tc>
        <w:tc>
          <w:tcPr>
            <w:tcW w:w="3431" w:type="dxa"/>
            <w:tcMar>
              <w:top w:w="40" w:type="dxa"/>
              <w:left w:w="80" w:type="dxa"/>
              <w:bottom w:w="40" w:type="dxa"/>
              <w:right w:w="80" w:type="dxa"/>
            </w:tcMar>
          </w:tcPr>
          <w:p>
            <w:pPr>
              <w:spacing w:before="20" w:after="20" w:line="240" w:lineRule="auto"/>
            </w:pPr>
            <w:r>
              <w:rPr>
                <w:color w:val="1A202C"/>
                <w:sz w:val="20"/>
              </w:rPr>
              <w:t xml:space="preserve">Integrates regional SMBs into defence supply chains</w:t>
            </w:r>
          </w:p>
        </w:tc>
      </w:tr>
      <w:tr>
        <w:tc>
          <w:tcPr>
            <w:tcW w:w="2346" w:type="dxa"/>
            <w:tcMar>
              <w:top w:w="40" w:type="dxa"/>
              <w:left w:w="80" w:type="dxa"/>
              <w:bottom w:w="40" w:type="dxa"/>
              <w:right w:w="80" w:type="dxa"/>
            </w:tcMar>
          </w:tcPr>
          <w:p>
            <w:pPr>
              <w:spacing w:before="20" w:after="20" w:line="240" w:lineRule="auto"/>
            </w:pPr>
            <w:r>
              <w:rPr>
                <w:color w:val="1A202C"/>
                <w:sz w:val="20"/>
              </w:rPr>
              <w:t xml:space="preserve">ITB Policy reform</w:t>
            </w:r>
          </w:p>
        </w:tc>
        <w:tc>
          <w:tcPr>
            <w:tcW w:w="3249" w:type="dxa"/>
            <w:tcMar>
              <w:top w:w="40" w:type="dxa"/>
              <w:left w:w="80" w:type="dxa"/>
              <w:bottom w:w="40" w:type="dxa"/>
              <w:right w:w="80" w:type="dxa"/>
            </w:tcMar>
          </w:tcPr>
          <w:p>
            <w:pPr>
              <w:spacing w:before="20" w:after="20" w:line="240" w:lineRule="auto"/>
            </w:pPr>
            <w:r>
              <w:rPr>
                <w:color w:val="1A202C"/>
                <w:sz w:val="20"/>
              </w:rPr>
              <w:t xml:space="preserve">Canadian Company Boost, skills multipliers, 10 sovereign capabilities</w:t>
            </w:r>
          </w:p>
        </w:tc>
        <w:tc>
          <w:tcPr>
            <w:tcW w:w="3431" w:type="dxa"/>
            <w:tcMar>
              <w:top w:w="40" w:type="dxa"/>
              <w:left w:w="80" w:type="dxa"/>
              <w:bottom w:w="40" w:type="dxa"/>
              <w:right w:w="80" w:type="dxa"/>
            </w:tcMar>
          </w:tcPr>
          <w:p>
            <w:pPr>
              <w:spacing w:before="20" w:after="20" w:line="240" w:lineRule="auto"/>
            </w:pPr>
            <w:r>
              <w:rPr>
                <w:color w:val="1A202C"/>
                <w:sz w:val="20"/>
              </w:rPr>
              <w:t xml:space="preserve">Applies enhanced multipliers to engine-partner offset obligations</w:t>
            </w:r>
          </w:p>
        </w:tc>
      </w:tr>
      <w:tr>
        <w:tc>
          <w:tcPr>
            <w:tcW w:w="2346" w:type="dxa"/>
            <w:tcMar>
              <w:top w:w="40" w:type="dxa"/>
              <w:left w:w="80" w:type="dxa"/>
              <w:bottom w:w="40" w:type="dxa"/>
              <w:right w:w="80" w:type="dxa"/>
            </w:tcMar>
          </w:tcPr>
          <w:p>
            <w:pPr>
              <w:spacing w:before="20" w:after="20" w:line="240" w:lineRule="auto"/>
            </w:pPr>
            <w:r>
              <w:rPr>
                <w:color w:val="1A202C"/>
                <w:sz w:val="20"/>
              </w:rPr>
              <w:t xml:space="preserve">Strategic Response Fund</w:t>
            </w:r>
          </w:p>
        </w:tc>
        <w:tc>
          <w:tcPr>
            <w:tcW w:w="3249" w:type="dxa"/>
            <w:tcMar>
              <w:top w:w="40" w:type="dxa"/>
              <w:left w:w="80" w:type="dxa"/>
              <w:bottom w:w="40" w:type="dxa"/>
              <w:right w:w="80" w:type="dxa"/>
            </w:tcMar>
          </w:tcPr>
          <w:p>
            <w:pPr>
              <w:spacing w:before="20" w:after="20" w:line="240" w:lineRule="auto"/>
            </w:pPr>
            <w:r>
              <w:rPr>
                <w:color w:val="1A202C"/>
                <w:sz w:val="20"/>
              </w:rPr>
              <w:t xml:space="preserve">Large-scale industrial transformation</w:t>
            </w:r>
          </w:p>
        </w:tc>
        <w:tc>
          <w:tcPr>
            <w:tcW w:w="3431" w:type="dxa"/>
            <w:tcMar>
              <w:top w:w="40" w:type="dxa"/>
              <w:left w:w="80" w:type="dxa"/>
              <w:bottom w:w="40" w:type="dxa"/>
              <w:right w:w="80" w:type="dxa"/>
            </w:tcMar>
          </w:tcPr>
          <w:p>
            <w:pPr>
              <w:spacing w:before="20" w:after="20" w:line="240" w:lineRule="auto"/>
            </w:pPr>
            <w:r>
              <w:rPr>
                <w:color w:val="1A202C"/>
                <w:sz w:val="20"/>
              </w:rPr>
              <w:t xml:space="preserve">Funds the coating plant, GaN line, and battery facility</w:t>
            </w:r>
          </w:p>
        </w:tc>
      </w:tr>
      <w:tr>
        <w:tc>
          <w:tcPr>
            <w:tcW w:w="2346" w:type="dxa"/>
            <w:tcMar>
              <w:top w:w="40" w:type="dxa"/>
              <w:left w:w="80" w:type="dxa"/>
              <w:bottom w:w="40" w:type="dxa"/>
              <w:right w:w="80" w:type="dxa"/>
            </w:tcMar>
          </w:tcPr>
          <w:p>
            <w:pPr>
              <w:spacing w:before="20" w:after="20" w:line="240" w:lineRule="auto"/>
            </w:pPr>
            <w:r>
              <w:rPr>
                <w:color w:val="1A202C"/>
                <w:sz w:val="20"/>
              </w:rPr>
              <w:t xml:space="preserve">Provincial programs</w:t>
            </w:r>
          </w:p>
        </w:tc>
        <w:tc>
          <w:tcPr>
            <w:tcW w:w="3249" w:type="dxa"/>
            <w:tcMar>
              <w:top w:w="40" w:type="dxa"/>
              <w:left w:w="80" w:type="dxa"/>
              <w:bottom w:w="40" w:type="dxa"/>
              <w:right w:w="80" w:type="dxa"/>
            </w:tcMar>
          </w:tcPr>
          <w:p>
            <w:pPr>
              <w:spacing w:before="20" w:after="20" w:line="240" w:lineRule="auto"/>
            </w:pPr>
            <w:r>
              <w:rPr>
                <w:color w:val="1A202C"/>
                <w:sz w:val="20"/>
              </w:rPr>
              <w:t xml:space="preserve">Quebec and Ontario aerospace and battery funds</w:t>
            </w:r>
          </w:p>
        </w:tc>
        <w:tc>
          <w:tcPr>
            <w:tcW w:w="3431" w:type="dxa"/>
            <w:tcMar>
              <w:top w:w="40" w:type="dxa"/>
              <w:left w:w="80" w:type="dxa"/>
              <w:bottom w:w="40" w:type="dxa"/>
              <w:right w:w="80" w:type="dxa"/>
            </w:tcMar>
          </w:tcPr>
          <w:p>
            <w:pPr>
              <w:spacing w:before="20" w:after="20" w:line="240" w:lineRule="auto"/>
            </w:pPr>
            <w:r>
              <w:rPr>
                <w:color w:val="1A202C"/>
                <w:sz w:val="20"/>
              </w:rPr>
              <w:t xml:space="preserve">Co-invests in facilities and training</w:t>
            </w:r>
          </w:p>
        </w:tc>
      </w:tr>
      <w:tr>
        <w:tc>
          <w:tcPr>
            <w:tcW w:w="2346" w:type="dxa"/>
            <w:tcMar>
              <w:top w:w="40" w:type="dxa"/>
              <w:left w:w="80" w:type="dxa"/>
              <w:bottom w:w="40" w:type="dxa"/>
              <w:right w:w="80" w:type="dxa"/>
            </w:tcMar>
          </w:tcPr>
          <w:p>
            <w:pPr>
              <w:spacing w:before="20" w:after="20" w:line="240" w:lineRule="auto"/>
            </w:pPr>
            <w:r>
              <w:rPr>
                <w:color w:val="1A202C"/>
                <w:sz w:val="20"/>
              </w:rPr>
              <w:t xml:space="preserve">Allied cost-sharing</w:t>
            </w:r>
          </w:p>
        </w:tc>
        <w:tc>
          <w:tcPr>
            <w:tcW w:w="3249" w:type="dxa"/>
            <w:tcMar>
              <w:top w:w="40" w:type="dxa"/>
              <w:left w:w="80" w:type="dxa"/>
              <w:bottom w:w="40" w:type="dxa"/>
              <w:right w:w="80" w:type="dxa"/>
            </w:tcMar>
          </w:tcPr>
          <w:p>
            <w:pPr>
              <w:spacing w:before="20" w:after="20" w:line="240" w:lineRule="auto"/>
            </w:pPr>
            <w:r>
              <w:rPr>
                <w:color w:val="1A202C"/>
                <w:sz w:val="20"/>
              </w:rPr>
              <w:t xml:space="preserve">GCAP pathway, EU SAFE, DSRB financing</w:t>
            </w:r>
          </w:p>
        </w:tc>
        <w:tc>
          <w:tcPr>
            <w:tcW w:w="3431" w:type="dxa"/>
            <w:tcMar>
              <w:top w:w="40" w:type="dxa"/>
              <w:left w:w="80" w:type="dxa"/>
              <w:bottom w:w="40" w:type="dxa"/>
              <w:right w:w="80" w:type="dxa"/>
            </w:tcMar>
          </w:tcPr>
          <w:p>
            <w:pPr>
              <w:spacing w:before="20" w:after="20" w:line="240" w:lineRule="auto"/>
            </w:pPr>
            <w:r>
              <w:rPr>
                <w:color w:val="1A202C"/>
                <w:sz w:val="20"/>
              </w:rPr>
              <w:t xml:space="preserve">Reduces net federal exposure by $8B to $12B (Section 4.4)</w:t>
            </w:r>
          </w:p>
        </w:tc>
      </w:tr>
    </w:tbl>
    <w:p>
      <w:pPr>
        <w:pStyle w:val="Heading2"/>
      </w:pPr>
      <w:r>
        <w:t>4.3 Annual Funding Profile</w:t>
      </w:r>
    </w:p>
    <w:tbl>
      <w:tblPr>
        <w:tblW w:w="5000" w:type="pct"/>
        <w:tblBorders>
          <w:top w:val="single" w:color="1A2744" w:sz="12"/>
          <w:left w:val="nil"/>
          <w:bottom w:val="single" w:color="1A2744" w:sz="12"/>
          <w:right w:val="nil"/>
          <w:insideH w:val="single" w:color="C8C4BC" w:sz="4"/>
          <w:insideV w:val="nil"/>
        </w:tblBorders>
      </w:tblPr>
      <w:tblGrid>
        <w:gridCol w:w="3610"/>
        <w:gridCol w:w="2346"/>
        <w:gridCol w:w="3070"/>
      </w:tblGrid>
      <w:tr>
        <w:trPr>
          <w:tblHeader/>
        </w:trPr>
        <w:tc>
          <w:tcPr>
            <w:tcW w:w="3610" w:type="dxa"/>
            <w:shd w:val="clear" w:fill="F4F2EE"/>
            <w:tcMar>
              <w:top w:w="40" w:type="dxa"/>
              <w:left w:w="80" w:type="dxa"/>
              <w:bottom w:w="40" w:type="dxa"/>
              <w:right w:w="80" w:type="dxa"/>
            </w:tcMar>
          </w:tcPr>
          <w:p>
            <w:pPr>
              <w:spacing w:before="20" w:after="20" w:line="240" w:lineRule="auto"/>
            </w:pPr>
            <w:r>
              <w:rPr>
                <w:b/>
                <w:color w:val="1A2744"/>
                <w:sz w:val="20"/>
              </w:rPr>
              <w:t xml:space="preserve">Period</w:t>
            </w:r>
          </w:p>
        </w:tc>
        <w:tc>
          <w:tcPr>
            <w:tcW w:w="2346" w:type="dxa"/>
            <w:shd w:val="clear" w:fill="F4F2EE"/>
            <w:tcMar>
              <w:top w:w="40" w:type="dxa"/>
              <w:left w:w="80" w:type="dxa"/>
              <w:bottom w:w="40" w:type="dxa"/>
              <w:right w:w="80" w:type="dxa"/>
            </w:tcMar>
          </w:tcPr>
          <w:p>
            <w:pPr>
              <w:spacing w:before="20" w:after="20" w:line="240" w:lineRule="auto"/>
            </w:pPr>
            <w:r>
              <w:rPr>
                <w:b/>
                <w:color w:val="1A2744"/>
                <w:sz w:val="20"/>
              </w:rPr>
              <w:t xml:space="preserve">Annual Average (CAD)</w:t>
            </w:r>
          </w:p>
        </w:tc>
        <w:tc>
          <w:tcPr>
            <w:tcW w:w="3070" w:type="dxa"/>
            <w:shd w:val="clear" w:fill="F4F2EE"/>
            <w:tcMar>
              <w:top w:w="40" w:type="dxa"/>
              <w:left w:w="80" w:type="dxa"/>
              <w:bottom w:w="40" w:type="dxa"/>
              <w:right w:w="80" w:type="dxa"/>
            </w:tcMar>
          </w:tcPr>
          <w:p>
            <w:pPr>
              <w:spacing w:before="20" w:after="20" w:line="240" w:lineRule="auto"/>
            </w:pPr>
            <w:r>
              <w:rPr>
                <w:b/>
                <w:color w:val="1A2744"/>
                <w:sz w:val="20"/>
              </w:rPr>
              <w:t xml:space="preserve">Share of the $62B Defence Budget</w:t>
            </w:r>
          </w:p>
        </w:tc>
      </w:tr>
      <w:tr>
        <w:tc>
          <w:tcPr>
            <w:tcW w:w="3610" w:type="dxa"/>
            <w:tcMar>
              <w:top w:w="40" w:type="dxa"/>
              <w:left w:w="80" w:type="dxa"/>
              <w:bottom w:w="40" w:type="dxa"/>
              <w:right w:w="80" w:type="dxa"/>
            </w:tcMar>
          </w:tcPr>
          <w:p>
            <w:pPr>
              <w:spacing w:before="20" w:after="20" w:line="240" w:lineRule="auto"/>
            </w:pPr>
            <w:r>
              <w:rPr>
                <w:color w:val="1A202C"/>
                <w:sz w:val="20"/>
              </w:rPr>
              <w:t xml:space="preserve">Phase 0 (2026 to 2027)</w:t>
            </w:r>
          </w:p>
        </w:tc>
        <w:tc>
          <w:tcPr>
            <w:tcW w:w="2346" w:type="dxa"/>
            <w:tcMar>
              <w:top w:w="40" w:type="dxa"/>
              <w:left w:w="80" w:type="dxa"/>
              <w:bottom w:w="40" w:type="dxa"/>
              <w:right w:w="80" w:type="dxa"/>
            </w:tcMar>
          </w:tcPr>
          <w:p>
            <w:pPr>
              <w:spacing w:before="20" w:after="20" w:line="240" w:lineRule="auto"/>
            </w:pPr>
            <w:r>
              <w:rPr>
                <w:color w:val="1A202C"/>
                <w:sz w:val="20"/>
              </w:rPr>
              <w:t xml:space="preserve">$0.45B</w:t>
            </w:r>
          </w:p>
        </w:tc>
        <w:tc>
          <w:tcPr>
            <w:tcW w:w="3070" w:type="dxa"/>
            <w:tcMar>
              <w:top w:w="40" w:type="dxa"/>
              <w:left w:w="80" w:type="dxa"/>
              <w:bottom w:w="40" w:type="dxa"/>
              <w:right w:w="80" w:type="dxa"/>
            </w:tcMar>
          </w:tcPr>
          <w:p>
            <w:pPr>
              <w:spacing w:before="20" w:after="20" w:line="240" w:lineRule="auto"/>
            </w:pPr>
            <w:r>
              <w:rPr>
                <w:color w:val="1A202C"/>
                <w:sz w:val="20"/>
              </w:rPr>
              <w:t xml:space="preserve">0.7%</w:t>
            </w:r>
          </w:p>
        </w:tc>
      </w:tr>
      <w:tr>
        <w:tc>
          <w:tcPr>
            <w:tcW w:w="3610" w:type="dxa"/>
            <w:tcMar>
              <w:top w:w="40" w:type="dxa"/>
              <w:left w:w="80" w:type="dxa"/>
              <w:bottom w:w="40" w:type="dxa"/>
              <w:right w:w="80" w:type="dxa"/>
            </w:tcMar>
          </w:tcPr>
          <w:p>
            <w:pPr>
              <w:spacing w:before="20" w:after="20" w:line="240" w:lineRule="auto"/>
            </w:pPr>
            <w:r>
              <w:rPr>
                <w:color w:val="1A202C"/>
                <w:sz w:val="20"/>
              </w:rPr>
              <w:t xml:space="preserve">Phase 1 (2027 to 2030)</w:t>
            </w:r>
          </w:p>
        </w:tc>
        <w:tc>
          <w:tcPr>
            <w:tcW w:w="2346" w:type="dxa"/>
            <w:tcMar>
              <w:top w:w="40" w:type="dxa"/>
              <w:left w:w="80" w:type="dxa"/>
              <w:bottom w:w="40" w:type="dxa"/>
              <w:right w:w="80" w:type="dxa"/>
            </w:tcMar>
          </w:tcPr>
          <w:p>
            <w:pPr>
              <w:spacing w:before="20" w:after="20" w:line="240" w:lineRule="auto"/>
            </w:pPr>
            <w:r>
              <w:rPr>
                <w:color w:val="1A202C"/>
                <w:sz w:val="20"/>
              </w:rPr>
              <w:t xml:space="preserve">$2.2B</w:t>
            </w:r>
          </w:p>
        </w:tc>
        <w:tc>
          <w:tcPr>
            <w:tcW w:w="3070" w:type="dxa"/>
            <w:tcMar>
              <w:top w:w="40" w:type="dxa"/>
              <w:left w:w="80" w:type="dxa"/>
              <w:bottom w:w="40" w:type="dxa"/>
              <w:right w:w="80" w:type="dxa"/>
            </w:tcMar>
          </w:tcPr>
          <w:p>
            <w:pPr>
              <w:spacing w:before="20" w:after="20" w:line="240" w:lineRule="auto"/>
            </w:pPr>
            <w:r>
              <w:rPr>
                <w:color w:val="1A202C"/>
                <w:sz w:val="20"/>
              </w:rPr>
              <w:t xml:space="preserve">3.5%</w:t>
            </w:r>
          </w:p>
        </w:tc>
      </w:tr>
      <w:tr>
        <w:tc>
          <w:tcPr>
            <w:tcW w:w="3610" w:type="dxa"/>
            <w:tcMar>
              <w:top w:w="40" w:type="dxa"/>
              <w:left w:w="80" w:type="dxa"/>
              <w:bottom w:w="40" w:type="dxa"/>
              <w:right w:w="80" w:type="dxa"/>
            </w:tcMar>
          </w:tcPr>
          <w:p>
            <w:pPr>
              <w:spacing w:before="20" w:after="20" w:line="240" w:lineRule="auto"/>
            </w:pPr>
            <w:r>
              <w:rPr>
                <w:color w:val="1A202C"/>
                <w:sz w:val="20"/>
              </w:rPr>
              <w:t xml:space="preserve">Phase 2 (2029 to 2035)</w:t>
            </w:r>
          </w:p>
        </w:tc>
        <w:tc>
          <w:tcPr>
            <w:tcW w:w="2346" w:type="dxa"/>
            <w:tcMar>
              <w:top w:w="40" w:type="dxa"/>
              <w:left w:w="80" w:type="dxa"/>
              <w:bottom w:w="40" w:type="dxa"/>
              <w:right w:w="80" w:type="dxa"/>
            </w:tcMar>
          </w:tcPr>
          <w:p>
            <w:pPr>
              <w:spacing w:before="20" w:after="20" w:line="240" w:lineRule="auto"/>
            </w:pPr>
            <w:r>
              <w:rPr>
                <w:color w:val="1A202C"/>
                <w:sz w:val="20"/>
              </w:rPr>
              <w:t xml:space="preserve">$3.6B</w:t>
            </w:r>
          </w:p>
        </w:tc>
        <w:tc>
          <w:tcPr>
            <w:tcW w:w="3070" w:type="dxa"/>
            <w:tcMar>
              <w:top w:w="40" w:type="dxa"/>
              <w:left w:w="80" w:type="dxa"/>
              <w:bottom w:w="40" w:type="dxa"/>
              <w:right w:w="80" w:type="dxa"/>
            </w:tcMar>
          </w:tcPr>
          <w:p>
            <w:pPr>
              <w:spacing w:before="20" w:after="20" w:line="240" w:lineRule="auto"/>
            </w:pPr>
            <w:r>
              <w:rPr>
                <w:color w:val="1A202C"/>
                <w:sz w:val="20"/>
              </w:rPr>
              <w:t xml:space="preserve">5.8%</w:t>
            </w:r>
          </w:p>
        </w:tc>
      </w:tr>
      <w:tr>
        <w:tc>
          <w:tcPr>
            <w:tcW w:w="3610" w:type="dxa"/>
            <w:tcMar>
              <w:top w:w="40" w:type="dxa"/>
              <w:left w:w="80" w:type="dxa"/>
              <w:bottom w:w="40" w:type="dxa"/>
              <w:right w:w="80" w:type="dxa"/>
            </w:tcMar>
          </w:tcPr>
          <w:p>
            <w:pPr>
              <w:spacing w:before="20" w:after="20" w:line="240" w:lineRule="auto"/>
            </w:pPr>
            <w:r>
              <w:rPr>
                <w:color w:val="1A202C"/>
                <w:sz w:val="20"/>
              </w:rPr>
              <w:t xml:space="preserve">Phase 3 (2032 to 2041)</w:t>
            </w:r>
          </w:p>
        </w:tc>
        <w:tc>
          <w:tcPr>
            <w:tcW w:w="2346" w:type="dxa"/>
            <w:tcMar>
              <w:top w:w="40" w:type="dxa"/>
              <w:left w:w="80" w:type="dxa"/>
              <w:bottom w:w="40" w:type="dxa"/>
              <w:right w:w="80" w:type="dxa"/>
            </w:tcMar>
          </w:tcPr>
          <w:p>
            <w:pPr>
              <w:spacing w:before="20" w:after="20" w:line="240" w:lineRule="auto"/>
            </w:pPr>
            <w:r>
              <w:rPr>
                <w:color w:val="1A202C"/>
                <w:sz w:val="20"/>
              </w:rPr>
              <w:t xml:space="preserve">$3.0B</w:t>
            </w:r>
          </w:p>
        </w:tc>
        <w:tc>
          <w:tcPr>
            <w:tcW w:w="3070" w:type="dxa"/>
            <w:tcMar>
              <w:top w:w="40" w:type="dxa"/>
              <w:left w:w="80" w:type="dxa"/>
              <w:bottom w:w="40" w:type="dxa"/>
              <w:right w:w="80" w:type="dxa"/>
            </w:tcMar>
          </w:tcPr>
          <w:p>
            <w:pPr>
              <w:spacing w:before="20" w:after="20" w:line="240" w:lineRule="auto"/>
            </w:pPr>
            <w:r>
              <w:rPr>
                <w:color w:val="1A202C"/>
                <w:sz w:val="20"/>
              </w:rPr>
              <w:t xml:space="preserve">4.9%</w:t>
            </w:r>
          </w:p>
        </w:tc>
      </w:tr>
      <w:tr>
        <w:tc>
          <w:tcPr>
            <w:tcW w:w="3610" w:type="dxa"/>
            <w:tcMar>
              <w:top w:w="40" w:type="dxa"/>
              <w:left w:w="80" w:type="dxa"/>
              <w:bottom w:w="40" w:type="dxa"/>
              <w:right w:w="80" w:type="dxa"/>
            </w:tcMar>
          </w:tcPr>
          <w:p>
            <w:pPr>
              <w:spacing w:before="20" w:after="20" w:line="240" w:lineRule="auto"/>
            </w:pPr>
            <w:r>
              <w:rPr>
                <w:color w:val="1A202C"/>
                <w:sz w:val="20"/>
              </w:rPr>
              <w:t xml:space="preserve">Peak combined year (2033)</w:t>
            </w:r>
          </w:p>
        </w:tc>
        <w:tc>
          <w:tcPr>
            <w:tcW w:w="2346" w:type="dxa"/>
            <w:tcMar>
              <w:top w:w="40" w:type="dxa"/>
              <w:left w:w="80" w:type="dxa"/>
              <w:bottom w:w="40" w:type="dxa"/>
              <w:right w:w="80" w:type="dxa"/>
            </w:tcMar>
          </w:tcPr>
          <w:p>
            <w:pPr>
              <w:spacing w:before="20" w:after="20" w:line="240" w:lineRule="auto"/>
            </w:pPr>
            <w:r>
              <w:rPr>
                <w:color w:val="1A202C"/>
                <w:sz w:val="20"/>
              </w:rPr>
              <w:t xml:space="preserve">$6.1B</w:t>
            </w:r>
          </w:p>
        </w:tc>
        <w:tc>
          <w:tcPr>
            <w:tcW w:w="3070" w:type="dxa"/>
            <w:tcMar>
              <w:top w:w="40" w:type="dxa"/>
              <w:left w:w="80" w:type="dxa"/>
              <w:bottom w:w="40" w:type="dxa"/>
              <w:right w:w="80" w:type="dxa"/>
            </w:tcMar>
          </w:tcPr>
          <w:p>
            <w:pPr>
              <w:spacing w:before="20" w:after="20" w:line="240" w:lineRule="auto"/>
            </w:pPr>
            <w:r>
              <w:rPr>
                <w:color w:val="1A202C"/>
                <w:sz w:val="20"/>
              </w:rPr>
              <w:t xml:space="preserve">9.8%</w:t>
            </w:r>
          </w:p>
        </w:tc>
      </w:tr>
      <w:tr>
        <w:tc>
          <w:tcPr>
            <w:tcW w:w="3610" w:type="dxa"/>
            <w:tcMar>
              <w:top w:w="40" w:type="dxa"/>
              <w:left w:w="80" w:type="dxa"/>
              <w:bottom w:w="40" w:type="dxa"/>
              <w:right w:w="80" w:type="dxa"/>
            </w:tcMar>
          </w:tcPr>
          <w:p>
            <w:pPr>
              <w:spacing w:before="20" w:after="20" w:line="240" w:lineRule="auto"/>
            </w:pPr>
            <w:r>
              <w:rPr>
                <w:b/>
                <w:color w:val="1A202C"/>
                <w:sz w:val="20"/>
              </w:rPr>
              <w:t xml:space="preserve">Program average (2026 to 2041)</w:t>
            </w:r>
          </w:p>
        </w:tc>
        <w:tc>
          <w:tcPr>
            <w:tcW w:w="2346" w:type="dxa"/>
            <w:tcMar>
              <w:top w:w="40" w:type="dxa"/>
              <w:left w:w="80" w:type="dxa"/>
              <w:bottom w:w="40" w:type="dxa"/>
              <w:right w:w="80" w:type="dxa"/>
            </w:tcMar>
          </w:tcPr>
          <w:p>
            <w:pPr>
              <w:spacing w:before="20" w:after="20" w:line="240" w:lineRule="auto"/>
            </w:pPr>
            <w:r>
              <w:rPr>
                <w:b/>
                <w:color w:val="1A202C"/>
                <w:sz w:val="20"/>
              </w:rPr>
              <w:t xml:space="preserve">$4.3B</w:t>
            </w:r>
          </w:p>
        </w:tc>
        <w:tc>
          <w:tcPr>
            <w:tcW w:w="3070" w:type="dxa"/>
            <w:tcMar>
              <w:top w:w="40" w:type="dxa"/>
              <w:left w:w="80" w:type="dxa"/>
              <w:bottom w:w="40" w:type="dxa"/>
              <w:right w:w="80" w:type="dxa"/>
            </w:tcMar>
          </w:tcPr>
          <w:p>
            <w:pPr>
              <w:spacing w:before="20" w:after="20" w:line="240" w:lineRule="auto"/>
            </w:pPr>
            <w:r>
              <w:rPr>
                <w:b/>
                <w:color w:val="1A202C"/>
                <w:sz w:val="20"/>
              </w:rPr>
              <w:t xml:space="preserve">7.0%</w:t>
            </w:r>
          </w:p>
        </w:tc>
      </w:tr>
    </w:tbl>
    <w:p>
      <w:pPr>
        <w:spacing w:after="180" w:line="288" w:lineRule="auto"/>
      </w:pPr>
      <w:r>
        <w:t xml:space="preserve">The program absorbs roughly 7% of the current annual defence budget on average and under 10% at peak. The 3.5% core-defence trajectory to 2035 expands the envelope well beyond the current $62 billion baseline, so the funding pathway fits inside commitments Canada has already made rather than demanding new fiscal capacity. Sustainment adds a further $1.9 billion per year once the fleet reaches full strength, a figure the existing operations budget line absorbs as the CF-18 and any interim fleet retire.</w:t>
      </w:r>
    </w:p>
    <w:p>
      <w:pPr>
        <w:pStyle w:val="Heading2"/>
      </w:pPr>
      <w:r>
        <w:t>4.4 International Cost-Sharing</w:t>
      </w:r>
    </w:p>
    <w:p>
      <w:pPr>
        <w:spacing w:after="180" w:line="288" w:lineRule="auto"/>
      </w:pPr>
      <w:r>
        <w:t xml:space="preserve">Canada joined the Global Combat Air Programme as its first observer nation in July 2026, gaining privileged access to the UK-Japan-Italy sixth-generation effort, which the UK backs with an 8.6 billion pound four-year commitment supporting 4,500 British jobs. Observer status opens a defined negotiation pathway toward partner-level work share in sixth-generation subsystems where the Aurora Arrow and GCAP architectures overlap: adaptive propulsion, GaN sensors, autonomy, and uncrewed teaming.</w:t>
      </w:r>
    </w:p>
    <w:p>
      <w:pPr>
        <w:spacing w:after="180" w:line="288" w:lineRule="auto"/>
      </w:pPr>
      <w:r>
        <w:t xml:space="preserve">Canada's February 2026 entry into the European Union's Security Action for Europe initiative and its role in establishing the Defence, Security and Resilience Bank open two further financing channels for shared development. Engine co-development under the Partner pillar spreads the highest-risk work package across two nations. Together these mechanisms reduce net federal exposure by an estimated $8 billion to $12 billion against the $60.3 billion baseline while preserving full Canadian authority over the aircraft, its software, and its export configuration.</w:t>
      </w:r>
    </w:p>
    <w:p>
      <w:pPr>
        <w:pStyle w:val="Heading1"/>
      </w:pPr>
      <w:r>
        <w:t>PART V: DIRECT JOB CREATION BY PROVINCE</w:t>
      </w:r>
    </w:p>
    <w:p>
      <w:pPr>
        <w:spacing w:after="180" w:line="288" w:lineRule="auto"/>
      </w:pPr>
      <w:r>
        <w:t xml:space="preserve">This section allocates direct, indirect, and induced employment across Canadian regions based on the proposed industrial footprint in Part III. The allocation starts from the ISED 2024 regional shares of aerospace employment (Quebec 61% of manufacturing, Ontario 23%, Western and Northern Canada 12%, Atlantic Canada 4%) and adjusts for the geography of each program work package: the ECHO autonomy and GaN sensor packages pull a larger share toward Ontario than a pure manufacturing baseline, while development-phase engineering raises the knowledge-economy share in every region.</w:t>
      </w:r>
    </w:p>
    <w:p>
      <w:pPr>
        <w:pStyle w:val="Heading2"/>
      </w:pPr>
      <w:r>
        <w:t>5.1 Quebec (Montreal / Mirabel / Longueuil)</w:t>
      </w:r>
    </w:p>
    <w:p>
      <w:pPr>
        <w:spacing w:after="180" w:line="288" w:lineRule="auto"/>
      </w:pPr>
      <w:r>
        <w:t xml:space="preserve">Quebec anchors the program. The province hosts final assembly at Mirabel, propulsion work at Longueuil, mission systems and simulation in Montreal, and a battery and power-electronics line on the existing Quebec-Ontario battery belt. The province employs the majority of Canada's aerospace manufacturing workforce and houses the densest supplier network in the country.</w:t>
      </w:r>
    </w:p>
    <w:tbl>
      <w:tblPr>
        <w:tblW w:w="5000" w:type="pct"/>
        <w:tblBorders>
          <w:top w:val="single" w:color="1A2744" w:sz="12"/>
          <w:left w:val="nil"/>
          <w:bottom w:val="single" w:color="1A2744" w:sz="12"/>
          <w:right w:val="nil"/>
          <w:insideH w:val="single" w:color="C8C4BC" w:sz="4"/>
          <w:insideV w:val="nil"/>
        </w:tblBorders>
      </w:tblPr>
      <w:tblGrid>
        <w:gridCol w:w="3610"/>
        <w:gridCol w:w="1353"/>
        <w:gridCol w:w="1444"/>
        <w:gridCol w:w="1263"/>
        <w:gridCol w:w="1356"/>
      </w:tblGrid>
      <w:tr>
        <w:trPr>
          <w:tblHeader/>
        </w:trPr>
        <w:tc>
          <w:tcPr>
            <w:tcW w:w="3610" w:type="dxa"/>
            <w:shd w:val="clear" w:fill="F4F2EE"/>
            <w:tcMar>
              <w:top w:w="40" w:type="dxa"/>
              <w:left w:w="80" w:type="dxa"/>
              <w:bottom w:w="40" w:type="dxa"/>
              <w:right w:w="80" w:type="dxa"/>
            </w:tcMar>
          </w:tcPr>
          <w:p>
            <w:pPr>
              <w:spacing w:before="20" w:after="20" w:line="240" w:lineRule="auto"/>
            </w:pPr>
            <w:r>
              <w:rPr>
                <w:b/>
                <w:color w:val="1A2744"/>
                <w:sz w:val="20"/>
              </w:rPr>
              <w:t xml:space="preserve">Activity</w:t>
            </w:r>
          </w:p>
        </w:tc>
        <w:tc>
          <w:tcPr>
            <w:tcW w:w="1353" w:type="dxa"/>
            <w:shd w:val="clear" w:fill="F4F2EE"/>
            <w:tcMar>
              <w:top w:w="40" w:type="dxa"/>
              <w:left w:w="80" w:type="dxa"/>
              <w:bottom w:w="40" w:type="dxa"/>
              <w:right w:w="80" w:type="dxa"/>
            </w:tcMar>
          </w:tcPr>
          <w:p>
            <w:pPr>
              <w:spacing w:before="20" w:after="20" w:line="240" w:lineRule="auto"/>
            </w:pPr>
            <w:r>
              <w:rPr>
                <w:b/>
                <w:color w:val="1A2744"/>
                <w:sz w:val="20"/>
              </w:rPr>
              <w:t xml:space="preserve">Direct Jobs</w:t>
            </w:r>
          </w:p>
        </w:tc>
        <w:tc>
          <w:tcPr>
            <w:tcW w:w="1444" w:type="dxa"/>
            <w:shd w:val="clear" w:fill="F4F2EE"/>
            <w:tcMar>
              <w:top w:w="40" w:type="dxa"/>
              <w:left w:w="80" w:type="dxa"/>
              <w:bottom w:w="40" w:type="dxa"/>
              <w:right w:w="80" w:type="dxa"/>
            </w:tcMar>
          </w:tcPr>
          <w:p>
            <w:pPr>
              <w:spacing w:before="20" w:after="20" w:line="240" w:lineRule="auto"/>
            </w:pPr>
            <w:r>
              <w:rPr>
                <w:b/>
                <w:color w:val="1A2744"/>
                <w:sz w:val="20"/>
              </w:rPr>
              <w:t xml:space="preserve">Avg. Salary</w:t>
            </w:r>
          </w:p>
        </w:tc>
        <w:tc>
          <w:tcPr>
            <w:tcW w:w="1263" w:type="dxa"/>
            <w:shd w:val="clear" w:fill="F4F2EE"/>
            <w:tcMar>
              <w:top w:w="40" w:type="dxa"/>
              <w:left w:w="80" w:type="dxa"/>
              <w:bottom w:w="40" w:type="dxa"/>
              <w:right w:w="80" w:type="dxa"/>
            </w:tcMar>
          </w:tcPr>
          <w:p>
            <w:pPr>
              <w:spacing w:before="20" w:after="20" w:line="240" w:lineRule="auto"/>
            </w:pPr>
            <w:r>
              <w:rPr>
                <w:b/>
                <w:color w:val="1A2744"/>
                <w:sz w:val="20"/>
              </w:rPr>
              <w:t xml:space="preserve">Indirect + Induced</w:t>
            </w:r>
          </w:p>
        </w:tc>
        <w:tc>
          <w:tcPr>
            <w:tcW w:w="1356" w:type="dxa"/>
            <w:shd w:val="clear" w:fill="F4F2EE"/>
            <w:tcMar>
              <w:top w:w="40" w:type="dxa"/>
              <w:left w:w="80" w:type="dxa"/>
              <w:bottom w:w="40" w:type="dxa"/>
              <w:right w:w="80" w:type="dxa"/>
            </w:tcMar>
          </w:tcPr>
          <w:p>
            <w:pPr>
              <w:spacing w:before="20" w:after="20" w:line="240" w:lineRule="auto"/>
            </w:pPr>
            <w:r>
              <w:rPr>
                <w:b/>
                <w:color w:val="1A2744"/>
                <w:sz w:val="20"/>
              </w:rPr>
              <w:t xml:space="preserve">Total Jobs</w:t>
            </w:r>
          </w:p>
        </w:tc>
      </w:tr>
      <w:tr>
        <w:tc>
          <w:tcPr>
            <w:tcW w:w="3610" w:type="dxa"/>
            <w:tcMar>
              <w:top w:w="40" w:type="dxa"/>
              <w:left w:w="80" w:type="dxa"/>
              <w:bottom w:w="40" w:type="dxa"/>
              <w:right w:w="80" w:type="dxa"/>
            </w:tcMar>
          </w:tcPr>
          <w:p>
            <w:pPr>
              <w:spacing w:before="20" w:after="20" w:line="240" w:lineRule="auto"/>
            </w:pPr>
            <w:r>
              <w:rPr>
                <w:color w:val="1A202C"/>
                <w:sz w:val="20"/>
              </w:rPr>
              <w:t xml:space="preserve">Final assembly and integration (Mirabel)</w:t>
            </w:r>
          </w:p>
        </w:tc>
        <w:tc>
          <w:tcPr>
            <w:tcW w:w="1353" w:type="dxa"/>
            <w:tcMar>
              <w:top w:w="40" w:type="dxa"/>
              <w:left w:w="80" w:type="dxa"/>
              <w:bottom w:w="40" w:type="dxa"/>
              <w:right w:w="80" w:type="dxa"/>
            </w:tcMar>
          </w:tcPr>
          <w:p>
            <w:pPr>
              <w:spacing w:before="20" w:after="20" w:line="240" w:lineRule="auto"/>
            </w:pPr>
            <w:r>
              <w:rPr>
                <w:color w:val="1A202C"/>
                <w:sz w:val="20"/>
              </w:rPr>
              <w:t xml:space="preserve">1,900</w:t>
            </w:r>
          </w:p>
        </w:tc>
        <w:tc>
          <w:tcPr>
            <w:tcW w:w="1444" w:type="dxa"/>
            <w:tcMar>
              <w:top w:w="40" w:type="dxa"/>
              <w:left w:w="80" w:type="dxa"/>
              <w:bottom w:w="40" w:type="dxa"/>
              <w:right w:w="80" w:type="dxa"/>
            </w:tcMar>
          </w:tcPr>
          <w:p>
            <w:pPr>
              <w:spacing w:before="20" w:after="20" w:line="240" w:lineRule="auto"/>
            </w:pPr>
            <w:r>
              <w:rPr>
                <w:color w:val="1A202C"/>
                <w:sz w:val="20"/>
              </w:rPr>
              <w:t xml:space="preserve">$94,000</w:t>
            </w:r>
          </w:p>
        </w:tc>
        <w:tc>
          <w:tcPr>
            <w:tcW w:w="1263" w:type="dxa"/>
            <w:tcMar>
              <w:top w:w="40" w:type="dxa"/>
              <w:left w:w="80" w:type="dxa"/>
              <w:bottom w:w="40" w:type="dxa"/>
              <w:right w:w="80" w:type="dxa"/>
            </w:tcMar>
          </w:tcPr>
          <w:p>
            <w:pPr>
              <w:spacing w:before="20" w:after="20" w:line="240" w:lineRule="auto"/>
            </w:pPr>
            <w:r>
              <w:rPr>
                <w:color w:val="1A202C"/>
                <w:sz w:val="20"/>
              </w:rPr>
              <w:t xml:space="preserve">2,717</w:t>
            </w:r>
          </w:p>
        </w:tc>
        <w:tc>
          <w:tcPr>
            <w:tcW w:w="1356" w:type="dxa"/>
            <w:tcMar>
              <w:top w:w="40" w:type="dxa"/>
              <w:left w:w="80" w:type="dxa"/>
              <w:bottom w:w="40" w:type="dxa"/>
              <w:right w:w="80" w:type="dxa"/>
            </w:tcMar>
          </w:tcPr>
          <w:p>
            <w:pPr>
              <w:spacing w:before="20" w:after="20" w:line="240" w:lineRule="auto"/>
            </w:pPr>
            <w:r>
              <w:rPr>
                <w:color w:val="1A202C"/>
                <w:sz w:val="20"/>
              </w:rPr>
              <w:t xml:space="preserve">4,617</w:t>
            </w:r>
          </w:p>
        </w:tc>
      </w:tr>
      <w:tr>
        <w:tc>
          <w:tcPr>
            <w:tcW w:w="3610" w:type="dxa"/>
            <w:tcMar>
              <w:top w:w="40" w:type="dxa"/>
              <w:left w:w="80" w:type="dxa"/>
              <w:bottom w:w="40" w:type="dxa"/>
              <w:right w:w="80" w:type="dxa"/>
            </w:tcMar>
          </w:tcPr>
          <w:p>
            <w:pPr>
              <w:spacing w:before="20" w:after="20" w:line="240" w:lineRule="auto"/>
            </w:pPr>
            <w:r>
              <w:rPr>
                <w:color w:val="1A202C"/>
                <w:sz w:val="20"/>
              </w:rPr>
              <w:t xml:space="preserve">Propulsion modules and depot (Longueuil)</w:t>
            </w:r>
          </w:p>
        </w:tc>
        <w:tc>
          <w:tcPr>
            <w:tcW w:w="1353" w:type="dxa"/>
            <w:tcMar>
              <w:top w:w="40" w:type="dxa"/>
              <w:left w:w="80" w:type="dxa"/>
              <w:bottom w:w="40" w:type="dxa"/>
              <w:right w:w="80" w:type="dxa"/>
            </w:tcMar>
          </w:tcPr>
          <w:p>
            <w:pPr>
              <w:spacing w:before="20" w:after="20" w:line="240" w:lineRule="auto"/>
            </w:pPr>
            <w:r>
              <w:rPr>
                <w:color w:val="1A202C"/>
                <w:sz w:val="20"/>
              </w:rPr>
              <w:t xml:space="preserve">950</w:t>
            </w:r>
          </w:p>
        </w:tc>
        <w:tc>
          <w:tcPr>
            <w:tcW w:w="1444" w:type="dxa"/>
            <w:tcMar>
              <w:top w:w="40" w:type="dxa"/>
              <w:left w:w="80" w:type="dxa"/>
              <w:bottom w:w="40" w:type="dxa"/>
              <w:right w:w="80" w:type="dxa"/>
            </w:tcMar>
          </w:tcPr>
          <w:p>
            <w:pPr>
              <w:spacing w:before="20" w:after="20" w:line="240" w:lineRule="auto"/>
            </w:pPr>
            <w:r>
              <w:rPr>
                <w:color w:val="1A202C"/>
                <w:sz w:val="20"/>
              </w:rPr>
              <w:t xml:space="preserve">$98,000</w:t>
            </w:r>
          </w:p>
        </w:tc>
        <w:tc>
          <w:tcPr>
            <w:tcW w:w="1263" w:type="dxa"/>
            <w:tcMar>
              <w:top w:w="40" w:type="dxa"/>
              <w:left w:w="80" w:type="dxa"/>
              <w:bottom w:w="40" w:type="dxa"/>
              <w:right w:w="80" w:type="dxa"/>
            </w:tcMar>
          </w:tcPr>
          <w:p>
            <w:pPr>
              <w:spacing w:before="20" w:after="20" w:line="240" w:lineRule="auto"/>
            </w:pPr>
            <w:r>
              <w:rPr>
                <w:color w:val="1A202C"/>
                <w:sz w:val="20"/>
              </w:rPr>
              <w:t xml:space="preserve">1,359</w:t>
            </w:r>
          </w:p>
        </w:tc>
        <w:tc>
          <w:tcPr>
            <w:tcW w:w="1356" w:type="dxa"/>
            <w:tcMar>
              <w:top w:w="40" w:type="dxa"/>
              <w:left w:w="80" w:type="dxa"/>
              <w:bottom w:w="40" w:type="dxa"/>
              <w:right w:w="80" w:type="dxa"/>
            </w:tcMar>
          </w:tcPr>
          <w:p>
            <w:pPr>
              <w:spacing w:before="20" w:after="20" w:line="240" w:lineRule="auto"/>
            </w:pPr>
            <w:r>
              <w:rPr>
                <w:color w:val="1A202C"/>
                <w:sz w:val="20"/>
              </w:rPr>
              <w:t xml:space="preserve">2,309</w:t>
            </w:r>
          </w:p>
        </w:tc>
      </w:tr>
      <w:tr>
        <w:tc>
          <w:tcPr>
            <w:tcW w:w="3610" w:type="dxa"/>
            <w:tcMar>
              <w:top w:w="40" w:type="dxa"/>
              <w:left w:w="80" w:type="dxa"/>
              <w:bottom w:w="40" w:type="dxa"/>
              <w:right w:w="80" w:type="dxa"/>
            </w:tcMar>
          </w:tcPr>
          <w:p>
            <w:pPr>
              <w:spacing w:before="20" w:after="20" w:line="240" w:lineRule="auto"/>
            </w:pPr>
            <w:r>
              <w:rPr>
                <w:color w:val="1A202C"/>
                <w:sz w:val="20"/>
              </w:rPr>
              <w:t xml:space="preserve">Mission systems, training, simulation (Montreal)</w:t>
            </w:r>
          </w:p>
        </w:tc>
        <w:tc>
          <w:tcPr>
            <w:tcW w:w="1353" w:type="dxa"/>
            <w:tcMar>
              <w:top w:w="40" w:type="dxa"/>
              <w:left w:w="80" w:type="dxa"/>
              <w:bottom w:w="40" w:type="dxa"/>
              <w:right w:w="80" w:type="dxa"/>
            </w:tcMar>
          </w:tcPr>
          <w:p>
            <w:pPr>
              <w:spacing w:before="20" w:after="20" w:line="240" w:lineRule="auto"/>
            </w:pPr>
            <w:r>
              <w:rPr>
                <w:color w:val="1A202C"/>
                <w:sz w:val="20"/>
              </w:rPr>
              <w:t xml:space="preserve">700</w:t>
            </w:r>
          </w:p>
        </w:tc>
        <w:tc>
          <w:tcPr>
            <w:tcW w:w="1444" w:type="dxa"/>
            <w:tcMar>
              <w:top w:w="40" w:type="dxa"/>
              <w:left w:w="80" w:type="dxa"/>
              <w:bottom w:w="40" w:type="dxa"/>
              <w:right w:w="80" w:type="dxa"/>
            </w:tcMar>
          </w:tcPr>
          <w:p>
            <w:pPr>
              <w:spacing w:before="20" w:after="20" w:line="240" w:lineRule="auto"/>
            </w:pPr>
            <w:r>
              <w:rPr>
                <w:color w:val="1A202C"/>
                <w:sz w:val="20"/>
              </w:rPr>
              <w:t xml:space="preserve">$96,000</w:t>
            </w:r>
          </w:p>
        </w:tc>
        <w:tc>
          <w:tcPr>
            <w:tcW w:w="1263" w:type="dxa"/>
            <w:tcMar>
              <w:top w:w="40" w:type="dxa"/>
              <w:left w:w="80" w:type="dxa"/>
              <w:bottom w:w="40" w:type="dxa"/>
              <w:right w:w="80" w:type="dxa"/>
            </w:tcMar>
          </w:tcPr>
          <w:p>
            <w:pPr>
              <w:spacing w:before="20" w:after="20" w:line="240" w:lineRule="auto"/>
            </w:pPr>
            <w:r>
              <w:rPr>
                <w:color w:val="1A202C"/>
                <w:sz w:val="20"/>
              </w:rPr>
              <w:t xml:space="preserve">1,001</w:t>
            </w:r>
          </w:p>
        </w:tc>
        <w:tc>
          <w:tcPr>
            <w:tcW w:w="1356" w:type="dxa"/>
            <w:tcMar>
              <w:top w:w="40" w:type="dxa"/>
              <w:left w:w="80" w:type="dxa"/>
              <w:bottom w:w="40" w:type="dxa"/>
              <w:right w:w="80" w:type="dxa"/>
            </w:tcMar>
          </w:tcPr>
          <w:p>
            <w:pPr>
              <w:spacing w:before="20" w:after="20" w:line="240" w:lineRule="auto"/>
            </w:pPr>
            <w:r>
              <w:rPr>
                <w:color w:val="1A202C"/>
                <w:sz w:val="20"/>
              </w:rPr>
              <w:t xml:space="preserve">1,701</w:t>
            </w:r>
          </w:p>
        </w:tc>
      </w:tr>
      <w:tr>
        <w:tc>
          <w:tcPr>
            <w:tcW w:w="3610" w:type="dxa"/>
            <w:tcMar>
              <w:top w:w="40" w:type="dxa"/>
              <w:left w:w="80" w:type="dxa"/>
              <w:bottom w:w="40" w:type="dxa"/>
              <w:right w:w="80" w:type="dxa"/>
            </w:tcMar>
          </w:tcPr>
          <w:p>
            <w:pPr>
              <w:spacing w:before="20" w:after="20" w:line="240" w:lineRule="auto"/>
            </w:pPr>
            <w:r>
              <w:rPr>
                <w:color w:val="1A202C"/>
                <w:sz w:val="20"/>
              </w:rPr>
              <w:t xml:space="preserve">Battery and power electronics</w:t>
            </w:r>
          </w:p>
        </w:tc>
        <w:tc>
          <w:tcPr>
            <w:tcW w:w="1353" w:type="dxa"/>
            <w:tcMar>
              <w:top w:w="40" w:type="dxa"/>
              <w:left w:w="80" w:type="dxa"/>
              <w:bottom w:w="40" w:type="dxa"/>
              <w:right w:w="80" w:type="dxa"/>
            </w:tcMar>
          </w:tcPr>
          <w:p>
            <w:pPr>
              <w:spacing w:before="20" w:after="20" w:line="240" w:lineRule="auto"/>
            </w:pPr>
            <w:r>
              <w:rPr>
                <w:color w:val="1A202C"/>
                <w:sz w:val="20"/>
              </w:rPr>
              <w:t xml:space="preserve">550</w:t>
            </w:r>
          </w:p>
        </w:tc>
        <w:tc>
          <w:tcPr>
            <w:tcW w:w="1444" w:type="dxa"/>
            <w:tcMar>
              <w:top w:w="40" w:type="dxa"/>
              <w:left w:w="80" w:type="dxa"/>
              <w:bottom w:w="40" w:type="dxa"/>
              <w:right w:w="80" w:type="dxa"/>
            </w:tcMar>
          </w:tcPr>
          <w:p>
            <w:pPr>
              <w:spacing w:before="20" w:after="20" w:line="240" w:lineRule="auto"/>
            </w:pPr>
            <w:r>
              <w:rPr>
                <w:color w:val="1A202C"/>
                <w:sz w:val="20"/>
              </w:rPr>
              <w:t xml:space="preserve">$92,000</w:t>
            </w:r>
          </w:p>
        </w:tc>
        <w:tc>
          <w:tcPr>
            <w:tcW w:w="1263" w:type="dxa"/>
            <w:tcMar>
              <w:top w:w="40" w:type="dxa"/>
              <w:left w:w="80" w:type="dxa"/>
              <w:bottom w:w="40" w:type="dxa"/>
              <w:right w:w="80" w:type="dxa"/>
            </w:tcMar>
          </w:tcPr>
          <w:p>
            <w:pPr>
              <w:spacing w:before="20" w:after="20" w:line="240" w:lineRule="auto"/>
            </w:pPr>
            <w:r>
              <w:rPr>
                <w:color w:val="1A202C"/>
                <w:sz w:val="20"/>
              </w:rPr>
              <w:t xml:space="preserve">787</w:t>
            </w:r>
          </w:p>
        </w:tc>
        <w:tc>
          <w:tcPr>
            <w:tcW w:w="1356" w:type="dxa"/>
            <w:tcMar>
              <w:top w:w="40" w:type="dxa"/>
              <w:left w:w="80" w:type="dxa"/>
              <w:bottom w:w="40" w:type="dxa"/>
              <w:right w:w="80" w:type="dxa"/>
            </w:tcMar>
          </w:tcPr>
          <w:p>
            <w:pPr>
              <w:spacing w:before="20" w:after="20" w:line="240" w:lineRule="auto"/>
            </w:pPr>
            <w:r>
              <w:rPr>
                <w:color w:val="1A202C"/>
                <w:sz w:val="20"/>
              </w:rPr>
              <w:t xml:space="preserve">1,337</w:t>
            </w:r>
          </w:p>
        </w:tc>
      </w:tr>
      <w:tr>
        <w:tc>
          <w:tcPr>
            <w:tcW w:w="3610" w:type="dxa"/>
            <w:tcMar>
              <w:top w:w="40" w:type="dxa"/>
              <w:left w:w="80" w:type="dxa"/>
              <w:bottom w:w="40" w:type="dxa"/>
              <w:right w:w="80" w:type="dxa"/>
            </w:tcMar>
          </w:tcPr>
          <w:p>
            <w:pPr>
              <w:spacing w:before="20" w:after="20" w:line="240" w:lineRule="auto"/>
            </w:pPr>
            <w:r>
              <w:rPr>
                <w:color w:val="1A202C"/>
                <w:sz w:val="20"/>
              </w:rPr>
              <w:t xml:space="preserve">Supplier network (SMEs)</w:t>
            </w:r>
          </w:p>
        </w:tc>
        <w:tc>
          <w:tcPr>
            <w:tcW w:w="1353" w:type="dxa"/>
            <w:tcMar>
              <w:top w:w="40" w:type="dxa"/>
              <w:left w:w="80" w:type="dxa"/>
              <w:bottom w:w="40" w:type="dxa"/>
              <w:right w:w="80" w:type="dxa"/>
            </w:tcMar>
          </w:tcPr>
          <w:p>
            <w:pPr>
              <w:spacing w:before="20" w:after="20" w:line="240" w:lineRule="auto"/>
            </w:pPr>
            <w:r>
              <w:rPr>
                <w:color w:val="1A202C"/>
                <w:sz w:val="20"/>
              </w:rPr>
              <w:t xml:space="preserve">1,200</w:t>
            </w:r>
          </w:p>
        </w:tc>
        <w:tc>
          <w:tcPr>
            <w:tcW w:w="1444" w:type="dxa"/>
            <w:tcMar>
              <w:top w:w="40" w:type="dxa"/>
              <w:left w:w="80" w:type="dxa"/>
              <w:bottom w:w="40" w:type="dxa"/>
              <w:right w:w="80" w:type="dxa"/>
            </w:tcMar>
          </w:tcPr>
          <w:p>
            <w:pPr>
              <w:spacing w:before="20" w:after="20" w:line="240" w:lineRule="auto"/>
            </w:pPr>
            <w:r>
              <w:rPr>
                <w:color w:val="1A202C"/>
                <w:sz w:val="20"/>
              </w:rPr>
              <w:t xml:space="preserve">$84,000</w:t>
            </w:r>
          </w:p>
        </w:tc>
        <w:tc>
          <w:tcPr>
            <w:tcW w:w="1263" w:type="dxa"/>
            <w:tcMar>
              <w:top w:w="40" w:type="dxa"/>
              <w:left w:w="80" w:type="dxa"/>
              <w:bottom w:w="40" w:type="dxa"/>
              <w:right w:w="80" w:type="dxa"/>
            </w:tcMar>
          </w:tcPr>
          <w:p>
            <w:pPr>
              <w:spacing w:before="20" w:after="20" w:line="240" w:lineRule="auto"/>
            </w:pPr>
            <w:r>
              <w:rPr>
                <w:color w:val="1A202C"/>
                <w:sz w:val="20"/>
              </w:rPr>
              <w:t xml:space="preserve">1,716</w:t>
            </w:r>
          </w:p>
        </w:tc>
        <w:tc>
          <w:tcPr>
            <w:tcW w:w="1356" w:type="dxa"/>
            <w:tcMar>
              <w:top w:w="40" w:type="dxa"/>
              <w:left w:w="80" w:type="dxa"/>
              <w:bottom w:w="40" w:type="dxa"/>
              <w:right w:w="80" w:type="dxa"/>
            </w:tcMar>
          </w:tcPr>
          <w:p>
            <w:pPr>
              <w:spacing w:before="20" w:after="20" w:line="240" w:lineRule="auto"/>
            </w:pPr>
            <w:r>
              <w:rPr>
                <w:color w:val="1A202C"/>
                <w:sz w:val="20"/>
              </w:rPr>
              <w:t xml:space="preserve">2,916</w:t>
            </w:r>
          </w:p>
        </w:tc>
      </w:tr>
      <w:tr>
        <w:tc>
          <w:tcPr>
            <w:tcW w:w="3610" w:type="dxa"/>
            <w:tcMar>
              <w:top w:w="40" w:type="dxa"/>
              <w:left w:w="80" w:type="dxa"/>
              <w:bottom w:w="40" w:type="dxa"/>
              <w:right w:w="80" w:type="dxa"/>
            </w:tcMar>
          </w:tcPr>
          <w:p>
            <w:pPr>
              <w:spacing w:before="20" w:after="20" w:line="240" w:lineRule="auto"/>
            </w:pPr>
            <w:r>
              <w:rPr>
                <w:b/>
                <w:color w:val="1A202C"/>
                <w:sz w:val="20"/>
              </w:rPr>
              <w:t xml:space="preserve">QUEBEC TOTAL</w:t>
            </w:r>
          </w:p>
        </w:tc>
        <w:tc>
          <w:tcPr>
            <w:tcW w:w="1353" w:type="dxa"/>
            <w:tcMar>
              <w:top w:w="40" w:type="dxa"/>
              <w:left w:w="80" w:type="dxa"/>
              <w:bottom w:w="40" w:type="dxa"/>
              <w:right w:w="80" w:type="dxa"/>
            </w:tcMar>
          </w:tcPr>
          <w:p>
            <w:pPr>
              <w:spacing w:before="20" w:after="20" w:line="240" w:lineRule="auto"/>
            </w:pPr>
            <w:r>
              <w:rPr>
                <w:b/>
                <w:color w:val="1A202C"/>
                <w:sz w:val="20"/>
              </w:rPr>
              <w:t xml:space="preserve">5,300</w:t>
            </w:r>
          </w:p>
        </w:tc>
        <w:tc>
          <w:tcPr>
            <w:tcW w:w="1444" w:type="dxa"/>
            <w:tcMar>
              <w:top w:w="40" w:type="dxa"/>
              <w:left w:w="80" w:type="dxa"/>
              <w:bottom w:w="40" w:type="dxa"/>
              <w:right w:w="80" w:type="dxa"/>
            </w:tcMar>
          </w:tcPr>
          <w:p>
            <w:pPr>
              <w:spacing w:before="20" w:after="20" w:line="240" w:lineRule="auto"/>
            </w:pPr>
            <w:r>
              <w:rPr>
                <w:b/>
                <w:color w:val="1A202C"/>
                <w:sz w:val="20"/>
              </w:rPr>
              <w:t xml:space="preserve">$93,000</w:t>
            </w:r>
          </w:p>
        </w:tc>
        <w:tc>
          <w:tcPr>
            <w:tcW w:w="1263" w:type="dxa"/>
            <w:tcMar>
              <w:top w:w="40" w:type="dxa"/>
              <w:left w:w="80" w:type="dxa"/>
              <w:bottom w:w="40" w:type="dxa"/>
              <w:right w:w="80" w:type="dxa"/>
            </w:tcMar>
          </w:tcPr>
          <w:p>
            <w:pPr>
              <w:spacing w:before="20" w:after="20" w:line="240" w:lineRule="auto"/>
            </w:pPr>
            <w:r>
              <w:rPr>
                <w:b/>
                <w:color w:val="1A202C"/>
                <w:sz w:val="20"/>
              </w:rPr>
              <w:t xml:space="preserve">7,580</w:t>
            </w:r>
          </w:p>
        </w:tc>
        <w:tc>
          <w:tcPr>
            <w:tcW w:w="1356" w:type="dxa"/>
            <w:tcMar>
              <w:top w:w="40" w:type="dxa"/>
              <w:left w:w="80" w:type="dxa"/>
              <w:bottom w:w="40" w:type="dxa"/>
              <w:right w:w="80" w:type="dxa"/>
            </w:tcMar>
          </w:tcPr>
          <w:p>
            <w:pPr>
              <w:spacing w:before="20" w:after="20" w:line="240" w:lineRule="auto"/>
            </w:pPr>
            <w:r>
              <w:rPr>
                <w:b/>
                <w:color w:val="1A202C"/>
                <w:sz w:val="20"/>
              </w:rPr>
              <w:t xml:space="preserve">12,880</w:t>
            </w:r>
          </w:p>
        </w:tc>
      </w:tr>
    </w:tbl>
    <w:p>
      <w:pPr>
        <w:spacing w:after="180" w:line="288" w:lineRule="auto"/>
      </w:pPr>
      <w:r>
        <w:t xml:space="preserve">Final assembly of 204 aircraft at a peak rate of 24 per year represents the largest single production program in Quebec since the Airbus A220 ramp, and the development phase adds an engineering surge the province has not seen since the original Arrow era. The work integrates directly with the existing cluster and expands CAE-class autonomy work into sixth-generation mission systems.</w:t>
      </w:r>
    </w:p>
    <w:p>
      <w:pPr>
        <w:pStyle w:val="Heading2"/>
      </w:pPr>
      <w:r>
        <w:t>5.2 Ontario (Ottawa / Toronto / Southwestern Ontario)</w:t>
      </w:r>
    </w:p>
    <w:p>
      <w:pPr>
        <w:spacing w:after="180" w:line="288" w:lineRule="auto"/>
      </w:pPr>
      <w:r>
        <w:t xml:space="preserve">Ontario captures the technology core of the program: radar and sensor work in the Ottawa-Kanata corridor, autonomy and cybersecurity talent in the national capital, precision manufacturing across the Greater Toronto Area, and cell and pack production on the battery belt. The province employs roughly a quarter of Canada's aerospace workforce and the majority of its defence electronics talent.</w:t>
      </w:r>
    </w:p>
    <w:tbl>
      <w:tblPr>
        <w:tblW w:w="5000" w:type="pct"/>
        <w:tblBorders>
          <w:top w:val="single" w:color="1A2744" w:sz="12"/>
          <w:left w:val="nil"/>
          <w:bottom w:val="single" w:color="1A2744" w:sz="12"/>
          <w:right w:val="nil"/>
          <w:insideH w:val="single" w:color="C8C4BC" w:sz="4"/>
          <w:insideV w:val="nil"/>
        </w:tblBorders>
      </w:tblPr>
      <w:tblGrid>
        <w:gridCol w:w="3610"/>
        <w:gridCol w:w="1353"/>
        <w:gridCol w:w="1444"/>
        <w:gridCol w:w="1263"/>
        <w:gridCol w:w="1356"/>
      </w:tblGrid>
      <w:tr>
        <w:trPr>
          <w:tblHeader/>
        </w:trPr>
        <w:tc>
          <w:tcPr>
            <w:tcW w:w="3610" w:type="dxa"/>
            <w:shd w:val="clear" w:fill="F4F2EE"/>
            <w:tcMar>
              <w:top w:w="40" w:type="dxa"/>
              <w:left w:w="80" w:type="dxa"/>
              <w:bottom w:w="40" w:type="dxa"/>
              <w:right w:w="80" w:type="dxa"/>
            </w:tcMar>
          </w:tcPr>
          <w:p>
            <w:pPr>
              <w:spacing w:before="20" w:after="20" w:line="240" w:lineRule="auto"/>
            </w:pPr>
            <w:r>
              <w:rPr>
                <w:b/>
                <w:color w:val="1A2744"/>
                <w:sz w:val="20"/>
              </w:rPr>
              <w:t xml:space="preserve">Activity</w:t>
            </w:r>
          </w:p>
        </w:tc>
        <w:tc>
          <w:tcPr>
            <w:tcW w:w="1353" w:type="dxa"/>
            <w:shd w:val="clear" w:fill="F4F2EE"/>
            <w:tcMar>
              <w:top w:w="40" w:type="dxa"/>
              <w:left w:w="80" w:type="dxa"/>
              <w:bottom w:w="40" w:type="dxa"/>
              <w:right w:w="80" w:type="dxa"/>
            </w:tcMar>
          </w:tcPr>
          <w:p>
            <w:pPr>
              <w:spacing w:before="20" w:after="20" w:line="240" w:lineRule="auto"/>
            </w:pPr>
            <w:r>
              <w:rPr>
                <w:b/>
                <w:color w:val="1A2744"/>
                <w:sz w:val="20"/>
              </w:rPr>
              <w:t xml:space="preserve">Direct Jobs</w:t>
            </w:r>
          </w:p>
        </w:tc>
        <w:tc>
          <w:tcPr>
            <w:tcW w:w="1444" w:type="dxa"/>
            <w:shd w:val="clear" w:fill="F4F2EE"/>
            <w:tcMar>
              <w:top w:w="40" w:type="dxa"/>
              <w:left w:w="80" w:type="dxa"/>
              <w:bottom w:w="40" w:type="dxa"/>
              <w:right w:w="80" w:type="dxa"/>
            </w:tcMar>
          </w:tcPr>
          <w:p>
            <w:pPr>
              <w:spacing w:before="20" w:after="20" w:line="240" w:lineRule="auto"/>
            </w:pPr>
            <w:r>
              <w:rPr>
                <w:b/>
                <w:color w:val="1A2744"/>
                <w:sz w:val="20"/>
              </w:rPr>
              <w:t xml:space="preserve">Avg. Salary</w:t>
            </w:r>
          </w:p>
        </w:tc>
        <w:tc>
          <w:tcPr>
            <w:tcW w:w="1263" w:type="dxa"/>
            <w:shd w:val="clear" w:fill="F4F2EE"/>
            <w:tcMar>
              <w:top w:w="40" w:type="dxa"/>
              <w:left w:w="80" w:type="dxa"/>
              <w:bottom w:w="40" w:type="dxa"/>
              <w:right w:w="80" w:type="dxa"/>
            </w:tcMar>
          </w:tcPr>
          <w:p>
            <w:pPr>
              <w:spacing w:before="20" w:after="20" w:line="240" w:lineRule="auto"/>
            </w:pPr>
            <w:r>
              <w:rPr>
                <w:b/>
                <w:color w:val="1A2744"/>
                <w:sz w:val="20"/>
              </w:rPr>
              <w:t xml:space="preserve">Indirect + Induced</w:t>
            </w:r>
          </w:p>
        </w:tc>
        <w:tc>
          <w:tcPr>
            <w:tcW w:w="1356" w:type="dxa"/>
            <w:shd w:val="clear" w:fill="F4F2EE"/>
            <w:tcMar>
              <w:top w:w="40" w:type="dxa"/>
              <w:left w:w="80" w:type="dxa"/>
              <w:bottom w:w="40" w:type="dxa"/>
              <w:right w:w="80" w:type="dxa"/>
            </w:tcMar>
          </w:tcPr>
          <w:p>
            <w:pPr>
              <w:spacing w:before="20" w:after="20" w:line="240" w:lineRule="auto"/>
            </w:pPr>
            <w:r>
              <w:rPr>
                <w:b/>
                <w:color w:val="1A2744"/>
                <w:sz w:val="20"/>
              </w:rPr>
              <w:t xml:space="preserve">Total Jobs</w:t>
            </w:r>
          </w:p>
        </w:tc>
      </w:tr>
      <w:tr>
        <w:tc>
          <w:tcPr>
            <w:tcW w:w="3610" w:type="dxa"/>
            <w:tcMar>
              <w:top w:w="40" w:type="dxa"/>
              <w:left w:w="80" w:type="dxa"/>
              <w:bottom w:w="40" w:type="dxa"/>
              <w:right w:w="80" w:type="dxa"/>
            </w:tcMar>
          </w:tcPr>
          <w:p>
            <w:pPr>
              <w:spacing w:before="20" w:after="20" w:line="240" w:lineRule="auto"/>
            </w:pPr>
            <w:r>
              <w:rPr>
                <w:color w:val="1A202C"/>
                <w:sz w:val="20"/>
              </w:rPr>
              <w:t xml:space="preserve">AESA radar and GaN sensors (Ottawa/Kanata)</w:t>
            </w:r>
          </w:p>
        </w:tc>
        <w:tc>
          <w:tcPr>
            <w:tcW w:w="1353" w:type="dxa"/>
            <w:tcMar>
              <w:top w:w="40" w:type="dxa"/>
              <w:left w:w="80" w:type="dxa"/>
              <w:bottom w:w="40" w:type="dxa"/>
              <w:right w:w="80" w:type="dxa"/>
            </w:tcMar>
          </w:tcPr>
          <w:p>
            <w:pPr>
              <w:spacing w:before="20" w:after="20" w:line="240" w:lineRule="auto"/>
            </w:pPr>
            <w:r>
              <w:rPr>
                <w:color w:val="1A202C"/>
                <w:sz w:val="20"/>
              </w:rPr>
              <w:t xml:space="preserve">800</w:t>
            </w:r>
          </w:p>
        </w:tc>
        <w:tc>
          <w:tcPr>
            <w:tcW w:w="1444" w:type="dxa"/>
            <w:tcMar>
              <w:top w:w="40" w:type="dxa"/>
              <w:left w:w="80" w:type="dxa"/>
              <w:bottom w:w="40" w:type="dxa"/>
              <w:right w:w="80" w:type="dxa"/>
            </w:tcMar>
          </w:tcPr>
          <w:p>
            <w:pPr>
              <w:spacing w:before="20" w:after="20" w:line="240" w:lineRule="auto"/>
            </w:pPr>
            <w:r>
              <w:rPr>
                <w:color w:val="1A202C"/>
                <w:sz w:val="20"/>
              </w:rPr>
              <w:t xml:space="preserve">$99,000</w:t>
            </w:r>
          </w:p>
        </w:tc>
        <w:tc>
          <w:tcPr>
            <w:tcW w:w="1263" w:type="dxa"/>
            <w:tcMar>
              <w:top w:w="40" w:type="dxa"/>
              <w:left w:w="80" w:type="dxa"/>
              <w:bottom w:w="40" w:type="dxa"/>
              <w:right w:w="80" w:type="dxa"/>
            </w:tcMar>
          </w:tcPr>
          <w:p>
            <w:pPr>
              <w:spacing w:before="20" w:after="20" w:line="240" w:lineRule="auto"/>
            </w:pPr>
            <w:r>
              <w:rPr>
                <w:color w:val="1A202C"/>
                <w:sz w:val="20"/>
              </w:rPr>
              <w:t xml:space="preserve">1,144</w:t>
            </w:r>
          </w:p>
        </w:tc>
        <w:tc>
          <w:tcPr>
            <w:tcW w:w="1356" w:type="dxa"/>
            <w:tcMar>
              <w:top w:w="40" w:type="dxa"/>
              <w:left w:w="80" w:type="dxa"/>
              <w:bottom w:w="40" w:type="dxa"/>
              <w:right w:w="80" w:type="dxa"/>
            </w:tcMar>
          </w:tcPr>
          <w:p>
            <w:pPr>
              <w:spacing w:before="20" w:after="20" w:line="240" w:lineRule="auto"/>
            </w:pPr>
            <w:r>
              <w:rPr>
                <w:color w:val="1A202C"/>
                <w:sz w:val="20"/>
              </w:rPr>
              <w:t xml:space="preserve">1,944</w:t>
            </w:r>
          </w:p>
        </w:tc>
      </w:tr>
      <w:tr>
        <w:tc>
          <w:tcPr>
            <w:tcW w:w="3610" w:type="dxa"/>
            <w:tcMar>
              <w:top w:w="40" w:type="dxa"/>
              <w:left w:w="80" w:type="dxa"/>
              <w:bottom w:w="40" w:type="dxa"/>
              <w:right w:w="80" w:type="dxa"/>
            </w:tcMar>
          </w:tcPr>
          <w:p>
            <w:pPr>
              <w:spacing w:before="20" w:after="20" w:line="240" w:lineRule="auto"/>
            </w:pPr>
            <w:r>
              <w:rPr>
                <w:color w:val="1A202C"/>
                <w:sz w:val="20"/>
              </w:rPr>
              <w:t xml:space="preserve">ECHO AI, autonomy, cybersecurity (Ottawa)</w:t>
            </w:r>
          </w:p>
        </w:tc>
        <w:tc>
          <w:tcPr>
            <w:tcW w:w="1353" w:type="dxa"/>
            <w:tcMar>
              <w:top w:w="40" w:type="dxa"/>
              <w:left w:w="80" w:type="dxa"/>
              <w:bottom w:w="40" w:type="dxa"/>
              <w:right w:w="80" w:type="dxa"/>
            </w:tcMar>
          </w:tcPr>
          <w:p>
            <w:pPr>
              <w:spacing w:before="20" w:after="20" w:line="240" w:lineRule="auto"/>
            </w:pPr>
            <w:r>
              <w:rPr>
                <w:color w:val="1A202C"/>
                <w:sz w:val="20"/>
              </w:rPr>
              <w:t xml:space="preserve">650</w:t>
            </w:r>
          </w:p>
        </w:tc>
        <w:tc>
          <w:tcPr>
            <w:tcW w:w="1444" w:type="dxa"/>
            <w:tcMar>
              <w:top w:w="40" w:type="dxa"/>
              <w:left w:w="80" w:type="dxa"/>
              <w:bottom w:w="40" w:type="dxa"/>
              <w:right w:w="80" w:type="dxa"/>
            </w:tcMar>
          </w:tcPr>
          <w:p>
            <w:pPr>
              <w:spacing w:before="20" w:after="20" w:line="240" w:lineRule="auto"/>
            </w:pPr>
            <w:r>
              <w:rPr>
                <w:color w:val="1A202C"/>
                <w:sz w:val="20"/>
              </w:rPr>
              <w:t xml:space="preserve">$108,000</w:t>
            </w:r>
          </w:p>
        </w:tc>
        <w:tc>
          <w:tcPr>
            <w:tcW w:w="1263" w:type="dxa"/>
            <w:tcMar>
              <w:top w:w="40" w:type="dxa"/>
              <w:left w:w="80" w:type="dxa"/>
              <w:bottom w:w="40" w:type="dxa"/>
              <w:right w:w="80" w:type="dxa"/>
            </w:tcMar>
          </w:tcPr>
          <w:p>
            <w:pPr>
              <w:spacing w:before="20" w:after="20" w:line="240" w:lineRule="auto"/>
            </w:pPr>
            <w:r>
              <w:rPr>
                <w:color w:val="1A202C"/>
                <w:sz w:val="20"/>
              </w:rPr>
              <w:t xml:space="preserve">930</w:t>
            </w:r>
          </w:p>
        </w:tc>
        <w:tc>
          <w:tcPr>
            <w:tcW w:w="1356" w:type="dxa"/>
            <w:tcMar>
              <w:top w:w="40" w:type="dxa"/>
              <w:left w:w="80" w:type="dxa"/>
              <w:bottom w:w="40" w:type="dxa"/>
              <w:right w:w="80" w:type="dxa"/>
            </w:tcMar>
          </w:tcPr>
          <w:p>
            <w:pPr>
              <w:spacing w:before="20" w:after="20" w:line="240" w:lineRule="auto"/>
            </w:pPr>
            <w:r>
              <w:rPr>
                <w:color w:val="1A202C"/>
                <w:sz w:val="20"/>
              </w:rPr>
              <w:t xml:space="preserve">1,580</w:t>
            </w:r>
          </w:p>
        </w:tc>
      </w:tr>
      <w:tr>
        <w:tc>
          <w:tcPr>
            <w:tcW w:w="3610" w:type="dxa"/>
            <w:tcMar>
              <w:top w:w="40" w:type="dxa"/>
              <w:left w:w="80" w:type="dxa"/>
              <w:bottom w:w="40" w:type="dxa"/>
              <w:right w:w="80" w:type="dxa"/>
            </w:tcMar>
          </w:tcPr>
          <w:p>
            <w:pPr>
              <w:spacing w:before="20" w:after="20" w:line="240" w:lineRule="auto"/>
            </w:pPr>
            <w:r>
              <w:rPr>
                <w:color w:val="1A202C"/>
                <w:sz w:val="20"/>
              </w:rPr>
              <w:t xml:space="preserve">Avionics and precision components (GTA corridor)</w:t>
            </w:r>
          </w:p>
        </w:tc>
        <w:tc>
          <w:tcPr>
            <w:tcW w:w="1353" w:type="dxa"/>
            <w:tcMar>
              <w:top w:w="40" w:type="dxa"/>
              <w:left w:w="80" w:type="dxa"/>
              <w:bottom w:w="40" w:type="dxa"/>
              <w:right w:w="80" w:type="dxa"/>
            </w:tcMar>
          </w:tcPr>
          <w:p>
            <w:pPr>
              <w:spacing w:before="20" w:after="20" w:line="240" w:lineRule="auto"/>
            </w:pPr>
            <w:r>
              <w:rPr>
                <w:color w:val="1A202C"/>
                <w:sz w:val="20"/>
              </w:rPr>
              <w:t xml:space="preserve">850</w:t>
            </w:r>
          </w:p>
        </w:tc>
        <w:tc>
          <w:tcPr>
            <w:tcW w:w="1444" w:type="dxa"/>
            <w:tcMar>
              <w:top w:w="40" w:type="dxa"/>
              <w:left w:w="80" w:type="dxa"/>
              <w:bottom w:w="40" w:type="dxa"/>
              <w:right w:w="80" w:type="dxa"/>
            </w:tcMar>
          </w:tcPr>
          <w:p>
            <w:pPr>
              <w:spacing w:before="20" w:after="20" w:line="240" w:lineRule="auto"/>
            </w:pPr>
            <w:r>
              <w:rPr>
                <w:color w:val="1A202C"/>
                <w:sz w:val="20"/>
              </w:rPr>
              <w:t xml:space="preserve">$91,000</w:t>
            </w:r>
          </w:p>
        </w:tc>
        <w:tc>
          <w:tcPr>
            <w:tcW w:w="1263" w:type="dxa"/>
            <w:tcMar>
              <w:top w:w="40" w:type="dxa"/>
              <w:left w:w="80" w:type="dxa"/>
              <w:bottom w:w="40" w:type="dxa"/>
              <w:right w:w="80" w:type="dxa"/>
            </w:tcMar>
          </w:tcPr>
          <w:p>
            <w:pPr>
              <w:spacing w:before="20" w:after="20" w:line="240" w:lineRule="auto"/>
            </w:pPr>
            <w:r>
              <w:rPr>
                <w:color w:val="1A202C"/>
                <w:sz w:val="20"/>
              </w:rPr>
              <w:t xml:space="preserve">1,215</w:t>
            </w:r>
          </w:p>
        </w:tc>
        <w:tc>
          <w:tcPr>
            <w:tcW w:w="1356" w:type="dxa"/>
            <w:tcMar>
              <w:top w:w="40" w:type="dxa"/>
              <w:left w:w="80" w:type="dxa"/>
              <w:bottom w:w="40" w:type="dxa"/>
              <w:right w:w="80" w:type="dxa"/>
            </w:tcMar>
          </w:tcPr>
          <w:p>
            <w:pPr>
              <w:spacing w:before="20" w:after="20" w:line="240" w:lineRule="auto"/>
            </w:pPr>
            <w:r>
              <w:rPr>
                <w:color w:val="1A202C"/>
                <w:sz w:val="20"/>
              </w:rPr>
              <w:t xml:space="preserve">2,065</w:t>
            </w:r>
          </w:p>
        </w:tc>
      </w:tr>
      <w:tr>
        <w:tc>
          <w:tcPr>
            <w:tcW w:w="3610" w:type="dxa"/>
            <w:tcMar>
              <w:top w:w="40" w:type="dxa"/>
              <w:left w:w="80" w:type="dxa"/>
              <w:bottom w:w="40" w:type="dxa"/>
              <w:right w:w="80" w:type="dxa"/>
            </w:tcMar>
          </w:tcPr>
          <w:p>
            <w:pPr>
              <w:spacing w:before="20" w:after="20" w:line="240" w:lineRule="auto"/>
            </w:pPr>
            <w:r>
              <w:rPr>
                <w:color w:val="1A202C"/>
                <w:sz w:val="20"/>
              </w:rPr>
              <w:t xml:space="preserve">Coating and advanced materials</w:t>
            </w:r>
          </w:p>
        </w:tc>
        <w:tc>
          <w:tcPr>
            <w:tcW w:w="1353" w:type="dxa"/>
            <w:tcMar>
              <w:top w:w="40" w:type="dxa"/>
              <w:left w:w="80" w:type="dxa"/>
              <w:bottom w:w="40" w:type="dxa"/>
              <w:right w:w="80" w:type="dxa"/>
            </w:tcMar>
          </w:tcPr>
          <w:p>
            <w:pPr>
              <w:spacing w:before="20" w:after="20" w:line="240" w:lineRule="auto"/>
            </w:pPr>
            <w:r>
              <w:rPr>
                <w:color w:val="1A202C"/>
                <w:sz w:val="20"/>
              </w:rPr>
              <w:t xml:space="preserve">400</w:t>
            </w:r>
          </w:p>
        </w:tc>
        <w:tc>
          <w:tcPr>
            <w:tcW w:w="1444" w:type="dxa"/>
            <w:tcMar>
              <w:top w:w="40" w:type="dxa"/>
              <w:left w:w="80" w:type="dxa"/>
              <w:bottom w:w="40" w:type="dxa"/>
              <w:right w:w="80" w:type="dxa"/>
            </w:tcMar>
          </w:tcPr>
          <w:p>
            <w:pPr>
              <w:spacing w:before="20" w:after="20" w:line="240" w:lineRule="auto"/>
            </w:pPr>
            <w:r>
              <w:rPr>
                <w:color w:val="1A202C"/>
                <w:sz w:val="20"/>
              </w:rPr>
              <w:t xml:space="preserve">$88,000</w:t>
            </w:r>
          </w:p>
        </w:tc>
        <w:tc>
          <w:tcPr>
            <w:tcW w:w="1263" w:type="dxa"/>
            <w:tcMar>
              <w:top w:w="40" w:type="dxa"/>
              <w:left w:w="80" w:type="dxa"/>
              <w:bottom w:w="40" w:type="dxa"/>
              <w:right w:w="80" w:type="dxa"/>
            </w:tcMar>
          </w:tcPr>
          <w:p>
            <w:pPr>
              <w:spacing w:before="20" w:after="20" w:line="240" w:lineRule="auto"/>
            </w:pPr>
            <w:r>
              <w:rPr>
                <w:color w:val="1A202C"/>
                <w:sz w:val="20"/>
              </w:rPr>
              <w:t xml:space="preserve">572</w:t>
            </w:r>
          </w:p>
        </w:tc>
        <w:tc>
          <w:tcPr>
            <w:tcW w:w="1356" w:type="dxa"/>
            <w:tcMar>
              <w:top w:w="40" w:type="dxa"/>
              <w:left w:w="80" w:type="dxa"/>
              <w:bottom w:w="40" w:type="dxa"/>
              <w:right w:w="80" w:type="dxa"/>
            </w:tcMar>
          </w:tcPr>
          <w:p>
            <w:pPr>
              <w:spacing w:before="20" w:after="20" w:line="240" w:lineRule="auto"/>
            </w:pPr>
            <w:r>
              <w:rPr>
                <w:color w:val="1A202C"/>
                <w:sz w:val="20"/>
              </w:rPr>
              <w:t xml:space="preserve">972</w:t>
            </w:r>
          </w:p>
        </w:tc>
      </w:tr>
      <w:tr>
        <w:tc>
          <w:tcPr>
            <w:tcW w:w="3610" w:type="dxa"/>
            <w:tcMar>
              <w:top w:w="40" w:type="dxa"/>
              <w:left w:w="80" w:type="dxa"/>
              <w:bottom w:w="40" w:type="dxa"/>
              <w:right w:w="80" w:type="dxa"/>
            </w:tcMar>
          </w:tcPr>
          <w:p>
            <w:pPr>
              <w:spacing w:before="20" w:after="20" w:line="240" w:lineRule="auto"/>
            </w:pPr>
            <w:r>
              <w:rPr>
                <w:color w:val="1A202C"/>
                <w:sz w:val="20"/>
              </w:rPr>
              <w:t xml:space="preserve">Battery belt cell and pack production</w:t>
            </w:r>
          </w:p>
        </w:tc>
        <w:tc>
          <w:tcPr>
            <w:tcW w:w="1353" w:type="dxa"/>
            <w:tcMar>
              <w:top w:w="40" w:type="dxa"/>
              <w:left w:w="80" w:type="dxa"/>
              <w:bottom w:w="40" w:type="dxa"/>
              <w:right w:w="80" w:type="dxa"/>
            </w:tcMar>
          </w:tcPr>
          <w:p>
            <w:pPr>
              <w:spacing w:before="20" w:after="20" w:line="240" w:lineRule="auto"/>
            </w:pPr>
            <w:r>
              <w:rPr>
                <w:color w:val="1A202C"/>
                <w:sz w:val="20"/>
              </w:rPr>
              <w:t xml:space="preserve">1,000</w:t>
            </w:r>
          </w:p>
        </w:tc>
        <w:tc>
          <w:tcPr>
            <w:tcW w:w="1444" w:type="dxa"/>
            <w:tcMar>
              <w:top w:w="40" w:type="dxa"/>
              <w:left w:w="80" w:type="dxa"/>
              <w:bottom w:w="40" w:type="dxa"/>
              <w:right w:w="80" w:type="dxa"/>
            </w:tcMar>
          </w:tcPr>
          <w:p>
            <w:pPr>
              <w:spacing w:before="20" w:after="20" w:line="240" w:lineRule="auto"/>
            </w:pPr>
            <w:r>
              <w:rPr>
                <w:color w:val="1A202C"/>
                <w:sz w:val="20"/>
              </w:rPr>
              <w:t xml:space="preserve">$86,000</w:t>
            </w:r>
          </w:p>
        </w:tc>
        <w:tc>
          <w:tcPr>
            <w:tcW w:w="1263" w:type="dxa"/>
            <w:tcMar>
              <w:top w:w="40" w:type="dxa"/>
              <w:left w:w="80" w:type="dxa"/>
              <w:bottom w:w="40" w:type="dxa"/>
              <w:right w:w="80" w:type="dxa"/>
            </w:tcMar>
          </w:tcPr>
          <w:p>
            <w:pPr>
              <w:spacing w:before="20" w:after="20" w:line="240" w:lineRule="auto"/>
            </w:pPr>
            <w:r>
              <w:rPr>
                <w:color w:val="1A202C"/>
                <w:sz w:val="20"/>
              </w:rPr>
              <w:t xml:space="preserve">1,430</w:t>
            </w:r>
          </w:p>
        </w:tc>
        <w:tc>
          <w:tcPr>
            <w:tcW w:w="1356" w:type="dxa"/>
            <w:tcMar>
              <w:top w:w="40" w:type="dxa"/>
              <w:left w:w="80" w:type="dxa"/>
              <w:bottom w:w="40" w:type="dxa"/>
              <w:right w:w="80" w:type="dxa"/>
            </w:tcMar>
          </w:tcPr>
          <w:p>
            <w:pPr>
              <w:spacing w:before="20" w:after="20" w:line="240" w:lineRule="auto"/>
            </w:pPr>
            <w:r>
              <w:rPr>
                <w:color w:val="1A202C"/>
                <w:sz w:val="20"/>
              </w:rPr>
              <w:t xml:space="preserve">2,430</w:t>
            </w:r>
          </w:p>
        </w:tc>
      </w:tr>
      <w:tr>
        <w:tc>
          <w:tcPr>
            <w:tcW w:w="3610" w:type="dxa"/>
            <w:tcMar>
              <w:top w:w="40" w:type="dxa"/>
              <w:left w:w="80" w:type="dxa"/>
              <w:bottom w:w="40" w:type="dxa"/>
              <w:right w:w="80" w:type="dxa"/>
            </w:tcMar>
          </w:tcPr>
          <w:p>
            <w:pPr>
              <w:spacing w:before="20" w:after="20" w:line="240" w:lineRule="auto"/>
            </w:pPr>
            <w:r>
              <w:rPr>
                <w:b/>
                <w:color w:val="1A202C"/>
                <w:sz w:val="20"/>
              </w:rPr>
              <w:t xml:space="preserve">ONTARIO TOTAL</w:t>
            </w:r>
          </w:p>
        </w:tc>
        <w:tc>
          <w:tcPr>
            <w:tcW w:w="1353" w:type="dxa"/>
            <w:tcMar>
              <w:top w:w="40" w:type="dxa"/>
              <w:left w:w="80" w:type="dxa"/>
              <w:bottom w:w="40" w:type="dxa"/>
              <w:right w:w="80" w:type="dxa"/>
            </w:tcMar>
          </w:tcPr>
          <w:p>
            <w:pPr>
              <w:spacing w:before="20" w:after="20" w:line="240" w:lineRule="auto"/>
            </w:pPr>
            <w:r>
              <w:rPr>
                <w:b/>
                <w:color w:val="1A202C"/>
                <w:sz w:val="20"/>
              </w:rPr>
              <w:t xml:space="preserve">3,700</w:t>
            </w:r>
          </w:p>
        </w:tc>
        <w:tc>
          <w:tcPr>
            <w:tcW w:w="1444" w:type="dxa"/>
            <w:tcMar>
              <w:top w:w="40" w:type="dxa"/>
              <w:left w:w="80" w:type="dxa"/>
              <w:bottom w:w="40" w:type="dxa"/>
              <w:right w:w="80" w:type="dxa"/>
            </w:tcMar>
          </w:tcPr>
          <w:p>
            <w:pPr>
              <w:spacing w:before="20" w:after="20" w:line="240" w:lineRule="auto"/>
            </w:pPr>
            <w:r>
              <w:rPr>
                <w:b/>
                <w:color w:val="1A202C"/>
                <w:sz w:val="20"/>
              </w:rPr>
              <w:t xml:space="preserve">$94,000</w:t>
            </w:r>
          </w:p>
        </w:tc>
        <w:tc>
          <w:tcPr>
            <w:tcW w:w="1263" w:type="dxa"/>
            <w:tcMar>
              <w:top w:w="40" w:type="dxa"/>
              <w:left w:w="80" w:type="dxa"/>
              <w:bottom w:w="40" w:type="dxa"/>
              <w:right w:w="80" w:type="dxa"/>
            </w:tcMar>
          </w:tcPr>
          <w:p>
            <w:pPr>
              <w:spacing w:before="20" w:after="20" w:line="240" w:lineRule="auto"/>
            </w:pPr>
            <w:r>
              <w:rPr>
                <w:b/>
                <w:color w:val="1A202C"/>
                <w:sz w:val="20"/>
              </w:rPr>
              <w:t xml:space="preserve">5,291</w:t>
            </w:r>
          </w:p>
        </w:tc>
        <w:tc>
          <w:tcPr>
            <w:tcW w:w="1356" w:type="dxa"/>
            <w:tcMar>
              <w:top w:w="40" w:type="dxa"/>
              <w:left w:w="80" w:type="dxa"/>
              <w:bottom w:w="40" w:type="dxa"/>
              <w:right w:w="80" w:type="dxa"/>
            </w:tcMar>
          </w:tcPr>
          <w:p>
            <w:pPr>
              <w:spacing w:before="20" w:after="20" w:line="240" w:lineRule="auto"/>
            </w:pPr>
            <w:r>
              <w:rPr>
                <w:b/>
                <w:color w:val="1A202C"/>
                <w:sz w:val="20"/>
              </w:rPr>
              <w:t xml:space="preserve">8,991</w:t>
            </w:r>
          </w:p>
        </w:tc>
      </w:tr>
    </w:tbl>
    <w:p>
      <w:pPr>
        <w:pStyle w:val="Heading2"/>
      </w:pPr>
      <w:r>
        <w:t>5.3 Western Canada (Manitoba / Alberta / British Columbia)</w:t>
      </w:r>
    </w:p>
    <w:p>
      <w:pPr>
        <w:spacing w:after="180" w:line="288" w:lineRule="auto"/>
      </w:pPr>
      <w:r>
        <w:t xml:space="preserve">Western Canada contributes composite structures from the Winnipeg cluster, test and evaluation at Cold Lake in Alberta, and sensor, space, and software work from British Columbia. Sustainment and MRO activity distributes across the region as the fleet reaches operational tempo.</w:t>
      </w:r>
    </w:p>
    <w:tbl>
      <w:tblPr>
        <w:tblW w:w="5000" w:type="pct"/>
        <w:tblBorders>
          <w:top w:val="single" w:color="1A2744" w:sz="12"/>
          <w:left w:val="nil"/>
          <w:bottom w:val="single" w:color="1A2744" w:sz="12"/>
          <w:right w:val="nil"/>
          <w:insideH w:val="single" w:color="C8C4BC" w:sz="4"/>
          <w:insideV w:val="nil"/>
        </w:tblBorders>
      </w:tblPr>
      <w:tblGrid>
        <w:gridCol w:w="3610"/>
        <w:gridCol w:w="1353"/>
        <w:gridCol w:w="1444"/>
        <w:gridCol w:w="1263"/>
        <w:gridCol w:w="1356"/>
      </w:tblGrid>
      <w:tr>
        <w:trPr>
          <w:tblHeader/>
        </w:trPr>
        <w:tc>
          <w:tcPr>
            <w:tcW w:w="3610" w:type="dxa"/>
            <w:shd w:val="clear" w:fill="F4F2EE"/>
            <w:tcMar>
              <w:top w:w="40" w:type="dxa"/>
              <w:left w:w="80" w:type="dxa"/>
              <w:bottom w:w="40" w:type="dxa"/>
              <w:right w:w="80" w:type="dxa"/>
            </w:tcMar>
          </w:tcPr>
          <w:p>
            <w:pPr>
              <w:spacing w:before="20" w:after="20" w:line="240" w:lineRule="auto"/>
            </w:pPr>
            <w:r>
              <w:rPr>
                <w:b/>
                <w:color w:val="1A2744"/>
                <w:sz w:val="20"/>
              </w:rPr>
              <w:t xml:space="preserve">Activity</w:t>
            </w:r>
          </w:p>
        </w:tc>
        <w:tc>
          <w:tcPr>
            <w:tcW w:w="1353" w:type="dxa"/>
            <w:shd w:val="clear" w:fill="F4F2EE"/>
            <w:tcMar>
              <w:top w:w="40" w:type="dxa"/>
              <w:left w:w="80" w:type="dxa"/>
              <w:bottom w:w="40" w:type="dxa"/>
              <w:right w:w="80" w:type="dxa"/>
            </w:tcMar>
          </w:tcPr>
          <w:p>
            <w:pPr>
              <w:spacing w:before="20" w:after="20" w:line="240" w:lineRule="auto"/>
            </w:pPr>
            <w:r>
              <w:rPr>
                <w:b/>
                <w:color w:val="1A2744"/>
                <w:sz w:val="20"/>
              </w:rPr>
              <w:t xml:space="preserve">Direct Jobs</w:t>
            </w:r>
          </w:p>
        </w:tc>
        <w:tc>
          <w:tcPr>
            <w:tcW w:w="1444" w:type="dxa"/>
            <w:shd w:val="clear" w:fill="F4F2EE"/>
            <w:tcMar>
              <w:top w:w="40" w:type="dxa"/>
              <w:left w:w="80" w:type="dxa"/>
              <w:bottom w:w="40" w:type="dxa"/>
              <w:right w:w="80" w:type="dxa"/>
            </w:tcMar>
          </w:tcPr>
          <w:p>
            <w:pPr>
              <w:spacing w:before="20" w:after="20" w:line="240" w:lineRule="auto"/>
            </w:pPr>
            <w:r>
              <w:rPr>
                <w:b/>
                <w:color w:val="1A2744"/>
                <w:sz w:val="20"/>
              </w:rPr>
              <w:t xml:space="preserve">Avg. Salary</w:t>
            </w:r>
          </w:p>
        </w:tc>
        <w:tc>
          <w:tcPr>
            <w:tcW w:w="1263" w:type="dxa"/>
            <w:shd w:val="clear" w:fill="F4F2EE"/>
            <w:tcMar>
              <w:top w:w="40" w:type="dxa"/>
              <w:left w:w="80" w:type="dxa"/>
              <w:bottom w:w="40" w:type="dxa"/>
              <w:right w:w="80" w:type="dxa"/>
            </w:tcMar>
          </w:tcPr>
          <w:p>
            <w:pPr>
              <w:spacing w:before="20" w:after="20" w:line="240" w:lineRule="auto"/>
            </w:pPr>
            <w:r>
              <w:rPr>
                <w:b/>
                <w:color w:val="1A2744"/>
                <w:sz w:val="20"/>
              </w:rPr>
              <w:t xml:space="preserve">Indirect + Induced</w:t>
            </w:r>
          </w:p>
        </w:tc>
        <w:tc>
          <w:tcPr>
            <w:tcW w:w="1356" w:type="dxa"/>
            <w:shd w:val="clear" w:fill="F4F2EE"/>
            <w:tcMar>
              <w:top w:w="40" w:type="dxa"/>
              <w:left w:w="80" w:type="dxa"/>
              <w:bottom w:w="40" w:type="dxa"/>
              <w:right w:w="80" w:type="dxa"/>
            </w:tcMar>
          </w:tcPr>
          <w:p>
            <w:pPr>
              <w:spacing w:before="20" w:after="20" w:line="240" w:lineRule="auto"/>
            </w:pPr>
            <w:r>
              <w:rPr>
                <w:b/>
                <w:color w:val="1A2744"/>
                <w:sz w:val="20"/>
              </w:rPr>
              <w:t xml:space="preserve">Total Jobs</w:t>
            </w:r>
          </w:p>
        </w:tc>
      </w:tr>
      <w:tr>
        <w:tc>
          <w:tcPr>
            <w:tcW w:w="3610" w:type="dxa"/>
            <w:tcMar>
              <w:top w:w="40" w:type="dxa"/>
              <w:left w:w="80" w:type="dxa"/>
              <w:bottom w:w="40" w:type="dxa"/>
              <w:right w:w="80" w:type="dxa"/>
            </w:tcMar>
          </w:tcPr>
          <w:p>
            <w:pPr>
              <w:spacing w:before="20" w:after="20" w:line="240" w:lineRule="auto"/>
            </w:pPr>
            <w:r>
              <w:rPr>
                <w:color w:val="1A202C"/>
                <w:sz w:val="20"/>
              </w:rPr>
              <w:t xml:space="preserve">Composite structures (Winnipeg)</w:t>
            </w:r>
          </w:p>
        </w:tc>
        <w:tc>
          <w:tcPr>
            <w:tcW w:w="1353" w:type="dxa"/>
            <w:tcMar>
              <w:top w:w="40" w:type="dxa"/>
              <w:left w:w="80" w:type="dxa"/>
              <w:bottom w:w="40" w:type="dxa"/>
              <w:right w:w="80" w:type="dxa"/>
            </w:tcMar>
          </w:tcPr>
          <w:p>
            <w:pPr>
              <w:spacing w:before="20" w:after="20" w:line="240" w:lineRule="auto"/>
            </w:pPr>
            <w:r>
              <w:rPr>
                <w:color w:val="1A202C"/>
                <w:sz w:val="20"/>
              </w:rPr>
              <w:t xml:space="preserve">650</w:t>
            </w:r>
          </w:p>
        </w:tc>
        <w:tc>
          <w:tcPr>
            <w:tcW w:w="1444" w:type="dxa"/>
            <w:tcMar>
              <w:top w:w="40" w:type="dxa"/>
              <w:left w:w="80" w:type="dxa"/>
              <w:bottom w:w="40" w:type="dxa"/>
              <w:right w:w="80" w:type="dxa"/>
            </w:tcMar>
          </w:tcPr>
          <w:p>
            <w:pPr>
              <w:spacing w:before="20" w:after="20" w:line="240" w:lineRule="auto"/>
            </w:pPr>
            <w:r>
              <w:rPr>
                <w:color w:val="1A202C"/>
                <w:sz w:val="20"/>
              </w:rPr>
              <w:t xml:space="preserve">$88,000</w:t>
            </w:r>
          </w:p>
        </w:tc>
        <w:tc>
          <w:tcPr>
            <w:tcW w:w="1263" w:type="dxa"/>
            <w:tcMar>
              <w:top w:w="40" w:type="dxa"/>
              <w:left w:w="80" w:type="dxa"/>
              <w:bottom w:w="40" w:type="dxa"/>
              <w:right w:w="80" w:type="dxa"/>
            </w:tcMar>
          </w:tcPr>
          <w:p>
            <w:pPr>
              <w:spacing w:before="20" w:after="20" w:line="240" w:lineRule="auto"/>
            </w:pPr>
            <w:r>
              <w:rPr>
                <w:color w:val="1A202C"/>
                <w:sz w:val="20"/>
              </w:rPr>
              <w:t xml:space="preserve">929</w:t>
            </w:r>
          </w:p>
        </w:tc>
        <w:tc>
          <w:tcPr>
            <w:tcW w:w="1356" w:type="dxa"/>
            <w:tcMar>
              <w:top w:w="40" w:type="dxa"/>
              <w:left w:w="80" w:type="dxa"/>
              <w:bottom w:w="40" w:type="dxa"/>
              <w:right w:w="80" w:type="dxa"/>
            </w:tcMar>
          </w:tcPr>
          <w:p>
            <w:pPr>
              <w:spacing w:before="20" w:after="20" w:line="240" w:lineRule="auto"/>
            </w:pPr>
            <w:r>
              <w:rPr>
                <w:color w:val="1A202C"/>
                <w:sz w:val="20"/>
              </w:rPr>
              <w:t xml:space="preserve">1,579</w:t>
            </w:r>
          </w:p>
        </w:tc>
      </w:tr>
      <w:tr>
        <w:tc>
          <w:tcPr>
            <w:tcW w:w="3610" w:type="dxa"/>
            <w:tcMar>
              <w:top w:w="40" w:type="dxa"/>
              <w:left w:w="80" w:type="dxa"/>
              <w:bottom w:w="40" w:type="dxa"/>
              <w:right w:w="80" w:type="dxa"/>
            </w:tcMar>
          </w:tcPr>
          <w:p>
            <w:pPr>
              <w:spacing w:before="20" w:after="20" w:line="240" w:lineRule="auto"/>
            </w:pPr>
            <w:r>
              <w:rPr>
                <w:color w:val="1A202C"/>
                <w:sz w:val="20"/>
              </w:rPr>
              <w:t xml:space="preserve">Test, evaluation, operations support (Cold Lake)</w:t>
            </w:r>
          </w:p>
        </w:tc>
        <w:tc>
          <w:tcPr>
            <w:tcW w:w="1353" w:type="dxa"/>
            <w:tcMar>
              <w:top w:w="40" w:type="dxa"/>
              <w:left w:w="80" w:type="dxa"/>
              <w:bottom w:w="40" w:type="dxa"/>
              <w:right w:w="80" w:type="dxa"/>
            </w:tcMar>
          </w:tcPr>
          <w:p>
            <w:pPr>
              <w:spacing w:before="20" w:after="20" w:line="240" w:lineRule="auto"/>
            </w:pPr>
            <w:r>
              <w:rPr>
                <w:color w:val="1A202C"/>
                <w:sz w:val="20"/>
              </w:rPr>
              <w:t xml:space="preserve">300</w:t>
            </w:r>
          </w:p>
        </w:tc>
        <w:tc>
          <w:tcPr>
            <w:tcW w:w="1444" w:type="dxa"/>
            <w:tcMar>
              <w:top w:w="40" w:type="dxa"/>
              <w:left w:w="80" w:type="dxa"/>
              <w:bottom w:w="40" w:type="dxa"/>
              <w:right w:w="80" w:type="dxa"/>
            </w:tcMar>
          </w:tcPr>
          <w:p>
            <w:pPr>
              <w:spacing w:before="20" w:after="20" w:line="240" w:lineRule="auto"/>
            </w:pPr>
            <w:r>
              <w:rPr>
                <w:color w:val="1A202C"/>
                <w:sz w:val="20"/>
              </w:rPr>
              <w:t xml:space="preserve">$90,000</w:t>
            </w:r>
          </w:p>
        </w:tc>
        <w:tc>
          <w:tcPr>
            <w:tcW w:w="1263" w:type="dxa"/>
            <w:tcMar>
              <w:top w:w="40" w:type="dxa"/>
              <w:left w:w="80" w:type="dxa"/>
              <w:bottom w:w="40" w:type="dxa"/>
              <w:right w:w="80" w:type="dxa"/>
            </w:tcMar>
          </w:tcPr>
          <w:p>
            <w:pPr>
              <w:spacing w:before="20" w:after="20" w:line="240" w:lineRule="auto"/>
            </w:pPr>
            <w:r>
              <w:rPr>
                <w:color w:val="1A202C"/>
                <w:sz w:val="20"/>
              </w:rPr>
              <w:t xml:space="preserve">429</w:t>
            </w:r>
          </w:p>
        </w:tc>
        <w:tc>
          <w:tcPr>
            <w:tcW w:w="1356" w:type="dxa"/>
            <w:tcMar>
              <w:top w:w="40" w:type="dxa"/>
              <w:left w:w="80" w:type="dxa"/>
              <w:bottom w:w="40" w:type="dxa"/>
              <w:right w:w="80" w:type="dxa"/>
            </w:tcMar>
          </w:tcPr>
          <w:p>
            <w:pPr>
              <w:spacing w:before="20" w:after="20" w:line="240" w:lineRule="auto"/>
            </w:pPr>
            <w:r>
              <w:rPr>
                <w:color w:val="1A202C"/>
                <w:sz w:val="20"/>
              </w:rPr>
              <w:t xml:space="preserve">729</w:t>
            </w:r>
          </w:p>
        </w:tc>
      </w:tr>
      <w:tr>
        <w:tc>
          <w:tcPr>
            <w:tcW w:w="3610" w:type="dxa"/>
            <w:tcMar>
              <w:top w:w="40" w:type="dxa"/>
              <w:left w:w="80" w:type="dxa"/>
              <w:bottom w:w="40" w:type="dxa"/>
              <w:right w:w="80" w:type="dxa"/>
            </w:tcMar>
          </w:tcPr>
          <w:p>
            <w:pPr>
              <w:spacing w:before="20" w:after="20" w:line="240" w:lineRule="auto"/>
            </w:pPr>
            <w:r>
              <w:rPr>
                <w:color w:val="1A202C"/>
                <w:sz w:val="20"/>
              </w:rPr>
              <w:t xml:space="preserve">Sensors, space, and software (British Columbia)</w:t>
            </w:r>
          </w:p>
        </w:tc>
        <w:tc>
          <w:tcPr>
            <w:tcW w:w="1353" w:type="dxa"/>
            <w:tcMar>
              <w:top w:w="40" w:type="dxa"/>
              <w:left w:w="80" w:type="dxa"/>
              <w:bottom w:w="40" w:type="dxa"/>
              <w:right w:w="80" w:type="dxa"/>
            </w:tcMar>
          </w:tcPr>
          <w:p>
            <w:pPr>
              <w:spacing w:before="20" w:after="20" w:line="240" w:lineRule="auto"/>
            </w:pPr>
            <w:r>
              <w:rPr>
                <w:color w:val="1A202C"/>
                <w:sz w:val="20"/>
              </w:rPr>
              <w:t xml:space="preserve">350</w:t>
            </w:r>
          </w:p>
        </w:tc>
        <w:tc>
          <w:tcPr>
            <w:tcW w:w="1444" w:type="dxa"/>
            <w:tcMar>
              <w:top w:w="40" w:type="dxa"/>
              <w:left w:w="80" w:type="dxa"/>
              <w:bottom w:w="40" w:type="dxa"/>
              <w:right w:w="80" w:type="dxa"/>
            </w:tcMar>
          </w:tcPr>
          <w:p>
            <w:pPr>
              <w:spacing w:before="20" w:after="20" w:line="240" w:lineRule="auto"/>
            </w:pPr>
            <w:r>
              <w:rPr>
                <w:color w:val="1A202C"/>
                <w:sz w:val="20"/>
              </w:rPr>
              <w:t xml:space="preserve">$98,000</w:t>
            </w:r>
          </w:p>
        </w:tc>
        <w:tc>
          <w:tcPr>
            <w:tcW w:w="1263" w:type="dxa"/>
            <w:tcMar>
              <w:top w:w="40" w:type="dxa"/>
              <w:left w:w="80" w:type="dxa"/>
              <w:bottom w:w="40" w:type="dxa"/>
              <w:right w:w="80" w:type="dxa"/>
            </w:tcMar>
          </w:tcPr>
          <w:p>
            <w:pPr>
              <w:spacing w:before="20" w:after="20" w:line="240" w:lineRule="auto"/>
            </w:pPr>
            <w:r>
              <w:rPr>
                <w:color w:val="1A202C"/>
                <w:sz w:val="20"/>
              </w:rPr>
              <w:t xml:space="preserve">501</w:t>
            </w:r>
          </w:p>
        </w:tc>
        <w:tc>
          <w:tcPr>
            <w:tcW w:w="1356" w:type="dxa"/>
            <w:tcMar>
              <w:top w:w="40" w:type="dxa"/>
              <w:left w:w="80" w:type="dxa"/>
              <w:bottom w:w="40" w:type="dxa"/>
              <w:right w:w="80" w:type="dxa"/>
            </w:tcMar>
          </w:tcPr>
          <w:p>
            <w:pPr>
              <w:spacing w:before="20" w:after="20" w:line="240" w:lineRule="auto"/>
            </w:pPr>
            <w:r>
              <w:rPr>
                <w:color w:val="1A202C"/>
                <w:sz w:val="20"/>
              </w:rPr>
              <w:t xml:space="preserve">851</w:t>
            </w:r>
          </w:p>
        </w:tc>
      </w:tr>
      <w:tr>
        <w:tc>
          <w:tcPr>
            <w:tcW w:w="3610" w:type="dxa"/>
            <w:tcMar>
              <w:top w:w="40" w:type="dxa"/>
              <w:left w:w="80" w:type="dxa"/>
              <w:bottom w:w="40" w:type="dxa"/>
              <w:right w:w="80" w:type="dxa"/>
            </w:tcMar>
          </w:tcPr>
          <w:p>
            <w:pPr>
              <w:spacing w:before="20" w:after="20" w:line="240" w:lineRule="auto"/>
            </w:pPr>
            <w:r>
              <w:rPr>
                <w:color w:val="1A202C"/>
                <w:sz w:val="20"/>
              </w:rPr>
              <w:t xml:space="preserve">Sustainment and MRO</w:t>
            </w:r>
          </w:p>
        </w:tc>
        <w:tc>
          <w:tcPr>
            <w:tcW w:w="1353" w:type="dxa"/>
            <w:tcMar>
              <w:top w:w="40" w:type="dxa"/>
              <w:left w:w="80" w:type="dxa"/>
              <w:bottom w:w="40" w:type="dxa"/>
              <w:right w:w="80" w:type="dxa"/>
            </w:tcMar>
          </w:tcPr>
          <w:p>
            <w:pPr>
              <w:spacing w:before="20" w:after="20" w:line="240" w:lineRule="auto"/>
            </w:pPr>
            <w:r>
              <w:rPr>
                <w:color w:val="1A202C"/>
                <w:sz w:val="20"/>
              </w:rPr>
              <w:t xml:space="preserve">400</w:t>
            </w:r>
          </w:p>
        </w:tc>
        <w:tc>
          <w:tcPr>
            <w:tcW w:w="1444" w:type="dxa"/>
            <w:tcMar>
              <w:top w:w="40" w:type="dxa"/>
              <w:left w:w="80" w:type="dxa"/>
              <w:bottom w:w="40" w:type="dxa"/>
              <w:right w:w="80" w:type="dxa"/>
            </w:tcMar>
          </w:tcPr>
          <w:p>
            <w:pPr>
              <w:spacing w:before="20" w:after="20" w:line="240" w:lineRule="auto"/>
            </w:pPr>
            <w:r>
              <w:rPr>
                <w:color w:val="1A202C"/>
                <w:sz w:val="20"/>
              </w:rPr>
              <w:t xml:space="preserve">$84,000</w:t>
            </w:r>
          </w:p>
        </w:tc>
        <w:tc>
          <w:tcPr>
            <w:tcW w:w="1263" w:type="dxa"/>
            <w:tcMar>
              <w:top w:w="40" w:type="dxa"/>
              <w:left w:w="80" w:type="dxa"/>
              <w:bottom w:w="40" w:type="dxa"/>
              <w:right w:w="80" w:type="dxa"/>
            </w:tcMar>
          </w:tcPr>
          <w:p>
            <w:pPr>
              <w:spacing w:before="20" w:after="20" w:line="240" w:lineRule="auto"/>
            </w:pPr>
            <w:r>
              <w:rPr>
                <w:color w:val="1A202C"/>
                <w:sz w:val="20"/>
              </w:rPr>
              <w:t xml:space="preserve">572</w:t>
            </w:r>
          </w:p>
        </w:tc>
        <w:tc>
          <w:tcPr>
            <w:tcW w:w="1356" w:type="dxa"/>
            <w:tcMar>
              <w:top w:w="40" w:type="dxa"/>
              <w:left w:w="80" w:type="dxa"/>
              <w:bottom w:w="40" w:type="dxa"/>
              <w:right w:w="80" w:type="dxa"/>
            </w:tcMar>
          </w:tcPr>
          <w:p>
            <w:pPr>
              <w:spacing w:before="20" w:after="20" w:line="240" w:lineRule="auto"/>
            </w:pPr>
            <w:r>
              <w:rPr>
                <w:color w:val="1A202C"/>
                <w:sz w:val="20"/>
              </w:rPr>
              <w:t xml:space="preserve">972</w:t>
            </w:r>
          </w:p>
        </w:tc>
      </w:tr>
      <w:tr>
        <w:tc>
          <w:tcPr>
            <w:tcW w:w="3610" w:type="dxa"/>
            <w:tcMar>
              <w:top w:w="40" w:type="dxa"/>
              <w:left w:w="80" w:type="dxa"/>
              <w:bottom w:w="40" w:type="dxa"/>
              <w:right w:w="80" w:type="dxa"/>
            </w:tcMar>
          </w:tcPr>
          <w:p>
            <w:pPr>
              <w:spacing w:before="20" w:after="20" w:line="240" w:lineRule="auto"/>
            </w:pPr>
            <w:r>
              <w:rPr>
                <w:b/>
                <w:color w:val="1A202C"/>
                <w:sz w:val="20"/>
              </w:rPr>
              <w:t xml:space="preserve">WESTERN CANADA TOTAL</w:t>
            </w:r>
          </w:p>
        </w:tc>
        <w:tc>
          <w:tcPr>
            <w:tcW w:w="1353" w:type="dxa"/>
            <w:tcMar>
              <w:top w:w="40" w:type="dxa"/>
              <w:left w:w="80" w:type="dxa"/>
              <w:bottom w:w="40" w:type="dxa"/>
              <w:right w:w="80" w:type="dxa"/>
            </w:tcMar>
          </w:tcPr>
          <w:p>
            <w:pPr>
              <w:spacing w:before="20" w:after="20" w:line="240" w:lineRule="auto"/>
            </w:pPr>
            <w:r>
              <w:rPr>
                <w:b/>
                <w:color w:val="1A202C"/>
                <w:sz w:val="20"/>
              </w:rPr>
              <w:t xml:space="preserve">1,700</w:t>
            </w:r>
          </w:p>
        </w:tc>
        <w:tc>
          <w:tcPr>
            <w:tcW w:w="1444" w:type="dxa"/>
            <w:tcMar>
              <w:top w:w="40" w:type="dxa"/>
              <w:left w:w="80" w:type="dxa"/>
              <w:bottom w:w="40" w:type="dxa"/>
              <w:right w:w="80" w:type="dxa"/>
            </w:tcMar>
          </w:tcPr>
          <w:p>
            <w:pPr>
              <w:spacing w:before="20" w:after="20" w:line="240" w:lineRule="auto"/>
            </w:pPr>
            <w:r>
              <w:rPr>
                <w:b/>
                <w:color w:val="1A202C"/>
                <w:sz w:val="20"/>
              </w:rPr>
              <w:t xml:space="preserve">$89,000</w:t>
            </w:r>
          </w:p>
        </w:tc>
        <w:tc>
          <w:tcPr>
            <w:tcW w:w="1263" w:type="dxa"/>
            <w:tcMar>
              <w:top w:w="40" w:type="dxa"/>
              <w:left w:w="80" w:type="dxa"/>
              <w:bottom w:w="40" w:type="dxa"/>
              <w:right w:w="80" w:type="dxa"/>
            </w:tcMar>
          </w:tcPr>
          <w:p>
            <w:pPr>
              <w:spacing w:before="20" w:after="20" w:line="240" w:lineRule="auto"/>
            </w:pPr>
            <w:r>
              <w:rPr>
                <w:b/>
                <w:color w:val="1A202C"/>
                <w:sz w:val="20"/>
              </w:rPr>
              <w:t xml:space="preserve">2,431</w:t>
            </w:r>
          </w:p>
        </w:tc>
        <w:tc>
          <w:tcPr>
            <w:tcW w:w="1356" w:type="dxa"/>
            <w:tcMar>
              <w:top w:w="40" w:type="dxa"/>
              <w:left w:w="80" w:type="dxa"/>
              <w:bottom w:w="40" w:type="dxa"/>
              <w:right w:w="80" w:type="dxa"/>
            </w:tcMar>
          </w:tcPr>
          <w:p>
            <w:pPr>
              <w:spacing w:before="20" w:after="20" w:line="240" w:lineRule="auto"/>
            </w:pPr>
            <w:r>
              <w:rPr>
                <w:b/>
                <w:color w:val="1A202C"/>
                <w:sz w:val="20"/>
              </w:rPr>
              <w:t xml:space="preserve">4,131</w:t>
            </w:r>
          </w:p>
        </w:tc>
      </w:tr>
    </w:tbl>
    <w:p>
      <w:pPr>
        <w:pStyle w:val="Heading2"/>
      </w:pPr>
      <w:r>
        <w:t>5.4 Atlantic Canada (Nova Scotia / New Brunswick / Newfoundland)</w:t>
      </w:r>
    </w:p>
    <w:p>
      <w:pPr>
        <w:spacing w:after="180" w:line="288" w:lineRule="auto"/>
      </w:pPr>
      <w:r>
        <w:t xml:space="preserve">Atlantic Canada already accounts for roughly 20% of Canada's defence industry employment, with nearly 10,000 direct aerospace and defence jobs. The program channels MRO, component fabrication, and training work into the region, with Halifax anchoring the sustainment share.</w:t>
      </w:r>
    </w:p>
    <w:tbl>
      <w:tblPr>
        <w:tblW w:w="5000" w:type="pct"/>
        <w:tblBorders>
          <w:top w:val="single" w:color="1A2744" w:sz="12"/>
          <w:left w:val="nil"/>
          <w:bottom w:val="single" w:color="1A2744" w:sz="12"/>
          <w:right w:val="nil"/>
          <w:insideH w:val="single" w:color="C8C4BC" w:sz="4"/>
          <w:insideV w:val="nil"/>
        </w:tblBorders>
      </w:tblPr>
      <w:tblGrid>
        <w:gridCol w:w="3610"/>
        <w:gridCol w:w="1353"/>
        <w:gridCol w:w="1444"/>
        <w:gridCol w:w="1263"/>
        <w:gridCol w:w="1356"/>
      </w:tblGrid>
      <w:tr>
        <w:trPr>
          <w:tblHeader/>
        </w:trPr>
        <w:tc>
          <w:tcPr>
            <w:tcW w:w="3610" w:type="dxa"/>
            <w:shd w:val="clear" w:fill="F4F2EE"/>
            <w:tcMar>
              <w:top w:w="40" w:type="dxa"/>
              <w:left w:w="80" w:type="dxa"/>
              <w:bottom w:w="40" w:type="dxa"/>
              <w:right w:w="80" w:type="dxa"/>
            </w:tcMar>
          </w:tcPr>
          <w:p>
            <w:pPr>
              <w:spacing w:before="20" w:after="20" w:line="240" w:lineRule="auto"/>
            </w:pPr>
            <w:r>
              <w:rPr>
                <w:b/>
                <w:color w:val="1A2744"/>
                <w:sz w:val="20"/>
              </w:rPr>
              <w:t xml:space="preserve">Activity</w:t>
            </w:r>
          </w:p>
        </w:tc>
        <w:tc>
          <w:tcPr>
            <w:tcW w:w="1353" w:type="dxa"/>
            <w:shd w:val="clear" w:fill="F4F2EE"/>
            <w:tcMar>
              <w:top w:w="40" w:type="dxa"/>
              <w:left w:w="80" w:type="dxa"/>
              <w:bottom w:w="40" w:type="dxa"/>
              <w:right w:w="80" w:type="dxa"/>
            </w:tcMar>
          </w:tcPr>
          <w:p>
            <w:pPr>
              <w:spacing w:before="20" w:after="20" w:line="240" w:lineRule="auto"/>
            </w:pPr>
            <w:r>
              <w:rPr>
                <w:b/>
                <w:color w:val="1A2744"/>
                <w:sz w:val="20"/>
              </w:rPr>
              <w:t xml:space="preserve">Direct Jobs</w:t>
            </w:r>
          </w:p>
        </w:tc>
        <w:tc>
          <w:tcPr>
            <w:tcW w:w="1444" w:type="dxa"/>
            <w:shd w:val="clear" w:fill="F4F2EE"/>
            <w:tcMar>
              <w:top w:w="40" w:type="dxa"/>
              <w:left w:w="80" w:type="dxa"/>
              <w:bottom w:w="40" w:type="dxa"/>
              <w:right w:w="80" w:type="dxa"/>
            </w:tcMar>
          </w:tcPr>
          <w:p>
            <w:pPr>
              <w:spacing w:before="20" w:after="20" w:line="240" w:lineRule="auto"/>
            </w:pPr>
            <w:r>
              <w:rPr>
                <w:b/>
                <w:color w:val="1A2744"/>
                <w:sz w:val="20"/>
              </w:rPr>
              <w:t xml:space="preserve">Avg. Salary</w:t>
            </w:r>
          </w:p>
        </w:tc>
        <w:tc>
          <w:tcPr>
            <w:tcW w:w="1263" w:type="dxa"/>
            <w:shd w:val="clear" w:fill="F4F2EE"/>
            <w:tcMar>
              <w:top w:w="40" w:type="dxa"/>
              <w:left w:w="80" w:type="dxa"/>
              <w:bottom w:w="40" w:type="dxa"/>
              <w:right w:w="80" w:type="dxa"/>
            </w:tcMar>
          </w:tcPr>
          <w:p>
            <w:pPr>
              <w:spacing w:before="20" w:after="20" w:line="240" w:lineRule="auto"/>
            </w:pPr>
            <w:r>
              <w:rPr>
                <w:b/>
                <w:color w:val="1A2744"/>
                <w:sz w:val="20"/>
              </w:rPr>
              <w:t xml:space="preserve">Indirect + Induced</w:t>
            </w:r>
          </w:p>
        </w:tc>
        <w:tc>
          <w:tcPr>
            <w:tcW w:w="1356" w:type="dxa"/>
            <w:shd w:val="clear" w:fill="F4F2EE"/>
            <w:tcMar>
              <w:top w:w="40" w:type="dxa"/>
              <w:left w:w="80" w:type="dxa"/>
              <w:bottom w:w="40" w:type="dxa"/>
              <w:right w:w="80" w:type="dxa"/>
            </w:tcMar>
          </w:tcPr>
          <w:p>
            <w:pPr>
              <w:spacing w:before="20" w:after="20" w:line="240" w:lineRule="auto"/>
            </w:pPr>
            <w:r>
              <w:rPr>
                <w:b/>
                <w:color w:val="1A2744"/>
                <w:sz w:val="20"/>
              </w:rPr>
              <w:t xml:space="preserve">Total Jobs</w:t>
            </w:r>
          </w:p>
        </w:tc>
      </w:tr>
      <w:tr>
        <w:tc>
          <w:tcPr>
            <w:tcW w:w="3610" w:type="dxa"/>
            <w:tcMar>
              <w:top w:w="40" w:type="dxa"/>
              <w:left w:w="80" w:type="dxa"/>
              <w:bottom w:w="40" w:type="dxa"/>
              <w:right w:w="80" w:type="dxa"/>
            </w:tcMar>
          </w:tcPr>
          <w:p>
            <w:pPr>
              <w:spacing w:before="20" w:after="20" w:line="240" w:lineRule="auto"/>
            </w:pPr>
            <w:r>
              <w:rPr>
                <w:color w:val="1A202C"/>
                <w:sz w:val="20"/>
              </w:rPr>
              <w:t xml:space="preserve">MRO and sustainment (Halifax)</w:t>
            </w:r>
          </w:p>
        </w:tc>
        <w:tc>
          <w:tcPr>
            <w:tcW w:w="1353" w:type="dxa"/>
            <w:tcMar>
              <w:top w:w="40" w:type="dxa"/>
              <w:left w:w="80" w:type="dxa"/>
              <w:bottom w:w="40" w:type="dxa"/>
              <w:right w:w="80" w:type="dxa"/>
            </w:tcMar>
          </w:tcPr>
          <w:p>
            <w:pPr>
              <w:spacing w:before="20" w:after="20" w:line="240" w:lineRule="auto"/>
            </w:pPr>
            <w:r>
              <w:rPr>
                <w:color w:val="1A202C"/>
                <w:sz w:val="20"/>
              </w:rPr>
              <w:t xml:space="preserve">450</w:t>
            </w:r>
          </w:p>
        </w:tc>
        <w:tc>
          <w:tcPr>
            <w:tcW w:w="1444" w:type="dxa"/>
            <w:tcMar>
              <w:top w:w="40" w:type="dxa"/>
              <w:left w:w="80" w:type="dxa"/>
              <w:bottom w:w="40" w:type="dxa"/>
              <w:right w:w="80" w:type="dxa"/>
            </w:tcMar>
          </w:tcPr>
          <w:p>
            <w:pPr>
              <w:spacing w:before="20" w:after="20" w:line="240" w:lineRule="auto"/>
            </w:pPr>
            <w:r>
              <w:rPr>
                <w:color w:val="1A202C"/>
                <w:sz w:val="20"/>
              </w:rPr>
              <w:t xml:space="preserve">$82,000</w:t>
            </w:r>
          </w:p>
        </w:tc>
        <w:tc>
          <w:tcPr>
            <w:tcW w:w="1263" w:type="dxa"/>
            <w:tcMar>
              <w:top w:w="40" w:type="dxa"/>
              <w:left w:w="80" w:type="dxa"/>
              <w:bottom w:w="40" w:type="dxa"/>
              <w:right w:w="80" w:type="dxa"/>
            </w:tcMar>
          </w:tcPr>
          <w:p>
            <w:pPr>
              <w:spacing w:before="20" w:after="20" w:line="240" w:lineRule="auto"/>
            </w:pPr>
            <w:r>
              <w:rPr>
                <w:color w:val="1A202C"/>
                <w:sz w:val="20"/>
              </w:rPr>
              <w:t xml:space="preserve">643</w:t>
            </w:r>
          </w:p>
        </w:tc>
        <w:tc>
          <w:tcPr>
            <w:tcW w:w="1356" w:type="dxa"/>
            <w:tcMar>
              <w:top w:w="40" w:type="dxa"/>
              <w:left w:w="80" w:type="dxa"/>
              <w:bottom w:w="40" w:type="dxa"/>
              <w:right w:w="80" w:type="dxa"/>
            </w:tcMar>
          </w:tcPr>
          <w:p>
            <w:pPr>
              <w:spacing w:before="20" w:after="20" w:line="240" w:lineRule="auto"/>
            </w:pPr>
            <w:r>
              <w:rPr>
                <w:color w:val="1A202C"/>
                <w:sz w:val="20"/>
              </w:rPr>
              <w:t xml:space="preserve">1,093</w:t>
            </w:r>
          </w:p>
        </w:tc>
      </w:tr>
      <w:tr>
        <w:tc>
          <w:tcPr>
            <w:tcW w:w="3610" w:type="dxa"/>
            <w:tcMar>
              <w:top w:w="40" w:type="dxa"/>
              <w:left w:w="80" w:type="dxa"/>
              <w:bottom w:w="40" w:type="dxa"/>
              <w:right w:w="80" w:type="dxa"/>
            </w:tcMar>
          </w:tcPr>
          <w:p>
            <w:pPr>
              <w:spacing w:before="20" w:after="20" w:line="240" w:lineRule="auto"/>
            </w:pPr>
            <w:r>
              <w:rPr>
                <w:color w:val="1A202C"/>
                <w:sz w:val="20"/>
              </w:rPr>
              <w:t xml:space="preserve">Component fabrication and training</w:t>
            </w:r>
          </w:p>
        </w:tc>
        <w:tc>
          <w:tcPr>
            <w:tcW w:w="1353" w:type="dxa"/>
            <w:tcMar>
              <w:top w:w="40" w:type="dxa"/>
              <w:left w:w="80" w:type="dxa"/>
              <w:bottom w:w="40" w:type="dxa"/>
              <w:right w:w="80" w:type="dxa"/>
            </w:tcMar>
          </w:tcPr>
          <w:p>
            <w:pPr>
              <w:spacing w:before="20" w:after="20" w:line="240" w:lineRule="auto"/>
            </w:pPr>
            <w:r>
              <w:rPr>
                <w:color w:val="1A202C"/>
                <w:sz w:val="20"/>
              </w:rPr>
              <w:t xml:space="preserve">250</w:t>
            </w:r>
          </w:p>
        </w:tc>
        <w:tc>
          <w:tcPr>
            <w:tcW w:w="1444" w:type="dxa"/>
            <w:tcMar>
              <w:top w:w="40" w:type="dxa"/>
              <w:left w:w="80" w:type="dxa"/>
              <w:bottom w:w="40" w:type="dxa"/>
              <w:right w:w="80" w:type="dxa"/>
            </w:tcMar>
          </w:tcPr>
          <w:p>
            <w:pPr>
              <w:spacing w:before="20" w:after="20" w:line="240" w:lineRule="auto"/>
            </w:pPr>
            <w:r>
              <w:rPr>
                <w:color w:val="1A202C"/>
                <w:sz w:val="20"/>
              </w:rPr>
              <w:t xml:space="preserve">$80,000</w:t>
            </w:r>
          </w:p>
        </w:tc>
        <w:tc>
          <w:tcPr>
            <w:tcW w:w="1263" w:type="dxa"/>
            <w:tcMar>
              <w:top w:w="40" w:type="dxa"/>
              <w:left w:w="80" w:type="dxa"/>
              <w:bottom w:w="40" w:type="dxa"/>
              <w:right w:w="80" w:type="dxa"/>
            </w:tcMar>
          </w:tcPr>
          <w:p>
            <w:pPr>
              <w:spacing w:before="20" w:after="20" w:line="240" w:lineRule="auto"/>
            </w:pPr>
            <w:r>
              <w:rPr>
                <w:color w:val="1A202C"/>
                <w:sz w:val="20"/>
              </w:rPr>
              <w:t xml:space="preserve">358</w:t>
            </w:r>
          </w:p>
        </w:tc>
        <w:tc>
          <w:tcPr>
            <w:tcW w:w="1356" w:type="dxa"/>
            <w:tcMar>
              <w:top w:w="40" w:type="dxa"/>
              <w:left w:w="80" w:type="dxa"/>
              <w:bottom w:w="40" w:type="dxa"/>
              <w:right w:w="80" w:type="dxa"/>
            </w:tcMar>
          </w:tcPr>
          <w:p>
            <w:pPr>
              <w:spacing w:before="20" w:after="20" w:line="240" w:lineRule="auto"/>
            </w:pPr>
            <w:r>
              <w:rPr>
                <w:color w:val="1A202C"/>
                <w:sz w:val="20"/>
              </w:rPr>
              <w:t xml:space="preserve">608</w:t>
            </w:r>
          </w:p>
        </w:tc>
      </w:tr>
      <w:tr>
        <w:tc>
          <w:tcPr>
            <w:tcW w:w="3610" w:type="dxa"/>
            <w:tcMar>
              <w:top w:w="40" w:type="dxa"/>
              <w:left w:w="80" w:type="dxa"/>
              <w:bottom w:w="40" w:type="dxa"/>
              <w:right w:w="80" w:type="dxa"/>
            </w:tcMar>
          </w:tcPr>
          <w:p>
            <w:pPr>
              <w:spacing w:before="20" w:after="20" w:line="240" w:lineRule="auto"/>
            </w:pPr>
            <w:r>
              <w:rPr>
                <w:b/>
                <w:color w:val="1A202C"/>
                <w:sz w:val="20"/>
              </w:rPr>
              <w:t xml:space="preserve">ATLANTIC CANADA TOTAL</w:t>
            </w:r>
          </w:p>
        </w:tc>
        <w:tc>
          <w:tcPr>
            <w:tcW w:w="1353" w:type="dxa"/>
            <w:tcMar>
              <w:top w:w="40" w:type="dxa"/>
              <w:left w:w="80" w:type="dxa"/>
              <w:bottom w:w="40" w:type="dxa"/>
              <w:right w:w="80" w:type="dxa"/>
            </w:tcMar>
          </w:tcPr>
          <w:p>
            <w:pPr>
              <w:spacing w:before="20" w:after="20" w:line="240" w:lineRule="auto"/>
            </w:pPr>
            <w:r>
              <w:rPr>
                <w:b/>
                <w:color w:val="1A202C"/>
                <w:sz w:val="20"/>
              </w:rPr>
              <w:t xml:space="preserve">700</w:t>
            </w:r>
          </w:p>
        </w:tc>
        <w:tc>
          <w:tcPr>
            <w:tcW w:w="1444" w:type="dxa"/>
            <w:tcMar>
              <w:top w:w="40" w:type="dxa"/>
              <w:left w:w="80" w:type="dxa"/>
              <w:bottom w:w="40" w:type="dxa"/>
              <w:right w:w="80" w:type="dxa"/>
            </w:tcMar>
          </w:tcPr>
          <w:p>
            <w:pPr>
              <w:spacing w:before="20" w:after="20" w:line="240" w:lineRule="auto"/>
            </w:pPr>
            <w:r>
              <w:rPr>
                <w:b/>
                <w:color w:val="1A202C"/>
                <w:sz w:val="20"/>
              </w:rPr>
              <w:t xml:space="preserve">$81,000</w:t>
            </w:r>
          </w:p>
        </w:tc>
        <w:tc>
          <w:tcPr>
            <w:tcW w:w="1263" w:type="dxa"/>
            <w:tcMar>
              <w:top w:w="40" w:type="dxa"/>
              <w:left w:w="80" w:type="dxa"/>
              <w:bottom w:w="40" w:type="dxa"/>
              <w:right w:w="80" w:type="dxa"/>
            </w:tcMar>
          </w:tcPr>
          <w:p>
            <w:pPr>
              <w:spacing w:before="20" w:after="20" w:line="240" w:lineRule="auto"/>
            </w:pPr>
            <w:r>
              <w:rPr>
                <w:b/>
                <w:color w:val="1A202C"/>
                <w:sz w:val="20"/>
              </w:rPr>
              <w:t xml:space="preserve">1,001</w:t>
            </w:r>
          </w:p>
        </w:tc>
        <w:tc>
          <w:tcPr>
            <w:tcW w:w="1356" w:type="dxa"/>
            <w:tcMar>
              <w:top w:w="40" w:type="dxa"/>
              <w:left w:w="80" w:type="dxa"/>
              <w:bottom w:w="40" w:type="dxa"/>
              <w:right w:w="80" w:type="dxa"/>
            </w:tcMar>
          </w:tcPr>
          <w:p>
            <w:pPr>
              <w:spacing w:before="20" w:after="20" w:line="240" w:lineRule="auto"/>
            </w:pPr>
            <w:r>
              <w:rPr>
                <w:b/>
                <w:color w:val="1A202C"/>
                <w:sz w:val="20"/>
              </w:rPr>
              <w:t xml:space="preserve">1,701</w:t>
            </w:r>
          </w:p>
        </w:tc>
      </w:tr>
    </w:tbl>
    <w:p>
      <w:pPr>
        <w:pStyle w:val="Heading2"/>
      </w:pPr>
      <w:r>
        <w:t>5.5 National Summary</w:t>
      </w:r>
    </w:p>
    <w:tbl>
      <w:tblPr>
        <w:tblW w:w="5000" w:type="pct"/>
        <w:tblBorders>
          <w:top w:val="single" w:color="1A2744" w:sz="12"/>
          <w:left w:val="nil"/>
          <w:bottom w:val="single" w:color="1A2744" w:sz="12"/>
          <w:right w:val="nil"/>
          <w:insideH w:val="single" w:color="C8C4BC" w:sz="4"/>
          <w:insideV w:val="nil"/>
        </w:tblBorders>
      </w:tblPr>
      <w:tblGrid>
        <w:gridCol w:w="2346"/>
        <w:gridCol w:w="1444"/>
        <w:gridCol w:w="1805"/>
        <w:gridCol w:w="1624"/>
        <w:gridCol w:w="1807"/>
      </w:tblGrid>
      <w:tr>
        <w:trPr>
          <w:tblHeader/>
        </w:trPr>
        <w:tc>
          <w:tcPr>
            <w:tcW w:w="2346" w:type="dxa"/>
            <w:shd w:val="clear" w:fill="F4F2EE"/>
            <w:tcMar>
              <w:top w:w="40" w:type="dxa"/>
              <w:left w:w="80" w:type="dxa"/>
              <w:bottom w:w="40" w:type="dxa"/>
              <w:right w:w="80" w:type="dxa"/>
            </w:tcMar>
          </w:tcPr>
          <w:p>
            <w:pPr>
              <w:spacing w:before="20" w:after="20" w:line="240" w:lineRule="auto"/>
            </w:pPr>
            <w:r>
              <w:rPr>
                <w:b/>
                <w:color w:val="1A2744"/>
                <w:sz w:val="20"/>
              </w:rPr>
              <w:t xml:space="preserve">Region</w:t>
            </w:r>
          </w:p>
        </w:tc>
        <w:tc>
          <w:tcPr>
            <w:tcW w:w="1444" w:type="dxa"/>
            <w:shd w:val="clear" w:fill="F4F2EE"/>
            <w:tcMar>
              <w:top w:w="40" w:type="dxa"/>
              <w:left w:w="80" w:type="dxa"/>
              <w:bottom w:w="40" w:type="dxa"/>
              <w:right w:w="80" w:type="dxa"/>
            </w:tcMar>
          </w:tcPr>
          <w:p>
            <w:pPr>
              <w:spacing w:before="20" w:after="20" w:line="240" w:lineRule="auto"/>
            </w:pPr>
            <w:r>
              <w:rPr>
                <w:b/>
                <w:color w:val="1A2744"/>
                <w:sz w:val="20"/>
              </w:rPr>
              <w:t xml:space="preserve">Direct Jobs</w:t>
            </w:r>
          </w:p>
        </w:tc>
        <w:tc>
          <w:tcPr>
            <w:tcW w:w="1805" w:type="dxa"/>
            <w:shd w:val="clear" w:fill="F4F2EE"/>
            <w:tcMar>
              <w:top w:w="40" w:type="dxa"/>
              <w:left w:w="80" w:type="dxa"/>
              <w:bottom w:w="40" w:type="dxa"/>
              <w:right w:w="80" w:type="dxa"/>
            </w:tcMar>
          </w:tcPr>
          <w:p>
            <w:pPr>
              <w:spacing w:before="20" w:after="20" w:line="240" w:lineRule="auto"/>
            </w:pPr>
            <w:r>
              <w:rPr>
                <w:b/>
                <w:color w:val="1A2744"/>
                <w:sz w:val="20"/>
              </w:rPr>
              <w:t xml:space="preserve">Indirect + Induced</w:t>
            </w:r>
          </w:p>
        </w:tc>
        <w:tc>
          <w:tcPr>
            <w:tcW w:w="1624" w:type="dxa"/>
            <w:shd w:val="clear" w:fill="F4F2EE"/>
            <w:tcMar>
              <w:top w:w="40" w:type="dxa"/>
              <w:left w:w="80" w:type="dxa"/>
              <w:bottom w:w="40" w:type="dxa"/>
              <w:right w:w="80" w:type="dxa"/>
            </w:tcMar>
          </w:tcPr>
          <w:p>
            <w:pPr>
              <w:spacing w:before="20" w:after="20" w:line="240" w:lineRule="auto"/>
            </w:pPr>
            <w:r>
              <w:rPr>
                <w:b/>
                <w:color w:val="1A2744"/>
                <w:sz w:val="20"/>
              </w:rPr>
              <w:t xml:space="preserve">Total Jobs</w:t>
            </w:r>
          </w:p>
        </w:tc>
        <w:tc>
          <w:tcPr>
            <w:tcW w:w="1807" w:type="dxa"/>
            <w:shd w:val="clear" w:fill="F4F2EE"/>
            <w:tcMar>
              <w:top w:w="40" w:type="dxa"/>
              <w:left w:w="80" w:type="dxa"/>
              <w:bottom w:w="40" w:type="dxa"/>
              <w:right w:w="80" w:type="dxa"/>
            </w:tcMar>
          </w:tcPr>
          <w:p>
            <w:pPr>
              <w:spacing w:before="20" w:after="20" w:line="240" w:lineRule="auto"/>
            </w:pPr>
            <w:r>
              <w:rPr>
                <w:b/>
                <w:color w:val="1A2744"/>
                <w:sz w:val="20"/>
              </w:rPr>
              <w:t xml:space="preserve">Share of Total</w:t>
            </w:r>
          </w:p>
        </w:tc>
      </w:tr>
      <w:tr>
        <w:tc>
          <w:tcPr>
            <w:tcW w:w="2346" w:type="dxa"/>
            <w:tcMar>
              <w:top w:w="40" w:type="dxa"/>
              <w:left w:w="80" w:type="dxa"/>
              <w:bottom w:w="40" w:type="dxa"/>
              <w:right w:w="80" w:type="dxa"/>
            </w:tcMar>
          </w:tcPr>
          <w:p>
            <w:pPr>
              <w:spacing w:before="20" w:after="20" w:line="240" w:lineRule="auto"/>
            </w:pPr>
            <w:r>
              <w:rPr>
                <w:color w:val="1A202C"/>
                <w:sz w:val="20"/>
              </w:rPr>
              <w:t xml:space="preserve">Quebec</w:t>
            </w:r>
          </w:p>
        </w:tc>
        <w:tc>
          <w:tcPr>
            <w:tcW w:w="1444" w:type="dxa"/>
            <w:tcMar>
              <w:top w:w="40" w:type="dxa"/>
              <w:left w:w="80" w:type="dxa"/>
              <w:bottom w:w="40" w:type="dxa"/>
              <w:right w:w="80" w:type="dxa"/>
            </w:tcMar>
          </w:tcPr>
          <w:p>
            <w:pPr>
              <w:spacing w:before="20" w:after="20" w:line="240" w:lineRule="auto"/>
            </w:pPr>
            <w:r>
              <w:rPr>
                <w:color w:val="1A202C"/>
                <w:sz w:val="20"/>
              </w:rPr>
              <w:t xml:space="preserve">5,300</w:t>
            </w:r>
          </w:p>
        </w:tc>
        <w:tc>
          <w:tcPr>
            <w:tcW w:w="1805" w:type="dxa"/>
            <w:tcMar>
              <w:top w:w="40" w:type="dxa"/>
              <w:left w:w="80" w:type="dxa"/>
              <w:bottom w:w="40" w:type="dxa"/>
              <w:right w:w="80" w:type="dxa"/>
            </w:tcMar>
          </w:tcPr>
          <w:p>
            <w:pPr>
              <w:spacing w:before="20" w:after="20" w:line="240" w:lineRule="auto"/>
            </w:pPr>
            <w:r>
              <w:rPr>
                <w:color w:val="1A202C"/>
                <w:sz w:val="20"/>
              </w:rPr>
              <w:t xml:space="preserve">7,580</w:t>
            </w:r>
          </w:p>
        </w:tc>
        <w:tc>
          <w:tcPr>
            <w:tcW w:w="1624" w:type="dxa"/>
            <w:tcMar>
              <w:top w:w="40" w:type="dxa"/>
              <w:left w:w="80" w:type="dxa"/>
              <w:bottom w:w="40" w:type="dxa"/>
              <w:right w:w="80" w:type="dxa"/>
            </w:tcMar>
          </w:tcPr>
          <w:p>
            <w:pPr>
              <w:spacing w:before="20" w:after="20" w:line="240" w:lineRule="auto"/>
            </w:pPr>
            <w:r>
              <w:rPr>
                <w:color w:val="1A202C"/>
                <w:sz w:val="20"/>
              </w:rPr>
              <w:t xml:space="preserve">12,880</w:t>
            </w:r>
          </w:p>
        </w:tc>
        <w:tc>
          <w:tcPr>
            <w:tcW w:w="1807" w:type="dxa"/>
            <w:tcMar>
              <w:top w:w="40" w:type="dxa"/>
              <w:left w:w="80" w:type="dxa"/>
              <w:bottom w:w="40" w:type="dxa"/>
              <w:right w:w="80" w:type="dxa"/>
            </w:tcMar>
          </w:tcPr>
          <w:p>
            <w:pPr>
              <w:spacing w:before="20" w:after="20" w:line="240" w:lineRule="auto"/>
            </w:pPr>
            <w:r>
              <w:rPr>
                <w:color w:val="1A202C"/>
                <w:sz w:val="20"/>
              </w:rPr>
              <w:t xml:space="preserve">44.2%</w:t>
            </w:r>
          </w:p>
        </w:tc>
      </w:tr>
      <w:tr>
        <w:tc>
          <w:tcPr>
            <w:tcW w:w="2346" w:type="dxa"/>
            <w:tcMar>
              <w:top w:w="40" w:type="dxa"/>
              <w:left w:w="80" w:type="dxa"/>
              <w:bottom w:w="40" w:type="dxa"/>
              <w:right w:w="80" w:type="dxa"/>
            </w:tcMar>
          </w:tcPr>
          <w:p>
            <w:pPr>
              <w:spacing w:before="20" w:after="20" w:line="240" w:lineRule="auto"/>
            </w:pPr>
            <w:r>
              <w:rPr>
                <w:color w:val="1A202C"/>
                <w:sz w:val="20"/>
              </w:rPr>
              <w:t xml:space="preserve">Ontario</w:t>
            </w:r>
          </w:p>
        </w:tc>
        <w:tc>
          <w:tcPr>
            <w:tcW w:w="1444" w:type="dxa"/>
            <w:tcMar>
              <w:top w:w="40" w:type="dxa"/>
              <w:left w:w="80" w:type="dxa"/>
              <w:bottom w:w="40" w:type="dxa"/>
              <w:right w:w="80" w:type="dxa"/>
            </w:tcMar>
          </w:tcPr>
          <w:p>
            <w:pPr>
              <w:spacing w:before="20" w:after="20" w:line="240" w:lineRule="auto"/>
            </w:pPr>
            <w:r>
              <w:rPr>
                <w:color w:val="1A202C"/>
                <w:sz w:val="20"/>
              </w:rPr>
              <w:t xml:space="preserve">3,700</w:t>
            </w:r>
          </w:p>
        </w:tc>
        <w:tc>
          <w:tcPr>
            <w:tcW w:w="1805" w:type="dxa"/>
            <w:tcMar>
              <w:top w:w="40" w:type="dxa"/>
              <w:left w:w="80" w:type="dxa"/>
              <w:bottom w:w="40" w:type="dxa"/>
              <w:right w:w="80" w:type="dxa"/>
            </w:tcMar>
          </w:tcPr>
          <w:p>
            <w:pPr>
              <w:spacing w:before="20" w:after="20" w:line="240" w:lineRule="auto"/>
            </w:pPr>
            <w:r>
              <w:rPr>
                <w:color w:val="1A202C"/>
                <w:sz w:val="20"/>
              </w:rPr>
              <w:t xml:space="preserve">5,291</w:t>
            </w:r>
          </w:p>
        </w:tc>
        <w:tc>
          <w:tcPr>
            <w:tcW w:w="1624" w:type="dxa"/>
            <w:tcMar>
              <w:top w:w="40" w:type="dxa"/>
              <w:left w:w="80" w:type="dxa"/>
              <w:bottom w:w="40" w:type="dxa"/>
              <w:right w:w="80" w:type="dxa"/>
            </w:tcMar>
          </w:tcPr>
          <w:p>
            <w:pPr>
              <w:spacing w:before="20" w:after="20" w:line="240" w:lineRule="auto"/>
            </w:pPr>
            <w:r>
              <w:rPr>
                <w:color w:val="1A202C"/>
                <w:sz w:val="20"/>
              </w:rPr>
              <w:t xml:space="preserve">8,991</w:t>
            </w:r>
          </w:p>
        </w:tc>
        <w:tc>
          <w:tcPr>
            <w:tcW w:w="1807" w:type="dxa"/>
            <w:tcMar>
              <w:top w:w="40" w:type="dxa"/>
              <w:left w:w="80" w:type="dxa"/>
              <w:bottom w:w="40" w:type="dxa"/>
              <w:right w:w="80" w:type="dxa"/>
            </w:tcMar>
          </w:tcPr>
          <w:p>
            <w:pPr>
              <w:spacing w:before="20" w:after="20" w:line="240" w:lineRule="auto"/>
            </w:pPr>
            <w:r>
              <w:rPr>
                <w:color w:val="1A202C"/>
                <w:sz w:val="20"/>
              </w:rPr>
              <w:t xml:space="preserve">30.8%</w:t>
            </w:r>
          </w:p>
        </w:tc>
      </w:tr>
      <w:tr>
        <w:tc>
          <w:tcPr>
            <w:tcW w:w="2346" w:type="dxa"/>
            <w:tcMar>
              <w:top w:w="40" w:type="dxa"/>
              <w:left w:w="80" w:type="dxa"/>
              <w:bottom w:w="40" w:type="dxa"/>
              <w:right w:w="80" w:type="dxa"/>
            </w:tcMar>
          </w:tcPr>
          <w:p>
            <w:pPr>
              <w:spacing w:before="20" w:after="20" w:line="240" w:lineRule="auto"/>
            </w:pPr>
            <w:r>
              <w:rPr>
                <w:color w:val="1A202C"/>
                <w:sz w:val="20"/>
              </w:rPr>
              <w:t xml:space="preserve">Western Canada</w:t>
            </w:r>
          </w:p>
        </w:tc>
        <w:tc>
          <w:tcPr>
            <w:tcW w:w="1444" w:type="dxa"/>
            <w:tcMar>
              <w:top w:w="40" w:type="dxa"/>
              <w:left w:w="80" w:type="dxa"/>
              <w:bottom w:w="40" w:type="dxa"/>
              <w:right w:w="80" w:type="dxa"/>
            </w:tcMar>
          </w:tcPr>
          <w:p>
            <w:pPr>
              <w:spacing w:before="20" w:after="20" w:line="240" w:lineRule="auto"/>
            </w:pPr>
            <w:r>
              <w:rPr>
                <w:color w:val="1A202C"/>
                <w:sz w:val="20"/>
              </w:rPr>
              <w:t xml:space="preserve">1,700</w:t>
            </w:r>
          </w:p>
        </w:tc>
        <w:tc>
          <w:tcPr>
            <w:tcW w:w="1805" w:type="dxa"/>
            <w:tcMar>
              <w:top w:w="40" w:type="dxa"/>
              <w:left w:w="80" w:type="dxa"/>
              <w:bottom w:w="40" w:type="dxa"/>
              <w:right w:w="80" w:type="dxa"/>
            </w:tcMar>
          </w:tcPr>
          <w:p>
            <w:pPr>
              <w:spacing w:before="20" w:after="20" w:line="240" w:lineRule="auto"/>
            </w:pPr>
            <w:r>
              <w:rPr>
                <w:color w:val="1A202C"/>
                <w:sz w:val="20"/>
              </w:rPr>
              <w:t xml:space="preserve">2,431</w:t>
            </w:r>
          </w:p>
        </w:tc>
        <w:tc>
          <w:tcPr>
            <w:tcW w:w="1624" w:type="dxa"/>
            <w:tcMar>
              <w:top w:w="40" w:type="dxa"/>
              <w:left w:w="80" w:type="dxa"/>
              <w:bottom w:w="40" w:type="dxa"/>
              <w:right w:w="80" w:type="dxa"/>
            </w:tcMar>
          </w:tcPr>
          <w:p>
            <w:pPr>
              <w:spacing w:before="20" w:after="20" w:line="240" w:lineRule="auto"/>
            </w:pPr>
            <w:r>
              <w:rPr>
                <w:color w:val="1A202C"/>
                <w:sz w:val="20"/>
              </w:rPr>
              <w:t xml:space="preserve">4,131</w:t>
            </w:r>
          </w:p>
        </w:tc>
        <w:tc>
          <w:tcPr>
            <w:tcW w:w="1807" w:type="dxa"/>
            <w:tcMar>
              <w:top w:w="40" w:type="dxa"/>
              <w:left w:w="80" w:type="dxa"/>
              <w:bottom w:w="40" w:type="dxa"/>
              <w:right w:w="80" w:type="dxa"/>
            </w:tcMar>
          </w:tcPr>
          <w:p>
            <w:pPr>
              <w:spacing w:before="20" w:after="20" w:line="240" w:lineRule="auto"/>
            </w:pPr>
            <w:r>
              <w:rPr>
                <w:color w:val="1A202C"/>
                <w:sz w:val="20"/>
              </w:rPr>
              <w:t xml:space="preserve">14.2%</w:t>
            </w:r>
          </w:p>
        </w:tc>
      </w:tr>
      <w:tr>
        <w:tc>
          <w:tcPr>
            <w:tcW w:w="2346" w:type="dxa"/>
            <w:tcMar>
              <w:top w:w="40" w:type="dxa"/>
              <w:left w:w="80" w:type="dxa"/>
              <w:bottom w:w="40" w:type="dxa"/>
              <w:right w:w="80" w:type="dxa"/>
            </w:tcMar>
          </w:tcPr>
          <w:p>
            <w:pPr>
              <w:spacing w:before="20" w:after="20" w:line="240" w:lineRule="auto"/>
            </w:pPr>
            <w:r>
              <w:rPr>
                <w:color w:val="1A202C"/>
                <w:sz w:val="20"/>
              </w:rPr>
              <w:t xml:space="preserve">Atlantic Canada</w:t>
            </w:r>
          </w:p>
        </w:tc>
        <w:tc>
          <w:tcPr>
            <w:tcW w:w="1444" w:type="dxa"/>
            <w:tcMar>
              <w:top w:w="40" w:type="dxa"/>
              <w:left w:w="80" w:type="dxa"/>
              <w:bottom w:w="40" w:type="dxa"/>
              <w:right w:w="80" w:type="dxa"/>
            </w:tcMar>
          </w:tcPr>
          <w:p>
            <w:pPr>
              <w:spacing w:before="20" w:after="20" w:line="240" w:lineRule="auto"/>
            </w:pPr>
            <w:r>
              <w:rPr>
                <w:color w:val="1A202C"/>
                <w:sz w:val="20"/>
              </w:rPr>
              <w:t xml:space="preserve">700</w:t>
            </w:r>
          </w:p>
        </w:tc>
        <w:tc>
          <w:tcPr>
            <w:tcW w:w="1805" w:type="dxa"/>
            <w:tcMar>
              <w:top w:w="40" w:type="dxa"/>
              <w:left w:w="80" w:type="dxa"/>
              <w:bottom w:w="40" w:type="dxa"/>
              <w:right w:w="80" w:type="dxa"/>
            </w:tcMar>
          </w:tcPr>
          <w:p>
            <w:pPr>
              <w:spacing w:before="20" w:after="20" w:line="240" w:lineRule="auto"/>
            </w:pPr>
            <w:r>
              <w:rPr>
                <w:color w:val="1A202C"/>
                <w:sz w:val="20"/>
              </w:rPr>
              <w:t xml:space="preserve">1,001</w:t>
            </w:r>
          </w:p>
        </w:tc>
        <w:tc>
          <w:tcPr>
            <w:tcW w:w="1624" w:type="dxa"/>
            <w:tcMar>
              <w:top w:w="40" w:type="dxa"/>
              <w:left w:w="80" w:type="dxa"/>
              <w:bottom w:w="40" w:type="dxa"/>
              <w:right w:w="80" w:type="dxa"/>
            </w:tcMar>
          </w:tcPr>
          <w:p>
            <w:pPr>
              <w:spacing w:before="20" w:after="20" w:line="240" w:lineRule="auto"/>
            </w:pPr>
            <w:r>
              <w:rPr>
                <w:color w:val="1A202C"/>
                <w:sz w:val="20"/>
              </w:rPr>
              <w:t xml:space="preserve">1,701</w:t>
            </w:r>
          </w:p>
        </w:tc>
        <w:tc>
          <w:tcPr>
            <w:tcW w:w="1807" w:type="dxa"/>
            <w:tcMar>
              <w:top w:w="40" w:type="dxa"/>
              <w:left w:w="80" w:type="dxa"/>
              <w:bottom w:w="40" w:type="dxa"/>
              <w:right w:w="80" w:type="dxa"/>
            </w:tcMar>
          </w:tcPr>
          <w:p>
            <w:pPr>
              <w:spacing w:before="20" w:after="20" w:line="240" w:lineRule="auto"/>
            </w:pPr>
            <w:r>
              <w:rPr>
                <w:color w:val="1A202C"/>
                <w:sz w:val="20"/>
              </w:rPr>
              <w:t xml:space="preserve">5.8%</w:t>
            </w:r>
          </w:p>
        </w:tc>
      </w:tr>
      <w:tr>
        <w:tc>
          <w:tcPr>
            <w:tcW w:w="2346" w:type="dxa"/>
            <w:tcMar>
              <w:top w:w="40" w:type="dxa"/>
              <w:left w:w="80" w:type="dxa"/>
              <w:bottom w:w="40" w:type="dxa"/>
              <w:right w:w="80" w:type="dxa"/>
            </w:tcMar>
          </w:tcPr>
          <w:p>
            <w:pPr>
              <w:spacing w:before="20" w:after="20" w:line="240" w:lineRule="auto"/>
            </w:pPr>
            <w:r>
              <w:rPr>
                <w:color w:val="1A202C"/>
                <w:sz w:val="20"/>
              </w:rPr>
              <w:t xml:space="preserve">Pan-Canadian (NRC, universities, ranges)</w:t>
            </w:r>
          </w:p>
        </w:tc>
        <w:tc>
          <w:tcPr>
            <w:tcW w:w="1444" w:type="dxa"/>
            <w:tcMar>
              <w:top w:w="40" w:type="dxa"/>
              <w:left w:w="80" w:type="dxa"/>
              <w:bottom w:w="40" w:type="dxa"/>
              <w:right w:w="80" w:type="dxa"/>
            </w:tcMar>
          </w:tcPr>
          <w:p>
            <w:pPr>
              <w:spacing w:before="20" w:after="20" w:line="240" w:lineRule="auto"/>
            </w:pPr>
            <w:r>
              <w:rPr>
                <w:color w:val="1A202C"/>
                <w:sz w:val="20"/>
              </w:rPr>
              <w:t xml:space="preserve">600</w:t>
            </w:r>
          </w:p>
        </w:tc>
        <w:tc>
          <w:tcPr>
            <w:tcW w:w="1805" w:type="dxa"/>
            <w:tcMar>
              <w:top w:w="40" w:type="dxa"/>
              <w:left w:w="80" w:type="dxa"/>
              <w:bottom w:w="40" w:type="dxa"/>
              <w:right w:w="80" w:type="dxa"/>
            </w:tcMar>
          </w:tcPr>
          <w:p>
            <w:pPr>
              <w:spacing w:before="20" w:after="20" w:line="240" w:lineRule="auto"/>
            </w:pPr>
            <w:r>
              <w:rPr>
                <w:color w:val="1A202C"/>
                <w:sz w:val="20"/>
              </w:rPr>
              <w:t xml:space="preserve">858</w:t>
            </w:r>
          </w:p>
        </w:tc>
        <w:tc>
          <w:tcPr>
            <w:tcW w:w="1624" w:type="dxa"/>
            <w:tcMar>
              <w:top w:w="40" w:type="dxa"/>
              <w:left w:w="80" w:type="dxa"/>
              <w:bottom w:w="40" w:type="dxa"/>
              <w:right w:w="80" w:type="dxa"/>
            </w:tcMar>
          </w:tcPr>
          <w:p>
            <w:pPr>
              <w:spacing w:before="20" w:after="20" w:line="240" w:lineRule="auto"/>
            </w:pPr>
            <w:r>
              <w:rPr>
                <w:color w:val="1A202C"/>
                <w:sz w:val="20"/>
              </w:rPr>
              <w:t xml:space="preserve">1,458</w:t>
            </w:r>
          </w:p>
        </w:tc>
        <w:tc>
          <w:tcPr>
            <w:tcW w:w="1807" w:type="dxa"/>
            <w:tcMar>
              <w:top w:w="40" w:type="dxa"/>
              <w:left w:w="80" w:type="dxa"/>
              <w:bottom w:w="40" w:type="dxa"/>
              <w:right w:w="80" w:type="dxa"/>
            </w:tcMar>
          </w:tcPr>
          <w:p>
            <w:pPr>
              <w:spacing w:before="20" w:after="20" w:line="240" w:lineRule="auto"/>
            </w:pPr>
            <w:r>
              <w:rPr>
                <w:color w:val="1A202C"/>
                <w:sz w:val="20"/>
              </w:rPr>
              <w:t xml:space="preserve">5.0%</w:t>
            </w:r>
          </w:p>
        </w:tc>
      </w:tr>
      <w:tr>
        <w:tc>
          <w:tcPr>
            <w:tcW w:w="2346" w:type="dxa"/>
            <w:tcMar>
              <w:top w:w="40" w:type="dxa"/>
              <w:left w:w="80" w:type="dxa"/>
              <w:bottom w:w="40" w:type="dxa"/>
              <w:right w:w="80" w:type="dxa"/>
            </w:tcMar>
          </w:tcPr>
          <w:p>
            <w:pPr>
              <w:spacing w:before="20" w:after="20" w:line="240" w:lineRule="auto"/>
            </w:pPr>
            <w:r>
              <w:rPr>
                <w:b/>
                <w:color w:val="1A202C"/>
                <w:sz w:val="20"/>
              </w:rPr>
              <w:t xml:space="preserve">CANADA TOTAL</w:t>
            </w:r>
          </w:p>
        </w:tc>
        <w:tc>
          <w:tcPr>
            <w:tcW w:w="1444" w:type="dxa"/>
            <w:tcMar>
              <w:top w:w="40" w:type="dxa"/>
              <w:left w:w="80" w:type="dxa"/>
              <w:bottom w:w="40" w:type="dxa"/>
              <w:right w:w="80" w:type="dxa"/>
            </w:tcMar>
          </w:tcPr>
          <w:p>
            <w:pPr>
              <w:spacing w:before="20" w:after="20" w:line="240" w:lineRule="auto"/>
            </w:pPr>
            <w:r>
              <w:rPr>
                <w:b/>
                <w:color w:val="1A202C"/>
                <w:sz w:val="20"/>
              </w:rPr>
              <w:t xml:space="preserve">12,000</w:t>
            </w:r>
          </w:p>
        </w:tc>
        <w:tc>
          <w:tcPr>
            <w:tcW w:w="1805" w:type="dxa"/>
            <w:tcMar>
              <w:top w:w="40" w:type="dxa"/>
              <w:left w:w="80" w:type="dxa"/>
              <w:bottom w:w="40" w:type="dxa"/>
              <w:right w:w="80" w:type="dxa"/>
            </w:tcMar>
          </w:tcPr>
          <w:p>
            <w:pPr>
              <w:spacing w:before="20" w:after="20" w:line="240" w:lineRule="auto"/>
            </w:pPr>
            <w:r>
              <w:rPr>
                <w:b/>
                <w:color w:val="1A202C"/>
                <w:sz w:val="20"/>
              </w:rPr>
              <w:t xml:space="preserve">17,161</w:t>
            </w:r>
          </w:p>
        </w:tc>
        <w:tc>
          <w:tcPr>
            <w:tcW w:w="1624" w:type="dxa"/>
            <w:tcMar>
              <w:top w:w="40" w:type="dxa"/>
              <w:left w:w="80" w:type="dxa"/>
              <w:bottom w:w="40" w:type="dxa"/>
              <w:right w:w="80" w:type="dxa"/>
            </w:tcMar>
          </w:tcPr>
          <w:p>
            <w:pPr>
              <w:spacing w:before="20" w:after="20" w:line="240" w:lineRule="auto"/>
            </w:pPr>
            <w:r>
              <w:rPr>
                <w:b/>
                <w:color w:val="1A202C"/>
                <w:sz w:val="20"/>
              </w:rPr>
              <w:t xml:space="preserve">29,161</w:t>
            </w:r>
          </w:p>
        </w:tc>
        <w:tc>
          <w:tcPr>
            <w:tcW w:w="1807" w:type="dxa"/>
            <w:tcMar>
              <w:top w:w="40" w:type="dxa"/>
              <w:left w:w="80" w:type="dxa"/>
              <w:bottom w:w="40" w:type="dxa"/>
              <w:right w:w="80" w:type="dxa"/>
            </w:tcMar>
          </w:tcPr>
          <w:p>
            <w:pPr>
              <w:spacing w:before="20" w:after="20" w:line="240" w:lineRule="auto"/>
            </w:pPr>
            <w:r>
              <w:rPr>
                <w:b/>
                <w:color w:val="1A202C"/>
                <w:sz w:val="20"/>
              </w:rPr>
              <w:t xml:space="preserve">100%</w:t>
            </w:r>
          </w:p>
        </w:tc>
      </w:tr>
    </w:tbl>
    <w:p>
      <w:pPr>
        <w:pStyle w:val="Caption"/>
        <w:spacing w:before="120" w:after="240"/>
      </w:pPr>
      <w:r>
        <w:t xml:space="preserve">Figures round to the nearest job; totals derive from unrounded multipliers. The pan-Canadian row captures National Research Council, university research, and test-range employment that distributes across provinces.</w:t>
      </w:r>
    </w:p>
    <w:p>
      <w:pPr>
        <w:spacing w:after="180" w:line="288" w:lineRule="auto"/>
      </w:pPr>
      <w:r>
        <w:rPr>
          <w:b/>
        </w:rPr>
        <w:t xml:space="preserve">Benchmark: </w:t>
      </w:r>
      <w:r>
        <w:t xml:space="preserve">Saab's December 2025 proposal to localize Gripen E and GlobalEye assembly in Canada claims up to 12,600 jobs for an assembly-localization scope alone. The Aurora Arrow peak of 29,161 total jobs reflects a fundamentally deeper program: full development, production, sustainment, and a sovereign supply chain rather than final assembly of a foreign design.</w:t>
      </w:r>
    </w:p>
    <w:p>
      <w:pPr>
        <w:pStyle w:val="Heading1"/>
      </w:pPr>
      <w:r>
        <w:t>PART VI: GDP CONTRIBUTION AND GROWTH</w:t>
      </w:r>
    </w:p>
    <w:p>
      <w:pPr>
        <w:pStyle w:val="Heading2"/>
      </w:pPr>
      <w:r>
        <w:t>6.1 Total Program Spending</w:t>
      </w:r>
    </w:p>
    <w:tbl>
      <w:tblPr>
        <w:tblW w:w="5000" w:type="pct"/>
        <w:tblBorders>
          <w:top w:val="single" w:color="1A2744" w:sz="12"/>
          <w:left w:val="nil"/>
          <w:bottom w:val="single" w:color="1A2744" w:sz="12"/>
          <w:right w:val="nil"/>
          <w:insideH w:val="single" w:color="C8C4BC" w:sz="4"/>
          <w:insideV w:val="nil"/>
        </w:tblBorders>
      </w:tblPr>
      <w:tblGrid>
        <w:gridCol w:w="3971"/>
        <w:gridCol w:w="2166"/>
        <w:gridCol w:w="2889"/>
      </w:tblGrid>
      <w:tr>
        <w:trPr>
          <w:tblHeader/>
        </w:trPr>
        <w:tc>
          <w:tcPr>
            <w:tcW w:w="3971" w:type="dxa"/>
            <w:shd w:val="clear" w:fill="F4F2EE"/>
            <w:tcMar>
              <w:top w:w="40" w:type="dxa"/>
              <w:left w:w="80" w:type="dxa"/>
              <w:bottom w:w="40" w:type="dxa"/>
              <w:right w:w="80" w:type="dxa"/>
            </w:tcMar>
          </w:tcPr>
          <w:p>
            <w:pPr>
              <w:spacing w:before="20" w:after="20" w:line="240" w:lineRule="auto"/>
            </w:pPr>
            <w:r>
              <w:rPr>
                <w:b/>
                <w:color w:val="1A2744"/>
                <w:sz w:val="20"/>
              </w:rPr>
              <w:t xml:space="preserve">Spending Element</w:t>
            </w:r>
          </w:p>
        </w:tc>
        <w:tc>
          <w:tcPr>
            <w:tcW w:w="2166" w:type="dxa"/>
            <w:shd w:val="clear" w:fill="F4F2EE"/>
            <w:tcMar>
              <w:top w:w="40" w:type="dxa"/>
              <w:left w:w="80" w:type="dxa"/>
              <w:bottom w:w="40" w:type="dxa"/>
              <w:right w:w="80" w:type="dxa"/>
            </w:tcMar>
          </w:tcPr>
          <w:p>
            <w:pPr>
              <w:spacing w:before="20" w:after="20" w:line="240" w:lineRule="auto"/>
            </w:pPr>
            <w:r>
              <w:rPr>
                <w:b/>
                <w:color w:val="1A2744"/>
                <w:sz w:val="20"/>
              </w:rPr>
              <w:t xml:space="preserve">Value (CAD)</w:t>
            </w:r>
          </w:p>
        </w:tc>
        <w:tc>
          <w:tcPr>
            <w:tcW w:w="2889" w:type="dxa"/>
            <w:shd w:val="clear" w:fill="F4F2EE"/>
            <w:tcMar>
              <w:top w:w="40" w:type="dxa"/>
              <w:left w:w="80" w:type="dxa"/>
              <w:bottom w:w="40" w:type="dxa"/>
              <w:right w:w="80" w:type="dxa"/>
            </w:tcMar>
          </w:tcPr>
          <w:p>
            <w:pPr>
              <w:spacing w:before="20" w:after="20" w:line="240" w:lineRule="auto"/>
            </w:pPr>
            <w:r>
              <w:rPr>
                <w:b/>
                <w:color w:val="1A2744"/>
                <w:sz w:val="20"/>
              </w:rPr>
              <w:t xml:space="preserve">Note</w:t>
            </w:r>
          </w:p>
        </w:tc>
      </w:tr>
      <w:tr>
        <w:tc>
          <w:tcPr>
            <w:tcW w:w="3971" w:type="dxa"/>
            <w:tcMar>
              <w:top w:w="40" w:type="dxa"/>
              <w:left w:w="80" w:type="dxa"/>
              <w:bottom w:w="40" w:type="dxa"/>
              <w:right w:w="80" w:type="dxa"/>
            </w:tcMar>
          </w:tcPr>
          <w:p>
            <w:pPr>
              <w:spacing w:before="20" w:after="20" w:line="240" w:lineRule="auto"/>
            </w:pPr>
            <w:r>
              <w:rPr>
                <w:color w:val="1A202C"/>
                <w:sz w:val="20"/>
              </w:rPr>
              <w:t xml:space="preserve">Development (2026 to 2035)</w:t>
            </w:r>
          </w:p>
        </w:tc>
        <w:tc>
          <w:tcPr>
            <w:tcW w:w="2166" w:type="dxa"/>
            <w:tcMar>
              <w:top w:w="40" w:type="dxa"/>
              <w:left w:w="80" w:type="dxa"/>
              <w:bottom w:w="40" w:type="dxa"/>
              <w:right w:w="80" w:type="dxa"/>
            </w:tcMar>
          </w:tcPr>
          <w:p>
            <w:pPr>
              <w:spacing w:before="20" w:after="20" w:line="240" w:lineRule="auto"/>
            </w:pPr>
            <w:r>
              <w:rPr>
                <w:color w:val="1A202C"/>
                <w:sz w:val="20"/>
              </w:rPr>
              <w:t xml:space="preserve">$32.9B</w:t>
            </w:r>
          </w:p>
        </w:tc>
        <w:tc>
          <w:tcPr>
            <w:tcW w:w="2889" w:type="dxa"/>
            <w:tcMar>
              <w:top w:w="40" w:type="dxa"/>
              <w:left w:w="80" w:type="dxa"/>
              <w:bottom w:w="40" w:type="dxa"/>
              <w:right w:w="80" w:type="dxa"/>
            </w:tcMar>
          </w:tcPr>
          <w:p>
            <w:pPr>
              <w:spacing w:before="20" w:after="20" w:line="240" w:lineRule="auto"/>
            </w:pPr>
            <w:r>
              <w:rPr>
                <w:color w:val="1A202C"/>
                <w:sz w:val="20"/>
              </w:rPr>
              <w:t xml:space="preserve">$24.0B USD at 1.37</w:t>
            </w:r>
          </w:p>
        </w:tc>
      </w:tr>
      <w:tr>
        <w:tc>
          <w:tcPr>
            <w:tcW w:w="3971" w:type="dxa"/>
            <w:tcMar>
              <w:top w:w="40" w:type="dxa"/>
              <w:left w:w="80" w:type="dxa"/>
              <w:bottom w:w="40" w:type="dxa"/>
              <w:right w:w="80" w:type="dxa"/>
            </w:tcMar>
          </w:tcPr>
          <w:p>
            <w:pPr>
              <w:spacing w:before="20" w:after="20" w:line="240" w:lineRule="auto"/>
            </w:pPr>
            <w:r>
              <w:rPr>
                <w:color w:val="1A202C"/>
                <w:sz w:val="20"/>
              </w:rPr>
              <w:t xml:space="preserve">Production (2032 to 2041)</w:t>
            </w:r>
          </w:p>
        </w:tc>
        <w:tc>
          <w:tcPr>
            <w:tcW w:w="2166" w:type="dxa"/>
            <w:tcMar>
              <w:top w:w="40" w:type="dxa"/>
              <w:left w:w="80" w:type="dxa"/>
              <w:bottom w:w="40" w:type="dxa"/>
              <w:right w:w="80" w:type="dxa"/>
            </w:tcMar>
          </w:tcPr>
          <w:p>
            <w:pPr>
              <w:spacing w:before="20" w:after="20" w:line="240" w:lineRule="auto"/>
            </w:pPr>
            <w:r>
              <w:rPr>
                <w:color w:val="1A202C"/>
                <w:sz w:val="20"/>
              </w:rPr>
              <w:t xml:space="preserve">$27.4B</w:t>
            </w:r>
          </w:p>
        </w:tc>
        <w:tc>
          <w:tcPr>
            <w:tcW w:w="2889" w:type="dxa"/>
            <w:tcMar>
              <w:top w:w="40" w:type="dxa"/>
              <w:left w:w="80" w:type="dxa"/>
              <w:bottom w:w="40" w:type="dxa"/>
              <w:right w:w="80" w:type="dxa"/>
            </w:tcMar>
          </w:tcPr>
          <w:p>
            <w:pPr>
              <w:spacing w:before="20" w:after="20" w:line="240" w:lineRule="auto"/>
            </w:pPr>
            <w:r>
              <w:rPr>
                <w:color w:val="1A202C"/>
                <w:sz w:val="20"/>
              </w:rPr>
              <w:t xml:space="preserve">204 aircraft at $134M CAD average</w:t>
            </w:r>
          </w:p>
        </w:tc>
      </w:tr>
      <w:tr>
        <w:tc>
          <w:tcPr>
            <w:tcW w:w="3971" w:type="dxa"/>
            <w:tcMar>
              <w:top w:w="40" w:type="dxa"/>
              <w:left w:w="80" w:type="dxa"/>
              <w:bottom w:w="40" w:type="dxa"/>
              <w:right w:w="80" w:type="dxa"/>
            </w:tcMar>
          </w:tcPr>
          <w:p>
            <w:pPr>
              <w:spacing w:before="20" w:after="20" w:line="240" w:lineRule="auto"/>
            </w:pPr>
            <w:r>
              <w:rPr>
                <w:b/>
                <w:color w:val="1A202C"/>
                <w:sz w:val="20"/>
              </w:rPr>
              <w:t xml:space="preserve">Total acquisition program</w:t>
            </w:r>
          </w:p>
        </w:tc>
        <w:tc>
          <w:tcPr>
            <w:tcW w:w="2166" w:type="dxa"/>
            <w:tcMar>
              <w:top w:w="40" w:type="dxa"/>
              <w:left w:w="80" w:type="dxa"/>
              <w:bottom w:w="40" w:type="dxa"/>
              <w:right w:w="80" w:type="dxa"/>
            </w:tcMar>
          </w:tcPr>
          <w:p>
            <w:pPr>
              <w:spacing w:before="20" w:after="20" w:line="240" w:lineRule="auto"/>
            </w:pPr>
            <w:r>
              <w:rPr>
                <w:b/>
                <w:color w:val="1A202C"/>
                <w:sz w:val="20"/>
              </w:rPr>
              <w:t xml:space="preserve">$60.3B</w:t>
            </w:r>
          </w:p>
        </w:tc>
        <w:tc>
          <w:tcPr>
            <w:tcW w:w="2889" w:type="dxa"/>
            <w:tcMar>
              <w:top w:w="40" w:type="dxa"/>
              <w:left w:w="80" w:type="dxa"/>
              <w:bottom w:w="40" w:type="dxa"/>
              <w:right w:w="80" w:type="dxa"/>
            </w:tcMar>
          </w:tcPr>
          <w:p>
            <w:pPr>
              <w:spacing w:before="20" w:after="20" w:line="240" w:lineRule="auto"/>
            </w:pPr>
            <w:r>
              <w:rPr>
                <w:b/>
                <w:color w:val="1A202C"/>
                <w:sz w:val="20"/>
              </w:rPr>
              <w:t xml:space="preserve">2026 to 2041</w:t>
            </w:r>
          </w:p>
        </w:tc>
      </w:tr>
      <w:tr>
        <w:tc>
          <w:tcPr>
            <w:tcW w:w="3971" w:type="dxa"/>
            <w:tcMar>
              <w:top w:w="40" w:type="dxa"/>
              <w:left w:w="80" w:type="dxa"/>
              <w:bottom w:w="40" w:type="dxa"/>
              <w:right w:w="80" w:type="dxa"/>
            </w:tcMar>
          </w:tcPr>
          <w:p>
            <w:pPr>
              <w:spacing w:before="20" w:after="20" w:line="240" w:lineRule="auto"/>
            </w:pPr>
            <w:r>
              <w:rPr>
                <w:color w:val="1A202C"/>
                <w:sz w:val="20"/>
              </w:rPr>
              <w:t xml:space="preserve">Canadian content (70%)</w:t>
            </w:r>
          </w:p>
        </w:tc>
        <w:tc>
          <w:tcPr>
            <w:tcW w:w="2166" w:type="dxa"/>
            <w:tcMar>
              <w:top w:w="40" w:type="dxa"/>
              <w:left w:w="80" w:type="dxa"/>
              <w:bottom w:w="40" w:type="dxa"/>
              <w:right w:w="80" w:type="dxa"/>
            </w:tcMar>
          </w:tcPr>
          <w:p>
            <w:pPr>
              <w:spacing w:before="20" w:after="20" w:line="240" w:lineRule="auto"/>
            </w:pPr>
            <w:r>
              <w:rPr>
                <w:color w:val="1A202C"/>
                <w:sz w:val="20"/>
              </w:rPr>
              <w:t xml:space="preserve">$42.2B</w:t>
            </w:r>
          </w:p>
        </w:tc>
        <w:tc>
          <w:tcPr>
            <w:tcW w:w="2889" w:type="dxa"/>
            <w:tcMar>
              <w:top w:w="40" w:type="dxa"/>
              <w:left w:w="80" w:type="dxa"/>
              <w:bottom w:w="40" w:type="dxa"/>
              <w:right w:w="80" w:type="dxa"/>
            </w:tcMar>
          </w:tcPr>
          <w:p>
            <w:pPr>
              <w:spacing w:before="20" w:after="20" w:line="240" w:lineRule="auto"/>
            </w:pPr>
            <w:r>
              <w:rPr>
                <w:color w:val="1A202C"/>
                <w:sz w:val="20"/>
              </w:rPr>
              <w:t xml:space="preserve">Retained in the domestic economy</w:t>
            </w:r>
          </w:p>
        </w:tc>
      </w:tr>
      <w:tr>
        <w:tc>
          <w:tcPr>
            <w:tcW w:w="3971" w:type="dxa"/>
            <w:tcMar>
              <w:top w:w="40" w:type="dxa"/>
              <w:left w:w="80" w:type="dxa"/>
              <w:bottom w:w="40" w:type="dxa"/>
              <w:right w:w="80" w:type="dxa"/>
            </w:tcMar>
          </w:tcPr>
          <w:p>
            <w:pPr>
              <w:spacing w:before="20" w:after="20" w:line="240" w:lineRule="auto"/>
            </w:pPr>
            <w:r>
              <w:rPr>
                <w:color w:val="1A202C"/>
                <w:sz w:val="20"/>
              </w:rPr>
              <w:t xml:space="preserve">Import content (30%)</w:t>
            </w:r>
          </w:p>
        </w:tc>
        <w:tc>
          <w:tcPr>
            <w:tcW w:w="2166" w:type="dxa"/>
            <w:tcMar>
              <w:top w:w="40" w:type="dxa"/>
              <w:left w:w="80" w:type="dxa"/>
              <w:bottom w:w="40" w:type="dxa"/>
              <w:right w:w="80" w:type="dxa"/>
            </w:tcMar>
          </w:tcPr>
          <w:p>
            <w:pPr>
              <w:spacing w:before="20" w:after="20" w:line="240" w:lineRule="auto"/>
            </w:pPr>
            <w:r>
              <w:rPr>
                <w:color w:val="1A202C"/>
                <w:sz w:val="20"/>
              </w:rPr>
              <w:t xml:space="preserve">$18.1B</w:t>
            </w:r>
          </w:p>
        </w:tc>
        <w:tc>
          <w:tcPr>
            <w:tcW w:w="2889" w:type="dxa"/>
            <w:tcMar>
              <w:top w:w="40" w:type="dxa"/>
              <w:left w:w="80" w:type="dxa"/>
              <w:bottom w:w="40" w:type="dxa"/>
              <w:right w:w="80" w:type="dxa"/>
            </w:tcMar>
          </w:tcPr>
          <w:p>
            <w:pPr>
              <w:spacing w:before="20" w:after="20" w:line="240" w:lineRule="auto"/>
            </w:pPr>
            <w:r>
              <w:rPr>
                <w:color w:val="1A202C"/>
                <w:sz w:val="20"/>
              </w:rPr>
              <w:t xml:space="preserve">Engine partner share, raw materials, select components</w:t>
            </w:r>
          </w:p>
        </w:tc>
      </w:tr>
    </w:tbl>
    <w:p>
      <w:pPr>
        <w:pStyle w:val="Heading2"/>
      </w:pPr>
      <w:r>
        <w:t>6.2 GDP Impact</w:t>
      </w:r>
    </w:p>
    <w:p>
      <w:pPr>
        <w:spacing w:after="180" w:line="288" w:lineRule="auto"/>
      </w:pPr>
      <w:r>
        <w:t xml:space="preserve">Direct value-added reaches $16.0 billion across the program phase, a 38% value-added ratio on the $42.2 billion of Canadian content, consistent with the ISED 2024 ratio of $15.6 billion of direct GDP on $45.2 billion of industry revenue, adjusted upward for the R&amp;D intensity of development work. Applying the 2.19x GDP multiplier yields a total GDP contribution of $35.0 billion between 2027 and 2041, an average of $2.5 billion per year and a peak near $3.9 billion. For scale, Bombardier alone generated $7.4 billion in GDP and 48,500 jobs across Canada in 2024; the Aurora Arrow adds an industrial engine of roughly half that annual scale on top of the existing sector for more than a decade.</w:t>
      </w:r>
    </w:p>
    <w:p>
      <w:pPr>
        <w:pStyle w:val="Heading2"/>
      </w:pPr>
      <w:r>
        <w:t>6.3 Regional GDP Distribution</w:t>
      </w:r>
    </w:p>
    <w:tbl>
      <w:tblPr>
        <w:tblW w:w="5000" w:type="pct"/>
        <w:tblBorders>
          <w:top w:val="single" w:color="1A2744" w:sz="12"/>
          <w:left w:val="nil"/>
          <w:bottom w:val="single" w:color="1A2744" w:sz="12"/>
          <w:right w:val="nil"/>
          <w:insideH w:val="single" w:color="C8C4BC" w:sz="4"/>
          <w:insideV w:val="nil"/>
        </w:tblBorders>
      </w:tblPr>
      <w:tblGrid>
        <w:gridCol w:w="2527"/>
        <w:gridCol w:w="1624"/>
        <w:gridCol w:w="1624"/>
        <w:gridCol w:w="1624"/>
        <w:gridCol w:w="1627"/>
      </w:tblGrid>
      <w:tr>
        <w:trPr>
          <w:tblHeader/>
        </w:trPr>
        <w:tc>
          <w:tcPr>
            <w:tcW w:w="2527" w:type="dxa"/>
            <w:shd w:val="clear" w:fill="F4F2EE"/>
            <w:tcMar>
              <w:top w:w="40" w:type="dxa"/>
              <w:left w:w="80" w:type="dxa"/>
              <w:bottom w:w="40" w:type="dxa"/>
              <w:right w:w="80" w:type="dxa"/>
            </w:tcMar>
          </w:tcPr>
          <w:p>
            <w:pPr>
              <w:spacing w:before="20" w:after="20" w:line="240" w:lineRule="auto"/>
            </w:pPr>
            <w:r>
              <w:rPr>
                <w:b/>
                <w:color w:val="1A2744"/>
                <w:sz w:val="20"/>
              </w:rPr>
              <w:t xml:space="preserve">Region</w:t>
            </w:r>
          </w:p>
        </w:tc>
        <w:tc>
          <w:tcPr>
            <w:tcW w:w="1624" w:type="dxa"/>
            <w:shd w:val="clear" w:fill="F4F2EE"/>
            <w:tcMar>
              <w:top w:w="40" w:type="dxa"/>
              <w:left w:w="80" w:type="dxa"/>
              <w:bottom w:w="40" w:type="dxa"/>
              <w:right w:w="80" w:type="dxa"/>
            </w:tcMar>
          </w:tcPr>
          <w:p>
            <w:pPr>
              <w:spacing w:before="20" w:after="20" w:line="240" w:lineRule="auto"/>
            </w:pPr>
            <w:r>
              <w:rPr>
                <w:b/>
                <w:color w:val="1A2744"/>
                <w:sz w:val="20"/>
              </w:rPr>
              <w:t xml:space="preserve">Total GDP</w:t>
            </w:r>
          </w:p>
        </w:tc>
        <w:tc>
          <w:tcPr>
            <w:tcW w:w="1624" w:type="dxa"/>
            <w:shd w:val="clear" w:fill="F4F2EE"/>
            <w:tcMar>
              <w:top w:w="40" w:type="dxa"/>
              <w:left w:w="80" w:type="dxa"/>
              <w:bottom w:w="40" w:type="dxa"/>
              <w:right w:w="80" w:type="dxa"/>
            </w:tcMar>
          </w:tcPr>
          <w:p>
            <w:pPr>
              <w:spacing w:before="20" w:after="20" w:line="240" w:lineRule="auto"/>
            </w:pPr>
            <w:r>
              <w:rPr>
                <w:b/>
                <w:color w:val="1A2744"/>
                <w:sz w:val="20"/>
              </w:rPr>
              <w:t xml:space="preserve">Share</w:t>
            </w:r>
          </w:p>
        </w:tc>
        <w:tc>
          <w:tcPr>
            <w:tcW w:w="1624" w:type="dxa"/>
            <w:shd w:val="clear" w:fill="F4F2EE"/>
            <w:tcMar>
              <w:top w:w="40" w:type="dxa"/>
              <w:left w:w="80" w:type="dxa"/>
              <w:bottom w:w="40" w:type="dxa"/>
              <w:right w:w="80" w:type="dxa"/>
            </w:tcMar>
          </w:tcPr>
          <w:p>
            <w:pPr>
              <w:spacing w:before="20" w:after="20" w:line="240" w:lineRule="auto"/>
            </w:pPr>
            <w:r>
              <w:rPr>
                <w:b/>
                <w:color w:val="1A2744"/>
                <w:sz w:val="20"/>
              </w:rPr>
              <w:t xml:space="preserve">Peak Annual GDP</w:t>
            </w:r>
          </w:p>
        </w:tc>
        <w:tc>
          <w:tcPr>
            <w:tcW w:w="1627" w:type="dxa"/>
            <w:shd w:val="clear" w:fill="F4F2EE"/>
            <w:tcMar>
              <w:top w:w="40" w:type="dxa"/>
              <w:left w:w="80" w:type="dxa"/>
              <w:bottom w:w="40" w:type="dxa"/>
              <w:right w:w="80" w:type="dxa"/>
            </w:tcMar>
          </w:tcPr>
          <w:p>
            <w:pPr>
              <w:spacing w:before="20" w:after="20" w:line="240" w:lineRule="auto"/>
            </w:pPr>
            <w:r>
              <w:rPr>
                <w:b/>
                <w:color w:val="1A2744"/>
                <w:sz w:val="20"/>
              </w:rPr>
              <w:t xml:space="preserve">Peak Total Jobs</w:t>
            </w:r>
          </w:p>
        </w:tc>
      </w:tr>
      <w:tr>
        <w:tc>
          <w:tcPr>
            <w:tcW w:w="2527" w:type="dxa"/>
            <w:tcMar>
              <w:top w:w="40" w:type="dxa"/>
              <w:left w:w="80" w:type="dxa"/>
              <w:bottom w:w="40" w:type="dxa"/>
              <w:right w:w="80" w:type="dxa"/>
            </w:tcMar>
          </w:tcPr>
          <w:p>
            <w:pPr>
              <w:spacing w:before="20" w:after="20" w:line="240" w:lineRule="auto"/>
            </w:pPr>
            <w:r>
              <w:rPr>
                <w:color w:val="1A202C"/>
                <w:sz w:val="20"/>
              </w:rPr>
              <w:t xml:space="preserve">Quebec</w:t>
            </w:r>
          </w:p>
        </w:tc>
        <w:tc>
          <w:tcPr>
            <w:tcW w:w="1624" w:type="dxa"/>
            <w:tcMar>
              <w:top w:w="40" w:type="dxa"/>
              <w:left w:w="80" w:type="dxa"/>
              <w:bottom w:w="40" w:type="dxa"/>
              <w:right w:w="80" w:type="dxa"/>
            </w:tcMar>
          </w:tcPr>
          <w:p>
            <w:pPr>
              <w:spacing w:before="20" w:after="20" w:line="240" w:lineRule="auto"/>
            </w:pPr>
            <w:r>
              <w:rPr>
                <w:color w:val="1A202C"/>
                <w:sz w:val="20"/>
              </w:rPr>
              <w:t xml:space="preserve">$15.4B</w:t>
            </w:r>
          </w:p>
        </w:tc>
        <w:tc>
          <w:tcPr>
            <w:tcW w:w="1624" w:type="dxa"/>
            <w:tcMar>
              <w:top w:w="40" w:type="dxa"/>
              <w:left w:w="80" w:type="dxa"/>
              <w:bottom w:w="40" w:type="dxa"/>
              <w:right w:w="80" w:type="dxa"/>
            </w:tcMar>
          </w:tcPr>
          <w:p>
            <w:pPr>
              <w:spacing w:before="20" w:after="20" w:line="240" w:lineRule="auto"/>
            </w:pPr>
            <w:r>
              <w:rPr>
                <w:color w:val="1A202C"/>
                <w:sz w:val="20"/>
              </w:rPr>
              <w:t xml:space="preserve">44%</w:t>
            </w:r>
          </w:p>
        </w:tc>
        <w:tc>
          <w:tcPr>
            <w:tcW w:w="1624" w:type="dxa"/>
            <w:tcMar>
              <w:top w:w="40" w:type="dxa"/>
              <w:left w:w="80" w:type="dxa"/>
              <w:bottom w:w="40" w:type="dxa"/>
              <w:right w:w="80" w:type="dxa"/>
            </w:tcMar>
          </w:tcPr>
          <w:p>
            <w:pPr>
              <w:spacing w:before="20" w:after="20" w:line="240" w:lineRule="auto"/>
            </w:pPr>
            <w:r>
              <w:rPr>
                <w:color w:val="1A202C"/>
                <w:sz w:val="20"/>
              </w:rPr>
              <w:t xml:space="preserve">$1.7B</w:t>
            </w:r>
          </w:p>
        </w:tc>
        <w:tc>
          <w:tcPr>
            <w:tcW w:w="1627" w:type="dxa"/>
            <w:tcMar>
              <w:top w:w="40" w:type="dxa"/>
              <w:left w:w="80" w:type="dxa"/>
              <w:bottom w:w="40" w:type="dxa"/>
              <w:right w:w="80" w:type="dxa"/>
            </w:tcMar>
          </w:tcPr>
          <w:p>
            <w:pPr>
              <w:spacing w:before="20" w:after="20" w:line="240" w:lineRule="auto"/>
            </w:pPr>
            <w:r>
              <w:rPr>
                <w:color w:val="1A202C"/>
                <w:sz w:val="20"/>
              </w:rPr>
              <w:t xml:space="preserve">12,880</w:t>
            </w:r>
          </w:p>
        </w:tc>
      </w:tr>
      <w:tr>
        <w:tc>
          <w:tcPr>
            <w:tcW w:w="2527" w:type="dxa"/>
            <w:tcMar>
              <w:top w:w="40" w:type="dxa"/>
              <w:left w:w="80" w:type="dxa"/>
              <w:bottom w:w="40" w:type="dxa"/>
              <w:right w:w="80" w:type="dxa"/>
            </w:tcMar>
          </w:tcPr>
          <w:p>
            <w:pPr>
              <w:spacing w:before="20" w:after="20" w:line="240" w:lineRule="auto"/>
            </w:pPr>
            <w:r>
              <w:rPr>
                <w:color w:val="1A202C"/>
                <w:sz w:val="20"/>
              </w:rPr>
              <w:t xml:space="preserve">Ontario</w:t>
            </w:r>
          </w:p>
        </w:tc>
        <w:tc>
          <w:tcPr>
            <w:tcW w:w="1624" w:type="dxa"/>
            <w:tcMar>
              <w:top w:w="40" w:type="dxa"/>
              <w:left w:w="80" w:type="dxa"/>
              <w:bottom w:w="40" w:type="dxa"/>
              <w:right w:w="80" w:type="dxa"/>
            </w:tcMar>
          </w:tcPr>
          <w:p>
            <w:pPr>
              <w:spacing w:before="20" w:after="20" w:line="240" w:lineRule="auto"/>
            </w:pPr>
            <w:r>
              <w:rPr>
                <w:color w:val="1A202C"/>
                <w:sz w:val="20"/>
              </w:rPr>
              <w:t xml:space="preserve">$10.9B</w:t>
            </w:r>
          </w:p>
        </w:tc>
        <w:tc>
          <w:tcPr>
            <w:tcW w:w="1624" w:type="dxa"/>
            <w:tcMar>
              <w:top w:w="40" w:type="dxa"/>
              <w:left w:w="80" w:type="dxa"/>
              <w:bottom w:w="40" w:type="dxa"/>
              <w:right w:w="80" w:type="dxa"/>
            </w:tcMar>
          </w:tcPr>
          <w:p>
            <w:pPr>
              <w:spacing w:before="20" w:after="20" w:line="240" w:lineRule="auto"/>
            </w:pPr>
            <w:r>
              <w:rPr>
                <w:color w:val="1A202C"/>
                <w:sz w:val="20"/>
              </w:rPr>
              <w:t xml:space="preserve">31%</w:t>
            </w:r>
          </w:p>
        </w:tc>
        <w:tc>
          <w:tcPr>
            <w:tcW w:w="1624" w:type="dxa"/>
            <w:tcMar>
              <w:top w:w="40" w:type="dxa"/>
              <w:left w:w="80" w:type="dxa"/>
              <w:bottom w:w="40" w:type="dxa"/>
              <w:right w:w="80" w:type="dxa"/>
            </w:tcMar>
          </w:tcPr>
          <w:p>
            <w:pPr>
              <w:spacing w:before="20" w:after="20" w:line="240" w:lineRule="auto"/>
            </w:pPr>
            <w:r>
              <w:rPr>
                <w:color w:val="1A202C"/>
                <w:sz w:val="20"/>
              </w:rPr>
              <w:t xml:space="preserve">$1.2B</w:t>
            </w:r>
          </w:p>
        </w:tc>
        <w:tc>
          <w:tcPr>
            <w:tcW w:w="1627" w:type="dxa"/>
            <w:tcMar>
              <w:top w:w="40" w:type="dxa"/>
              <w:left w:w="80" w:type="dxa"/>
              <w:bottom w:w="40" w:type="dxa"/>
              <w:right w:w="80" w:type="dxa"/>
            </w:tcMar>
          </w:tcPr>
          <w:p>
            <w:pPr>
              <w:spacing w:before="20" w:after="20" w:line="240" w:lineRule="auto"/>
            </w:pPr>
            <w:r>
              <w:rPr>
                <w:color w:val="1A202C"/>
                <w:sz w:val="20"/>
              </w:rPr>
              <w:t xml:space="preserve">8,991</w:t>
            </w:r>
          </w:p>
        </w:tc>
      </w:tr>
      <w:tr>
        <w:tc>
          <w:tcPr>
            <w:tcW w:w="2527" w:type="dxa"/>
            <w:tcMar>
              <w:top w:w="40" w:type="dxa"/>
              <w:left w:w="80" w:type="dxa"/>
              <w:bottom w:w="40" w:type="dxa"/>
              <w:right w:w="80" w:type="dxa"/>
            </w:tcMar>
          </w:tcPr>
          <w:p>
            <w:pPr>
              <w:spacing w:before="20" w:after="20" w:line="240" w:lineRule="auto"/>
            </w:pPr>
            <w:r>
              <w:rPr>
                <w:color w:val="1A202C"/>
                <w:sz w:val="20"/>
              </w:rPr>
              <w:t xml:space="preserve">Western Canada</w:t>
            </w:r>
          </w:p>
        </w:tc>
        <w:tc>
          <w:tcPr>
            <w:tcW w:w="1624" w:type="dxa"/>
            <w:tcMar>
              <w:top w:w="40" w:type="dxa"/>
              <w:left w:w="80" w:type="dxa"/>
              <w:bottom w:w="40" w:type="dxa"/>
              <w:right w:w="80" w:type="dxa"/>
            </w:tcMar>
          </w:tcPr>
          <w:p>
            <w:pPr>
              <w:spacing w:before="20" w:after="20" w:line="240" w:lineRule="auto"/>
            </w:pPr>
            <w:r>
              <w:rPr>
                <w:color w:val="1A202C"/>
                <w:sz w:val="20"/>
              </w:rPr>
              <w:t xml:space="preserve">$4.9B</w:t>
            </w:r>
          </w:p>
        </w:tc>
        <w:tc>
          <w:tcPr>
            <w:tcW w:w="1624" w:type="dxa"/>
            <w:tcMar>
              <w:top w:w="40" w:type="dxa"/>
              <w:left w:w="80" w:type="dxa"/>
              <w:bottom w:w="40" w:type="dxa"/>
              <w:right w:w="80" w:type="dxa"/>
            </w:tcMar>
          </w:tcPr>
          <w:p>
            <w:pPr>
              <w:spacing w:before="20" w:after="20" w:line="240" w:lineRule="auto"/>
            </w:pPr>
            <w:r>
              <w:rPr>
                <w:color w:val="1A202C"/>
                <w:sz w:val="20"/>
              </w:rPr>
              <w:t xml:space="preserve">14%</w:t>
            </w:r>
          </w:p>
        </w:tc>
        <w:tc>
          <w:tcPr>
            <w:tcW w:w="1624" w:type="dxa"/>
            <w:tcMar>
              <w:top w:w="40" w:type="dxa"/>
              <w:left w:w="80" w:type="dxa"/>
              <w:bottom w:w="40" w:type="dxa"/>
              <w:right w:w="80" w:type="dxa"/>
            </w:tcMar>
          </w:tcPr>
          <w:p>
            <w:pPr>
              <w:spacing w:before="20" w:after="20" w:line="240" w:lineRule="auto"/>
            </w:pPr>
            <w:r>
              <w:rPr>
                <w:color w:val="1A202C"/>
                <w:sz w:val="20"/>
              </w:rPr>
              <w:t xml:space="preserve">$0.5B</w:t>
            </w:r>
          </w:p>
        </w:tc>
        <w:tc>
          <w:tcPr>
            <w:tcW w:w="1627" w:type="dxa"/>
            <w:tcMar>
              <w:top w:w="40" w:type="dxa"/>
              <w:left w:w="80" w:type="dxa"/>
              <w:bottom w:w="40" w:type="dxa"/>
              <w:right w:w="80" w:type="dxa"/>
            </w:tcMar>
          </w:tcPr>
          <w:p>
            <w:pPr>
              <w:spacing w:before="20" w:after="20" w:line="240" w:lineRule="auto"/>
            </w:pPr>
            <w:r>
              <w:rPr>
                <w:color w:val="1A202C"/>
                <w:sz w:val="20"/>
              </w:rPr>
              <w:t xml:space="preserve">4,131</w:t>
            </w:r>
          </w:p>
        </w:tc>
      </w:tr>
      <w:tr>
        <w:tc>
          <w:tcPr>
            <w:tcW w:w="2527" w:type="dxa"/>
            <w:tcMar>
              <w:top w:w="40" w:type="dxa"/>
              <w:left w:w="80" w:type="dxa"/>
              <w:bottom w:w="40" w:type="dxa"/>
              <w:right w:w="80" w:type="dxa"/>
            </w:tcMar>
          </w:tcPr>
          <w:p>
            <w:pPr>
              <w:spacing w:before="20" w:after="20" w:line="240" w:lineRule="auto"/>
            </w:pPr>
            <w:r>
              <w:rPr>
                <w:color w:val="1A202C"/>
                <w:sz w:val="20"/>
              </w:rPr>
              <w:t xml:space="preserve">Atlantic Canada</w:t>
            </w:r>
          </w:p>
        </w:tc>
        <w:tc>
          <w:tcPr>
            <w:tcW w:w="1624" w:type="dxa"/>
            <w:tcMar>
              <w:top w:w="40" w:type="dxa"/>
              <w:left w:w="80" w:type="dxa"/>
              <w:bottom w:w="40" w:type="dxa"/>
              <w:right w:w="80" w:type="dxa"/>
            </w:tcMar>
          </w:tcPr>
          <w:p>
            <w:pPr>
              <w:spacing w:before="20" w:after="20" w:line="240" w:lineRule="auto"/>
            </w:pPr>
            <w:r>
              <w:rPr>
                <w:color w:val="1A202C"/>
                <w:sz w:val="20"/>
              </w:rPr>
              <w:t xml:space="preserve">$2.1B</w:t>
            </w:r>
          </w:p>
        </w:tc>
        <w:tc>
          <w:tcPr>
            <w:tcW w:w="1624" w:type="dxa"/>
            <w:tcMar>
              <w:top w:w="40" w:type="dxa"/>
              <w:left w:w="80" w:type="dxa"/>
              <w:bottom w:w="40" w:type="dxa"/>
              <w:right w:w="80" w:type="dxa"/>
            </w:tcMar>
          </w:tcPr>
          <w:p>
            <w:pPr>
              <w:spacing w:before="20" w:after="20" w:line="240" w:lineRule="auto"/>
            </w:pPr>
            <w:r>
              <w:rPr>
                <w:color w:val="1A202C"/>
                <w:sz w:val="20"/>
              </w:rPr>
              <w:t xml:space="preserve">6%</w:t>
            </w:r>
          </w:p>
        </w:tc>
        <w:tc>
          <w:tcPr>
            <w:tcW w:w="1624" w:type="dxa"/>
            <w:tcMar>
              <w:top w:w="40" w:type="dxa"/>
              <w:left w:w="80" w:type="dxa"/>
              <w:bottom w:w="40" w:type="dxa"/>
              <w:right w:w="80" w:type="dxa"/>
            </w:tcMar>
          </w:tcPr>
          <w:p>
            <w:pPr>
              <w:spacing w:before="20" w:after="20" w:line="240" w:lineRule="auto"/>
            </w:pPr>
            <w:r>
              <w:rPr>
                <w:color w:val="1A202C"/>
                <w:sz w:val="20"/>
              </w:rPr>
              <w:t xml:space="preserve">$0.2B</w:t>
            </w:r>
          </w:p>
        </w:tc>
        <w:tc>
          <w:tcPr>
            <w:tcW w:w="1627" w:type="dxa"/>
            <w:tcMar>
              <w:top w:w="40" w:type="dxa"/>
              <w:left w:w="80" w:type="dxa"/>
              <w:bottom w:w="40" w:type="dxa"/>
              <w:right w:w="80" w:type="dxa"/>
            </w:tcMar>
          </w:tcPr>
          <w:p>
            <w:pPr>
              <w:spacing w:before="20" w:after="20" w:line="240" w:lineRule="auto"/>
            </w:pPr>
            <w:r>
              <w:rPr>
                <w:color w:val="1A202C"/>
                <w:sz w:val="20"/>
              </w:rPr>
              <w:t xml:space="preserve">1,701</w:t>
            </w:r>
          </w:p>
        </w:tc>
      </w:tr>
      <w:tr>
        <w:tc>
          <w:tcPr>
            <w:tcW w:w="2527" w:type="dxa"/>
            <w:tcMar>
              <w:top w:w="40" w:type="dxa"/>
              <w:left w:w="80" w:type="dxa"/>
              <w:bottom w:w="40" w:type="dxa"/>
              <w:right w:w="80" w:type="dxa"/>
            </w:tcMar>
          </w:tcPr>
          <w:p>
            <w:pPr>
              <w:spacing w:before="20" w:after="20" w:line="240" w:lineRule="auto"/>
            </w:pPr>
            <w:r>
              <w:rPr>
                <w:color w:val="1A202C"/>
                <w:sz w:val="20"/>
              </w:rPr>
              <w:t xml:space="preserve">Pan-Canadian</w:t>
            </w:r>
          </w:p>
        </w:tc>
        <w:tc>
          <w:tcPr>
            <w:tcW w:w="1624" w:type="dxa"/>
            <w:tcMar>
              <w:top w:w="40" w:type="dxa"/>
              <w:left w:w="80" w:type="dxa"/>
              <w:bottom w:w="40" w:type="dxa"/>
              <w:right w:w="80" w:type="dxa"/>
            </w:tcMar>
          </w:tcPr>
          <w:p>
            <w:pPr>
              <w:spacing w:before="20" w:after="20" w:line="240" w:lineRule="auto"/>
            </w:pPr>
            <w:r>
              <w:rPr>
                <w:color w:val="1A202C"/>
                <w:sz w:val="20"/>
              </w:rPr>
              <w:t xml:space="preserve">$1.7B</w:t>
            </w:r>
          </w:p>
        </w:tc>
        <w:tc>
          <w:tcPr>
            <w:tcW w:w="1624" w:type="dxa"/>
            <w:tcMar>
              <w:top w:w="40" w:type="dxa"/>
              <w:left w:w="80" w:type="dxa"/>
              <w:bottom w:w="40" w:type="dxa"/>
              <w:right w:w="80" w:type="dxa"/>
            </w:tcMar>
          </w:tcPr>
          <w:p>
            <w:pPr>
              <w:spacing w:before="20" w:after="20" w:line="240" w:lineRule="auto"/>
            </w:pPr>
            <w:r>
              <w:rPr>
                <w:color w:val="1A202C"/>
                <w:sz w:val="20"/>
              </w:rPr>
              <w:t xml:space="preserve">5%</w:t>
            </w:r>
          </w:p>
        </w:tc>
        <w:tc>
          <w:tcPr>
            <w:tcW w:w="1624" w:type="dxa"/>
            <w:tcMar>
              <w:top w:w="40" w:type="dxa"/>
              <w:left w:w="80" w:type="dxa"/>
              <w:bottom w:w="40" w:type="dxa"/>
              <w:right w:w="80" w:type="dxa"/>
            </w:tcMar>
          </w:tcPr>
          <w:p>
            <w:pPr>
              <w:spacing w:before="20" w:after="20" w:line="240" w:lineRule="auto"/>
            </w:pPr>
            <w:r>
              <w:rPr>
                <w:color w:val="1A202C"/>
                <w:sz w:val="20"/>
              </w:rPr>
              <w:t xml:space="preserve">$0.2B</w:t>
            </w:r>
          </w:p>
        </w:tc>
        <w:tc>
          <w:tcPr>
            <w:tcW w:w="1627" w:type="dxa"/>
            <w:tcMar>
              <w:top w:w="40" w:type="dxa"/>
              <w:left w:w="80" w:type="dxa"/>
              <w:bottom w:w="40" w:type="dxa"/>
              <w:right w:w="80" w:type="dxa"/>
            </w:tcMar>
          </w:tcPr>
          <w:p>
            <w:pPr>
              <w:spacing w:before="20" w:after="20" w:line="240" w:lineRule="auto"/>
            </w:pPr>
            <w:r>
              <w:rPr>
                <w:color w:val="1A202C"/>
                <w:sz w:val="20"/>
              </w:rPr>
              <w:t xml:space="preserve">1,458</w:t>
            </w:r>
          </w:p>
        </w:tc>
      </w:tr>
      <w:tr>
        <w:tc>
          <w:tcPr>
            <w:tcW w:w="2527" w:type="dxa"/>
            <w:tcMar>
              <w:top w:w="40" w:type="dxa"/>
              <w:left w:w="80" w:type="dxa"/>
              <w:bottom w:w="40" w:type="dxa"/>
              <w:right w:w="80" w:type="dxa"/>
            </w:tcMar>
          </w:tcPr>
          <w:p>
            <w:pPr>
              <w:spacing w:before="20" w:after="20" w:line="240" w:lineRule="auto"/>
            </w:pPr>
            <w:r>
              <w:rPr>
                <w:b/>
                <w:color w:val="1A202C"/>
                <w:sz w:val="20"/>
              </w:rPr>
              <w:t xml:space="preserve">CANADA TOTAL</w:t>
            </w:r>
          </w:p>
        </w:tc>
        <w:tc>
          <w:tcPr>
            <w:tcW w:w="1624" w:type="dxa"/>
            <w:tcMar>
              <w:top w:w="40" w:type="dxa"/>
              <w:left w:w="80" w:type="dxa"/>
              <w:bottom w:w="40" w:type="dxa"/>
              <w:right w:w="80" w:type="dxa"/>
            </w:tcMar>
          </w:tcPr>
          <w:p>
            <w:pPr>
              <w:spacing w:before="20" w:after="20" w:line="240" w:lineRule="auto"/>
            </w:pPr>
            <w:r>
              <w:rPr>
                <w:b/>
                <w:color w:val="1A202C"/>
                <w:sz w:val="20"/>
              </w:rPr>
              <w:t xml:space="preserve">$35.0B</w:t>
            </w:r>
          </w:p>
        </w:tc>
        <w:tc>
          <w:tcPr>
            <w:tcW w:w="1624" w:type="dxa"/>
            <w:tcMar>
              <w:top w:w="40" w:type="dxa"/>
              <w:left w:w="80" w:type="dxa"/>
              <w:bottom w:w="40" w:type="dxa"/>
              <w:right w:w="80" w:type="dxa"/>
            </w:tcMar>
          </w:tcPr>
          <w:p>
            <w:pPr>
              <w:spacing w:before="20" w:after="20" w:line="240" w:lineRule="auto"/>
            </w:pPr>
            <w:r>
              <w:rPr>
                <w:b/>
                <w:color w:val="1A202C"/>
                <w:sz w:val="20"/>
              </w:rPr>
              <w:t xml:space="preserve">100%</w:t>
            </w:r>
          </w:p>
        </w:tc>
        <w:tc>
          <w:tcPr>
            <w:tcW w:w="1624" w:type="dxa"/>
            <w:tcMar>
              <w:top w:w="40" w:type="dxa"/>
              <w:left w:w="80" w:type="dxa"/>
              <w:bottom w:w="40" w:type="dxa"/>
              <w:right w:w="80" w:type="dxa"/>
            </w:tcMar>
          </w:tcPr>
          <w:p>
            <w:pPr>
              <w:spacing w:before="20" w:after="20" w:line="240" w:lineRule="auto"/>
            </w:pPr>
            <w:r>
              <w:rPr>
                <w:b/>
                <w:color w:val="1A202C"/>
                <w:sz w:val="20"/>
              </w:rPr>
              <w:t xml:space="preserve">$3.9B</w:t>
            </w:r>
          </w:p>
        </w:tc>
        <w:tc>
          <w:tcPr>
            <w:tcW w:w="1627" w:type="dxa"/>
            <w:tcMar>
              <w:top w:w="40" w:type="dxa"/>
              <w:left w:w="80" w:type="dxa"/>
              <w:bottom w:w="40" w:type="dxa"/>
              <w:right w:w="80" w:type="dxa"/>
            </w:tcMar>
          </w:tcPr>
          <w:p>
            <w:pPr>
              <w:spacing w:before="20" w:after="20" w:line="240" w:lineRule="auto"/>
            </w:pPr>
            <w:r>
              <w:rPr>
                <w:b/>
                <w:color w:val="1A202C"/>
                <w:sz w:val="20"/>
              </w:rPr>
              <w:t xml:space="preserve">29,161</w:t>
            </w:r>
          </w:p>
        </w:tc>
      </w:tr>
    </w:tbl>
    <w:p>
      <w:pPr>
        <w:pStyle w:val="Heading1"/>
      </w:pPr>
      <w:r>
        <w:t>PART VII: SUPPLY CHAIN DEVELOPMENT AND SME IMPACT</w:t>
      </w:r>
    </w:p>
    <w:p>
      <w:pPr>
        <w:pStyle w:val="Heading2"/>
      </w:pPr>
      <w:r>
        <w:t>7.1 Supply Chain Tiers</w:t>
      </w:r>
    </w:p>
    <w:tbl>
      <w:tblPr>
        <w:tblW w:w="5000" w:type="pct"/>
        <w:tblBorders>
          <w:top w:val="single" w:color="1A2744" w:sz="12"/>
          <w:left w:val="nil"/>
          <w:bottom w:val="single" w:color="1A2744" w:sz="12"/>
          <w:right w:val="nil"/>
          <w:insideH w:val="single" w:color="C8C4BC" w:sz="4"/>
          <w:insideV w:val="nil"/>
        </w:tblBorders>
      </w:tblPr>
      <w:tblGrid>
        <w:gridCol w:w="1083"/>
        <w:gridCol w:w="3068"/>
        <w:gridCol w:w="2346"/>
        <w:gridCol w:w="1263"/>
        <w:gridCol w:w="1266"/>
      </w:tblGrid>
      <w:tr>
        <w:trPr>
          <w:tblHeader/>
        </w:trPr>
        <w:tc>
          <w:tcPr>
            <w:tcW w:w="1083" w:type="dxa"/>
            <w:shd w:val="clear" w:fill="F4F2EE"/>
            <w:tcMar>
              <w:top w:w="40" w:type="dxa"/>
              <w:left w:w="80" w:type="dxa"/>
              <w:bottom w:w="40" w:type="dxa"/>
              <w:right w:w="80" w:type="dxa"/>
            </w:tcMar>
          </w:tcPr>
          <w:p>
            <w:pPr>
              <w:spacing w:before="20" w:after="20" w:line="240" w:lineRule="auto"/>
            </w:pPr>
            <w:r>
              <w:rPr>
                <w:b/>
                <w:color w:val="1A2744"/>
                <w:sz w:val="20"/>
              </w:rPr>
              <w:t xml:space="preserve">Tier</w:t>
            </w:r>
          </w:p>
        </w:tc>
        <w:tc>
          <w:tcPr>
            <w:tcW w:w="3068" w:type="dxa"/>
            <w:shd w:val="clear" w:fill="F4F2EE"/>
            <w:tcMar>
              <w:top w:w="40" w:type="dxa"/>
              <w:left w:w="80" w:type="dxa"/>
              <w:bottom w:w="40" w:type="dxa"/>
              <w:right w:w="80" w:type="dxa"/>
            </w:tcMar>
          </w:tcPr>
          <w:p>
            <w:pPr>
              <w:spacing w:before="20" w:after="20" w:line="240" w:lineRule="auto"/>
            </w:pPr>
            <w:r>
              <w:rPr>
                <w:b/>
                <w:color w:val="1A2744"/>
                <w:sz w:val="20"/>
              </w:rPr>
              <w:t xml:space="preserve">Description</w:t>
            </w:r>
          </w:p>
        </w:tc>
        <w:tc>
          <w:tcPr>
            <w:tcW w:w="2346" w:type="dxa"/>
            <w:shd w:val="clear" w:fill="F4F2EE"/>
            <w:tcMar>
              <w:top w:w="40" w:type="dxa"/>
              <w:left w:w="80" w:type="dxa"/>
              <w:bottom w:w="40" w:type="dxa"/>
              <w:right w:w="80" w:type="dxa"/>
            </w:tcMar>
          </w:tcPr>
          <w:p>
            <w:pPr>
              <w:spacing w:before="20" w:after="20" w:line="240" w:lineRule="auto"/>
            </w:pPr>
            <w:r>
              <w:rPr>
                <w:b/>
                <w:color w:val="1A2744"/>
                <w:sz w:val="20"/>
              </w:rPr>
              <w:t xml:space="preserve">Example Suppliers</w:t>
            </w:r>
          </w:p>
        </w:tc>
        <w:tc>
          <w:tcPr>
            <w:tcW w:w="1263" w:type="dxa"/>
            <w:shd w:val="clear" w:fill="F4F2EE"/>
            <w:tcMar>
              <w:top w:w="40" w:type="dxa"/>
              <w:left w:w="80" w:type="dxa"/>
              <w:bottom w:w="40" w:type="dxa"/>
              <w:right w:w="80" w:type="dxa"/>
            </w:tcMar>
          </w:tcPr>
          <w:p>
            <w:pPr>
              <w:spacing w:before="20" w:after="20" w:line="240" w:lineRule="auto"/>
            </w:pPr>
            <w:r>
              <w:rPr>
                <w:b/>
                <w:color w:val="1A2744"/>
                <w:sz w:val="20"/>
              </w:rPr>
              <w:t xml:space="preserve">Est. Jobs</w:t>
            </w:r>
          </w:p>
        </w:tc>
        <w:tc>
          <w:tcPr>
            <w:tcW w:w="1266" w:type="dxa"/>
            <w:shd w:val="clear" w:fill="F4F2EE"/>
            <w:tcMar>
              <w:top w:w="40" w:type="dxa"/>
              <w:left w:w="80" w:type="dxa"/>
              <w:bottom w:w="40" w:type="dxa"/>
              <w:right w:w="80" w:type="dxa"/>
            </w:tcMar>
          </w:tcPr>
          <w:p>
            <w:pPr>
              <w:spacing w:before="20" w:after="20" w:line="240" w:lineRule="auto"/>
            </w:pPr>
            <w:r>
              <w:rPr>
                <w:b/>
                <w:color w:val="1A2744"/>
                <w:sz w:val="20"/>
              </w:rPr>
              <w:t xml:space="preserve">Direct GDP</w:t>
            </w:r>
          </w:p>
        </w:tc>
      </w:tr>
      <w:tr>
        <w:tc>
          <w:tcPr>
            <w:tcW w:w="1083" w:type="dxa"/>
            <w:tcMar>
              <w:top w:w="40" w:type="dxa"/>
              <w:left w:w="80" w:type="dxa"/>
              <w:bottom w:w="40" w:type="dxa"/>
              <w:right w:w="80" w:type="dxa"/>
            </w:tcMar>
          </w:tcPr>
          <w:p>
            <w:pPr>
              <w:spacing w:before="20" w:after="20" w:line="240" w:lineRule="auto"/>
            </w:pPr>
            <w:r>
              <w:rPr>
                <w:color w:val="1A202C"/>
                <w:sz w:val="20"/>
              </w:rPr>
              <w:t xml:space="preserve">Tier 1</w:t>
            </w:r>
          </w:p>
        </w:tc>
        <w:tc>
          <w:tcPr>
            <w:tcW w:w="3068" w:type="dxa"/>
            <w:tcMar>
              <w:top w:w="40" w:type="dxa"/>
              <w:left w:w="80" w:type="dxa"/>
              <w:bottom w:w="40" w:type="dxa"/>
              <w:right w:w="80" w:type="dxa"/>
            </w:tcMar>
          </w:tcPr>
          <w:p>
            <w:pPr>
              <w:spacing w:before="20" w:after="20" w:line="240" w:lineRule="auto"/>
            </w:pPr>
            <w:r>
              <w:rPr>
                <w:color w:val="1A202C"/>
                <w:sz w:val="20"/>
              </w:rPr>
              <w:t xml:space="preserve">Final assembly, engines, mission systems</w:t>
            </w:r>
          </w:p>
        </w:tc>
        <w:tc>
          <w:tcPr>
            <w:tcW w:w="2346" w:type="dxa"/>
            <w:tcMar>
              <w:top w:w="40" w:type="dxa"/>
              <w:left w:w="80" w:type="dxa"/>
              <w:bottom w:w="40" w:type="dxa"/>
              <w:right w:w="80" w:type="dxa"/>
            </w:tcMar>
          </w:tcPr>
          <w:p>
            <w:pPr>
              <w:spacing w:before="20" w:after="20" w:line="240" w:lineRule="auto"/>
            </w:pPr>
            <w:r>
              <w:rPr>
                <w:color w:val="1A202C"/>
                <w:sz w:val="20"/>
              </w:rPr>
              <w:t xml:space="preserve">Bombardier-class, P&amp;WC, CAE, MDA</w:t>
            </w:r>
          </w:p>
        </w:tc>
        <w:tc>
          <w:tcPr>
            <w:tcW w:w="1263" w:type="dxa"/>
            <w:tcMar>
              <w:top w:w="40" w:type="dxa"/>
              <w:left w:w="80" w:type="dxa"/>
              <w:bottom w:w="40" w:type="dxa"/>
              <w:right w:w="80" w:type="dxa"/>
            </w:tcMar>
          </w:tcPr>
          <w:p>
            <w:pPr>
              <w:spacing w:before="20" w:after="20" w:line="240" w:lineRule="auto"/>
            </w:pPr>
            <w:r>
              <w:rPr>
                <w:color w:val="1A202C"/>
                <w:sz w:val="20"/>
              </w:rPr>
              <w:t xml:space="preserve">4,200</w:t>
            </w:r>
          </w:p>
        </w:tc>
        <w:tc>
          <w:tcPr>
            <w:tcW w:w="1266" w:type="dxa"/>
            <w:tcMar>
              <w:top w:w="40" w:type="dxa"/>
              <w:left w:w="80" w:type="dxa"/>
              <w:bottom w:w="40" w:type="dxa"/>
              <w:right w:w="80" w:type="dxa"/>
            </w:tcMar>
          </w:tcPr>
          <w:p>
            <w:pPr>
              <w:spacing w:before="20" w:after="20" w:line="240" w:lineRule="auto"/>
            </w:pPr>
            <w:r>
              <w:rPr>
                <w:color w:val="1A202C"/>
                <w:sz w:val="20"/>
              </w:rPr>
              <w:t xml:space="preserve">$6.7B</w:t>
            </w:r>
          </w:p>
        </w:tc>
      </w:tr>
      <w:tr>
        <w:tc>
          <w:tcPr>
            <w:tcW w:w="1083" w:type="dxa"/>
            <w:tcMar>
              <w:top w:w="40" w:type="dxa"/>
              <w:left w:w="80" w:type="dxa"/>
              <w:bottom w:w="40" w:type="dxa"/>
              <w:right w:w="80" w:type="dxa"/>
            </w:tcMar>
          </w:tcPr>
          <w:p>
            <w:pPr>
              <w:spacing w:before="20" w:after="20" w:line="240" w:lineRule="auto"/>
            </w:pPr>
            <w:r>
              <w:rPr>
                <w:color w:val="1A202C"/>
                <w:sz w:val="20"/>
              </w:rPr>
              <w:t xml:space="preserve">Tier 2</w:t>
            </w:r>
          </w:p>
        </w:tc>
        <w:tc>
          <w:tcPr>
            <w:tcW w:w="3068" w:type="dxa"/>
            <w:tcMar>
              <w:top w:w="40" w:type="dxa"/>
              <w:left w:w="80" w:type="dxa"/>
              <w:bottom w:w="40" w:type="dxa"/>
              <w:right w:w="80" w:type="dxa"/>
            </w:tcMar>
          </w:tcPr>
          <w:p>
            <w:pPr>
              <w:spacing w:before="20" w:after="20" w:line="240" w:lineRule="auto"/>
            </w:pPr>
            <w:r>
              <w:rPr>
                <w:color w:val="1A202C"/>
                <w:sz w:val="20"/>
              </w:rPr>
              <w:t xml:space="preserve">Composites, gear, actuators, coating</w:t>
            </w:r>
          </w:p>
        </w:tc>
        <w:tc>
          <w:tcPr>
            <w:tcW w:w="2346" w:type="dxa"/>
            <w:tcMar>
              <w:top w:w="40" w:type="dxa"/>
              <w:left w:w="80" w:type="dxa"/>
              <w:bottom w:w="40" w:type="dxa"/>
              <w:right w:w="80" w:type="dxa"/>
            </w:tcMar>
          </w:tcPr>
          <w:p>
            <w:pPr>
              <w:spacing w:before="20" w:after="20" w:line="240" w:lineRule="auto"/>
            </w:pPr>
            <w:r>
              <w:rPr>
                <w:color w:val="1A202C"/>
                <w:sz w:val="20"/>
              </w:rPr>
              <w:t xml:space="preserve">Magellan-class, Heroux-Devtek-class</w:t>
            </w:r>
          </w:p>
        </w:tc>
        <w:tc>
          <w:tcPr>
            <w:tcW w:w="1263" w:type="dxa"/>
            <w:tcMar>
              <w:top w:w="40" w:type="dxa"/>
              <w:left w:w="80" w:type="dxa"/>
              <w:bottom w:w="40" w:type="dxa"/>
              <w:right w:w="80" w:type="dxa"/>
            </w:tcMar>
          </w:tcPr>
          <w:p>
            <w:pPr>
              <w:spacing w:before="20" w:after="20" w:line="240" w:lineRule="auto"/>
            </w:pPr>
            <w:r>
              <w:rPr>
                <w:color w:val="1A202C"/>
                <w:sz w:val="20"/>
              </w:rPr>
              <w:t xml:space="preserve">4,600</w:t>
            </w:r>
          </w:p>
        </w:tc>
        <w:tc>
          <w:tcPr>
            <w:tcW w:w="1266" w:type="dxa"/>
            <w:tcMar>
              <w:top w:w="40" w:type="dxa"/>
              <w:left w:w="80" w:type="dxa"/>
              <w:bottom w:w="40" w:type="dxa"/>
              <w:right w:w="80" w:type="dxa"/>
            </w:tcMar>
          </w:tcPr>
          <w:p>
            <w:pPr>
              <w:spacing w:before="20" w:after="20" w:line="240" w:lineRule="auto"/>
            </w:pPr>
            <w:r>
              <w:rPr>
                <w:color w:val="1A202C"/>
                <w:sz w:val="20"/>
              </w:rPr>
              <w:t xml:space="preserve">$5.4B</w:t>
            </w:r>
          </w:p>
        </w:tc>
      </w:tr>
      <w:tr>
        <w:tc>
          <w:tcPr>
            <w:tcW w:w="1083" w:type="dxa"/>
            <w:tcMar>
              <w:top w:w="40" w:type="dxa"/>
              <w:left w:w="80" w:type="dxa"/>
              <w:bottom w:w="40" w:type="dxa"/>
              <w:right w:w="80" w:type="dxa"/>
            </w:tcMar>
          </w:tcPr>
          <w:p>
            <w:pPr>
              <w:spacing w:before="20" w:after="20" w:line="240" w:lineRule="auto"/>
            </w:pPr>
            <w:r>
              <w:rPr>
                <w:color w:val="1A202C"/>
                <w:sz w:val="20"/>
              </w:rPr>
              <w:t xml:space="preserve">Tier 3</w:t>
            </w:r>
          </w:p>
        </w:tc>
        <w:tc>
          <w:tcPr>
            <w:tcW w:w="3068" w:type="dxa"/>
            <w:tcMar>
              <w:top w:w="40" w:type="dxa"/>
              <w:left w:w="80" w:type="dxa"/>
              <w:bottom w:w="40" w:type="dxa"/>
              <w:right w:w="80" w:type="dxa"/>
            </w:tcMar>
          </w:tcPr>
          <w:p>
            <w:pPr>
              <w:spacing w:before="20" w:after="20" w:line="240" w:lineRule="auto"/>
            </w:pPr>
            <w:r>
              <w:rPr>
                <w:color w:val="1A202C"/>
                <w:sz w:val="20"/>
              </w:rPr>
              <w:t xml:space="preserve">Materials, fasteners, specialized services</w:t>
            </w:r>
          </w:p>
        </w:tc>
        <w:tc>
          <w:tcPr>
            <w:tcW w:w="2346" w:type="dxa"/>
            <w:tcMar>
              <w:top w:w="40" w:type="dxa"/>
              <w:left w:w="80" w:type="dxa"/>
              <w:bottom w:w="40" w:type="dxa"/>
              <w:right w:w="80" w:type="dxa"/>
            </w:tcMar>
          </w:tcPr>
          <w:p>
            <w:pPr>
              <w:spacing w:before="20" w:after="20" w:line="240" w:lineRule="auto"/>
            </w:pPr>
            <w:r>
              <w:rPr>
                <w:color w:val="1A202C"/>
                <w:sz w:val="20"/>
              </w:rPr>
              <w:t xml:space="preserve">500+ SME suppliers</w:t>
            </w:r>
          </w:p>
        </w:tc>
        <w:tc>
          <w:tcPr>
            <w:tcW w:w="1263" w:type="dxa"/>
            <w:tcMar>
              <w:top w:w="40" w:type="dxa"/>
              <w:left w:w="80" w:type="dxa"/>
              <w:bottom w:w="40" w:type="dxa"/>
              <w:right w:w="80" w:type="dxa"/>
            </w:tcMar>
          </w:tcPr>
          <w:p>
            <w:pPr>
              <w:spacing w:before="20" w:after="20" w:line="240" w:lineRule="auto"/>
            </w:pPr>
            <w:r>
              <w:rPr>
                <w:color w:val="1A202C"/>
                <w:sz w:val="20"/>
              </w:rPr>
              <w:t xml:space="preserve">3,200</w:t>
            </w:r>
          </w:p>
        </w:tc>
        <w:tc>
          <w:tcPr>
            <w:tcW w:w="1266" w:type="dxa"/>
            <w:tcMar>
              <w:top w:w="40" w:type="dxa"/>
              <w:left w:w="80" w:type="dxa"/>
              <w:bottom w:w="40" w:type="dxa"/>
              <w:right w:w="80" w:type="dxa"/>
            </w:tcMar>
          </w:tcPr>
          <w:p>
            <w:pPr>
              <w:spacing w:before="20" w:after="20" w:line="240" w:lineRule="auto"/>
            </w:pPr>
            <w:r>
              <w:rPr>
                <w:color w:val="1A202C"/>
                <w:sz w:val="20"/>
              </w:rPr>
              <w:t xml:space="preserve">$3.9B</w:t>
            </w:r>
          </w:p>
        </w:tc>
      </w:tr>
      <w:tr>
        <w:tc>
          <w:tcPr>
            <w:tcW w:w="1083" w:type="dxa"/>
            <w:tcMar>
              <w:top w:w="40" w:type="dxa"/>
              <w:left w:w="80" w:type="dxa"/>
              <w:bottom w:w="40" w:type="dxa"/>
              <w:right w:w="80" w:type="dxa"/>
            </w:tcMar>
          </w:tcPr>
          <w:p>
            <w:pPr>
              <w:spacing w:before="20" w:after="20" w:line="240" w:lineRule="auto"/>
            </w:pPr>
            <w:r>
              <w:rPr>
                <w:b/>
                <w:color w:val="1A202C"/>
                <w:sz w:val="20"/>
              </w:rPr>
              <w:t xml:space="preserve">TOTAL</w:t>
            </w:r>
          </w:p>
        </w:tc>
        <w:tc>
          <w:tcPr>
            <w:tcW w:w="3068" w:type="dxa"/>
            <w:tcMar>
              <w:top w:w="40" w:type="dxa"/>
              <w:left w:w="80" w:type="dxa"/>
              <w:bottom w:w="40" w:type="dxa"/>
              <w:right w:w="80" w:type="dxa"/>
            </w:tcMar>
          </w:tcPr>
          <w:p>
            <w:pPr>
              <w:spacing w:before="20" w:after="20" w:line="240" w:lineRule="auto"/>
            </w:pPr>
            <w:r>
              <w:rPr>
                <w:b/>
                <w:color w:val="1A202C"/>
                <w:sz w:val="20"/>
              </w:rPr>
              <w:t xml:space="preserve">Three tiers</w:t>
            </w:r>
          </w:p>
        </w:tc>
        <w:tc>
          <w:tcPr>
            <w:tcW w:w="2346" w:type="dxa"/>
            <w:tcMar>
              <w:top w:w="40" w:type="dxa"/>
              <w:left w:w="80" w:type="dxa"/>
              <w:bottom w:w="40" w:type="dxa"/>
              <w:right w:w="80" w:type="dxa"/>
            </w:tcMar>
          </w:tcPr>
          <w:p>
            <w:pPr>
              <w:spacing w:before="20" w:after="20" w:line="240" w:lineRule="auto"/>
            </w:pPr>
            <w:r>
              <w:rPr>
                <w:b/>
                <w:color w:val="1A202C"/>
                <w:sz w:val="20"/>
              </w:rPr>
              <w:t xml:space="preserve">Pan-Canadian network</w:t>
            </w:r>
          </w:p>
        </w:tc>
        <w:tc>
          <w:tcPr>
            <w:tcW w:w="1263" w:type="dxa"/>
            <w:tcMar>
              <w:top w:w="40" w:type="dxa"/>
              <w:left w:w="80" w:type="dxa"/>
              <w:bottom w:w="40" w:type="dxa"/>
              <w:right w:w="80" w:type="dxa"/>
            </w:tcMar>
          </w:tcPr>
          <w:p>
            <w:pPr>
              <w:spacing w:before="20" w:after="20" w:line="240" w:lineRule="auto"/>
            </w:pPr>
            <w:r>
              <w:rPr>
                <w:b/>
                <w:color w:val="1A202C"/>
                <w:sz w:val="20"/>
              </w:rPr>
              <w:t xml:space="preserve">12,000</w:t>
            </w:r>
          </w:p>
        </w:tc>
        <w:tc>
          <w:tcPr>
            <w:tcW w:w="1266" w:type="dxa"/>
            <w:tcMar>
              <w:top w:w="40" w:type="dxa"/>
              <w:left w:w="80" w:type="dxa"/>
              <w:bottom w:w="40" w:type="dxa"/>
              <w:right w:w="80" w:type="dxa"/>
            </w:tcMar>
          </w:tcPr>
          <w:p>
            <w:pPr>
              <w:spacing w:before="20" w:after="20" w:line="240" w:lineRule="auto"/>
            </w:pPr>
            <w:r>
              <w:rPr>
                <w:b/>
                <w:color w:val="1A202C"/>
                <w:sz w:val="20"/>
              </w:rPr>
              <w:t xml:space="preserve">$16.0B</w:t>
            </w:r>
          </w:p>
        </w:tc>
      </w:tr>
    </w:tbl>
    <w:p>
      <w:pPr>
        <w:spacing w:after="180" w:line="288" w:lineRule="auto"/>
      </w:pPr>
      <w:r>
        <w:rPr>
          <w:b/>
        </w:rPr>
        <w:t xml:space="preserve">Context: </w:t>
      </w:r>
      <w:r>
        <w:t xml:space="preserve">Airbus draws on more than 850 Canadian suppliers, and Bombardier maintains over 1,550. The Aurora Arrow final assembly line alone engages an estimated 450 to 550 active suppliers at peak production, and the Industrial and Technological Benefits policy that governs offset obligations already contributes an estimated $5 billion to GDP and more than 40,000 jobs annually across the economy, a baseline the program expands substantially.</w:t>
      </w:r>
    </w:p>
    <w:p>
      <w:pPr>
        <w:pStyle w:val="Heading2"/>
      </w:pPr>
      <w:r>
        <w:t>7.2 SME Participation</w:t>
      </w:r>
    </w:p>
    <w:p>
      <w:pPr>
        <w:numPr>
          <w:ilvl w:val="0"/>
          <w:numId w:val="1"/>
        </w:numPr>
        <w:spacing w:after="180" w:line="288" w:lineRule="auto"/>
      </w:pPr>
      <w:r>
        <w:t xml:space="preserve">Canadian SMEs participating at peak: 550 to 650 active firms across the three tiers.</w:t>
      </w:r>
    </w:p>
    <w:p>
      <w:pPr>
        <w:numPr>
          <w:ilvl w:val="0"/>
          <w:numId w:val="1"/>
        </w:numPr>
        <w:spacing w:after="180" w:line="288" w:lineRule="auto"/>
      </w:pPr>
      <w:r>
        <w:t xml:space="preserve">Total contract value flowing to SMEs: $8.4 billion over the program phase.</w:t>
      </w:r>
    </w:p>
    <w:p>
      <w:pPr>
        <w:numPr>
          <w:ilvl w:val="0"/>
          <w:numId w:val="1"/>
        </w:numPr>
        <w:spacing w:after="180" w:line="288" w:lineRule="auto"/>
      </w:pPr>
      <w:r>
        <w:t xml:space="preserve">Regional distribution of SME work: Quebec 46%, Ontario 30%, Western Canada 14%, Atlantic Canada 10%.</w:t>
      </w:r>
    </w:p>
    <w:p>
      <w:pPr>
        <w:numPr>
          <w:ilvl w:val="0"/>
          <w:numId w:val="1"/>
        </w:numPr>
        <w:spacing w:after="180" w:line="288" w:lineRule="auto"/>
      </w:pPr>
      <w:r>
        <w:t xml:space="preserve">A 25% SME set-aside target applies to Tier 2 and Tier 3 contracts, mirroring the A220 program approach.</w:t>
      </w:r>
    </w:p>
    <w:p>
      <w:pPr>
        <w:spacing w:after="180" w:line="288" w:lineRule="auto"/>
      </w:pPr>
      <w:r>
        <w:t xml:space="preserve">The Defence Industrial Strategy supplies the SME financing stack directly: the $4 billion BDC Defence Platform for loans and venture capital, the $357.7 million Regional Defence Investment Initiative, and the $244 million NRC-IRAP Defence Industry Assist stream. The ITB reform package adds a Canadian Company Boost for firms reaching 70% to 100% Canadian Content Value and a multiplier for direct work with small and medium businesses, which pulls the engine partner's offset obligations into the same SME network.</w:t>
      </w:r>
    </w:p>
    <w:p>
      <w:pPr>
        <w:pStyle w:val="Heading1"/>
      </w:pPr>
      <w:r>
        <w:t>PART VIII: EXPORT MARKET POTENTIAL</w:t>
      </w:r>
    </w:p>
    <w:p>
      <w:pPr>
        <w:pStyle w:val="Heading2"/>
      </w:pPr>
      <w:r>
        <w:t>8.1 Global Market</w:t>
      </w:r>
    </w:p>
    <w:tbl>
      <w:tblPr>
        <w:tblW w:w="5000" w:type="pct"/>
        <w:tblBorders>
          <w:top w:val="single" w:color="1A2744" w:sz="12"/>
          <w:left w:val="nil"/>
          <w:bottom w:val="single" w:color="1A2744" w:sz="12"/>
          <w:right w:val="nil"/>
          <w:insideH w:val="single" w:color="C8C4BC" w:sz="4"/>
          <w:insideV w:val="nil"/>
        </w:tblBorders>
      </w:tblPr>
      <w:tblGrid>
        <w:gridCol w:w="3068"/>
        <w:gridCol w:w="1444"/>
        <w:gridCol w:w="1444"/>
        <w:gridCol w:w="1444"/>
        <w:gridCol w:w="1626"/>
      </w:tblGrid>
      <w:tr>
        <w:trPr>
          <w:tblHeader/>
        </w:trPr>
        <w:tc>
          <w:tcPr>
            <w:tcW w:w="3068" w:type="dxa"/>
            <w:shd w:val="clear" w:fill="F4F2EE"/>
            <w:tcMar>
              <w:top w:w="40" w:type="dxa"/>
              <w:left w:w="80" w:type="dxa"/>
              <w:bottom w:w="40" w:type="dxa"/>
              <w:right w:w="80" w:type="dxa"/>
            </w:tcMar>
          </w:tcPr>
          <w:p>
            <w:pPr>
              <w:spacing w:before="20" w:after="20" w:line="240" w:lineRule="auto"/>
            </w:pPr>
            <w:r>
              <w:rPr>
                <w:b/>
                <w:color w:val="1A2744"/>
                <w:sz w:val="20"/>
              </w:rPr>
              <w:t xml:space="preserve">Market Segment</w:t>
            </w:r>
          </w:p>
        </w:tc>
        <w:tc>
          <w:tcPr>
            <w:tcW w:w="1444" w:type="dxa"/>
            <w:shd w:val="clear" w:fill="F4F2EE"/>
            <w:tcMar>
              <w:top w:w="40" w:type="dxa"/>
              <w:left w:w="80" w:type="dxa"/>
              <w:bottom w:w="40" w:type="dxa"/>
              <w:right w:w="80" w:type="dxa"/>
            </w:tcMar>
          </w:tcPr>
          <w:p>
            <w:pPr>
              <w:spacing w:before="20" w:after="20" w:line="240" w:lineRule="auto"/>
            </w:pPr>
            <w:r>
              <w:rPr>
                <w:b/>
                <w:color w:val="1A2744"/>
                <w:sz w:val="20"/>
              </w:rPr>
              <w:t xml:space="preserve">2025 Value</w:t>
            </w:r>
          </w:p>
        </w:tc>
        <w:tc>
          <w:tcPr>
            <w:tcW w:w="1444" w:type="dxa"/>
            <w:shd w:val="clear" w:fill="F4F2EE"/>
            <w:tcMar>
              <w:top w:w="40" w:type="dxa"/>
              <w:left w:w="80" w:type="dxa"/>
              <w:bottom w:w="40" w:type="dxa"/>
              <w:right w:w="80" w:type="dxa"/>
            </w:tcMar>
          </w:tcPr>
          <w:p>
            <w:pPr>
              <w:spacing w:before="20" w:after="20" w:line="240" w:lineRule="auto"/>
            </w:pPr>
            <w:r>
              <w:rPr>
                <w:b/>
                <w:color w:val="1A2744"/>
                <w:sz w:val="20"/>
              </w:rPr>
              <w:t xml:space="preserve">2035 Forecast</w:t>
            </w:r>
          </w:p>
        </w:tc>
        <w:tc>
          <w:tcPr>
            <w:tcW w:w="1444" w:type="dxa"/>
            <w:shd w:val="clear" w:fill="F4F2EE"/>
            <w:tcMar>
              <w:top w:w="40" w:type="dxa"/>
              <w:left w:w="80" w:type="dxa"/>
              <w:bottom w:w="40" w:type="dxa"/>
              <w:right w:w="80" w:type="dxa"/>
            </w:tcMar>
          </w:tcPr>
          <w:p>
            <w:pPr>
              <w:spacing w:before="20" w:after="20" w:line="240" w:lineRule="auto"/>
            </w:pPr>
            <w:r>
              <w:rPr>
                <w:b/>
                <w:color w:val="1A2744"/>
                <w:sz w:val="20"/>
              </w:rPr>
              <w:t xml:space="preserve">2040 Forecast</w:t>
            </w:r>
          </w:p>
        </w:tc>
        <w:tc>
          <w:tcPr>
            <w:tcW w:w="1626" w:type="dxa"/>
            <w:shd w:val="clear" w:fill="F4F2EE"/>
            <w:tcMar>
              <w:top w:w="40" w:type="dxa"/>
              <w:left w:w="80" w:type="dxa"/>
              <w:bottom w:w="40" w:type="dxa"/>
              <w:right w:w="80" w:type="dxa"/>
            </w:tcMar>
          </w:tcPr>
          <w:p>
            <w:pPr>
              <w:spacing w:before="20" w:after="20" w:line="240" w:lineRule="auto"/>
            </w:pPr>
            <w:r>
              <w:rPr>
                <w:b/>
                <w:color w:val="1A2744"/>
                <w:sz w:val="20"/>
              </w:rPr>
              <w:t xml:space="preserve">CAGR</w:t>
            </w:r>
          </w:p>
        </w:tc>
      </w:tr>
      <w:tr>
        <w:tc>
          <w:tcPr>
            <w:tcW w:w="3068" w:type="dxa"/>
            <w:tcMar>
              <w:top w:w="40" w:type="dxa"/>
              <w:left w:w="80" w:type="dxa"/>
              <w:bottom w:w="40" w:type="dxa"/>
              <w:right w:w="80" w:type="dxa"/>
            </w:tcMar>
          </w:tcPr>
          <w:p>
            <w:pPr>
              <w:spacing w:before="20" w:after="20" w:line="240" w:lineRule="auto"/>
            </w:pPr>
            <w:r>
              <w:rPr>
                <w:color w:val="1A202C"/>
                <w:sz w:val="20"/>
              </w:rPr>
              <w:t xml:space="preserve">Loyal wingman / collaborative combat</w:t>
            </w:r>
          </w:p>
        </w:tc>
        <w:tc>
          <w:tcPr>
            <w:tcW w:w="1444" w:type="dxa"/>
            <w:tcMar>
              <w:top w:w="40" w:type="dxa"/>
              <w:left w:w="80" w:type="dxa"/>
              <w:bottom w:w="40" w:type="dxa"/>
              <w:right w:w="80" w:type="dxa"/>
            </w:tcMar>
          </w:tcPr>
          <w:p>
            <w:pPr>
              <w:spacing w:before="20" w:after="20" w:line="240" w:lineRule="auto"/>
            </w:pPr>
            <w:r>
              <w:rPr>
                <w:color w:val="1A202C"/>
                <w:sz w:val="20"/>
              </w:rPr>
              <w:t xml:space="preserve">$3.2B</w:t>
            </w:r>
          </w:p>
        </w:tc>
        <w:tc>
          <w:tcPr>
            <w:tcW w:w="1444" w:type="dxa"/>
            <w:tcMar>
              <w:top w:w="40" w:type="dxa"/>
              <w:left w:w="80" w:type="dxa"/>
              <w:bottom w:w="40" w:type="dxa"/>
              <w:right w:w="80" w:type="dxa"/>
            </w:tcMar>
          </w:tcPr>
          <w:p>
            <w:pPr>
              <w:spacing w:before="20" w:after="20" w:line="240" w:lineRule="auto"/>
            </w:pPr>
            <w:r>
              <w:rPr>
                <w:color w:val="1A202C"/>
                <w:sz w:val="20"/>
              </w:rPr>
              <w:t xml:space="preserve">$8.5B</w:t>
            </w:r>
          </w:p>
        </w:tc>
        <w:tc>
          <w:tcPr>
            <w:tcW w:w="1444" w:type="dxa"/>
            <w:tcMar>
              <w:top w:w="40" w:type="dxa"/>
              <w:left w:w="80" w:type="dxa"/>
              <w:bottom w:w="40" w:type="dxa"/>
              <w:right w:w="80" w:type="dxa"/>
            </w:tcMar>
          </w:tcPr>
          <w:p>
            <w:pPr>
              <w:spacing w:before="20" w:after="20" w:line="240" w:lineRule="auto"/>
            </w:pPr>
            <w:r>
              <w:rPr>
                <w:color w:val="1A202C"/>
                <w:sz w:val="20"/>
              </w:rPr>
              <w:t xml:space="preserve">$13.8B</w:t>
            </w:r>
          </w:p>
        </w:tc>
        <w:tc>
          <w:tcPr>
            <w:tcW w:w="1626" w:type="dxa"/>
            <w:tcMar>
              <w:top w:w="40" w:type="dxa"/>
              <w:left w:w="80" w:type="dxa"/>
              <w:bottom w:w="40" w:type="dxa"/>
              <w:right w:w="80" w:type="dxa"/>
            </w:tcMar>
          </w:tcPr>
          <w:p>
            <w:pPr>
              <w:spacing w:before="20" w:after="20" w:line="240" w:lineRule="auto"/>
            </w:pPr>
            <w:r>
              <w:rPr>
                <w:color w:val="1A202C"/>
                <w:sz w:val="20"/>
              </w:rPr>
              <w:t xml:space="preserve">14.8%</w:t>
            </w:r>
          </w:p>
        </w:tc>
      </w:tr>
      <w:tr>
        <w:tc>
          <w:tcPr>
            <w:tcW w:w="3068" w:type="dxa"/>
            <w:tcMar>
              <w:top w:w="40" w:type="dxa"/>
              <w:left w:w="80" w:type="dxa"/>
              <w:bottom w:w="40" w:type="dxa"/>
              <w:right w:w="80" w:type="dxa"/>
            </w:tcMar>
          </w:tcPr>
          <w:p>
            <w:pPr>
              <w:spacing w:before="20" w:after="20" w:line="240" w:lineRule="auto"/>
            </w:pPr>
            <w:r>
              <w:rPr>
                <w:color w:val="1A202C"/>
                <w:sz w:val="20"/>
              </w:rPr>
              <w:t xml:space="preserve">Combat UAVs (attritable)</w:t>
            </w:r>
          </w:p>
        </w:tc>
        <w:tc>
          <w:tcPr>
            <w:tcW w:w="1444" w:type="dxa"/>
            <w:tcMar>
              <w:top w:w="40" w:type="dxa"/>
              <w:left w:w="80" w:type="dxa"/>
              <w:bottom w:w="40" w:type="dxa"/>
              <w:right w:w="80" w:type="dxa"/>
            </w:tcMar>
          </w:tcPr>
          <w:p>
            <w:pPr>
              <w:spacing w:before="20" w:after="20" w:line="240" w:lineRule="auto"/>
            </w:pPr>
            <w:r>
              <w:rPr>
                <w:color w:val="1A202C"/>
                <w:sz w:val="20"/>
              </w:rPr>
              <w:t xml:space="preserve">$4.8B</w:t>
            </w:r>
          </w:p>
        </w:tc>
        <w:tc>
          <w:tcPr>
            <w:tcW w:w="1444" w:type="dxa"/>
            <w:tcMar>
              <w:top w:w="40" w:type="dxa"/>
              <w:left w:w="80" w:type="dxa"/>
              <w:bottom w:w="40" w:type="dxa"/>
              <w:right w:w="80" w:type="dxa"/>
            </w:tcMar>
          </w:tcPr>
          <w:p>
            <w:pPr>
              <w:spacing w:before="20" w:after="20" w:line="240" w:lineRule="auto"/>
            </w:pPr>
            <w:r>
              <w:rPr>
                <w:color w:val="1A202C"/>
                <w:sz w:val="20"/>
              </w:rPr>
              <w:t xml:space="preserve">$12.5B</w:t>
            </w:r>
          </w:p>
        </w:tc>
        <w:tc>
          <w:tcPr>
            <w:tcW w:w="1444" w:type="dxa"/>
            <w:tcMar>
              <w:top w:w="40" w:type="dxa"/>
              <w:left w:w="80" w:type="dxa"/>
              <w:bottom w:w="40" w:type="dxa"/>
              <w:right w:w="80" w:type="dxa"/>
            </w:tcMar>
          </w:tcPr>
          <w:p>
            <w:pPr>
              <w:spacing w:before="20" w:after="20" w:line="240" w:lineRule="auto"/>
            </w:pPr>
            <w:r>
              <w:rPr>
                <w:color w:val="1A202C"/>
                <w:sz w:val="20"/>
              </w:rPr>
              <w:t xml:space="preserve">$18.2B</w:t>
            </w:r>
          </w:p>
        </w:tc>
        <w:tc>
          <w:tcPr>
            <w:tcW w:w="1626" w:type="dxa"/>
            <w:tcMar>
              <w:top w:w="40" w:type="dxa"/>
              <w:left w:w="80" w:type="dxa"/>
              <w:bottom w:w="40" w:type="dxa"/>
              <w:right w:w="80" w:type="dxa"/>
            </w:tcMar>
          </w:tcPr>
          <w:p>
            <w:pPr>
              <w:spacing w:before="20" w:after="20" w:line="240" w:lineRule="auto"/>
            </w:pPr>
            <w:r>
              <w:rPr>
                <w:color w:val="1A202C"/>
                <w:sz w:val="20"/>
              </w:rPr>
              <w:t xml:space="preserve">10.0%</w:t>
            </w:r>
          </w:p>
        </w:tc>
      </w:tr>
      <w:tr>
        <w:tc>
          <w:tcPr>
            <w:tcW w:w="3068" w:type="dxa"/>
            <w:tcMar>
              <w:top w:w="40" w:type="dxa"/>
              <w:left w:w="80" w:type="dxa"/>
              <w:bottom w:w="40" w:type="dxa"/>
              <w:right w:w="80" w:type="dxa"/>
            </w:tcMar>
          </w:tcPr>
          <w:p>
            <w:pPr>
              <w:spacing w:before="20" w:after="20" w:line="240" w:lineRule="auto"/>
            </w:pPr>
            <w:r>
              <w:rPr>
                <w:color w:val="1A202C"/>
                <w:sz w:val="20"/>
              </w:rPr>
              <w:t xml:space="preserve">Arctic-optimized combat aircraft</w:t>
            </w:r>
          </w:p>
        </w:tc>
        <w:tc>
          <w:tcPr>
            <w:tcW w:w="1444" w:type="dxa"/>
            <w:tcMar>
              <w:top w:w="40" w:type="dxa"/>
              <w:left w:w="80" w:type="dxa"/>
              <w:bottom w:w="40" w:type="dxa"/>
              <w:right w:w="80" w:type="dxa"/>
            </w:tcMar>
          </w:tcPr>
          <w:p>
            <w:pPr>
              <w:spacing w:before="20" w:after="20" w:line="240" w:lineRule="auto"/>
            </w:pPr>
            <w:r>
              <w:rPr>
                <w:color w:val="1A202C"/>
                <w:sz w:val="20"/>
              </w:rPr>
              <w:t xml:space="preserve">$0.8B</w:t>
            </w:r>
          </w:p>
        </w:tc>
        <w:tc>
          <w:tcPr>
            <w:tcW w:w="1444" w:type="dxa"/>
            <w:tcMar>
              <w:top w:w="40" w:type="dxa"/>
              <w:left w:w="80" w:type="dxa"/>
              <w:bottom w:w="40" w:type="dxa"/>
              <w:right w:w="80" w:type="dxa"/>
            </w:tcMar>
          </w:tcPr>
          <w:p>
            <w:pPr>
              <w:spacing w:before="20" w:after="20" w:line="240" w:lineRule="auto"/>
            </w:pPr>
            <w:r>
              <w:rPr>
                <w:color w:val="1A202C"/>
                <w:sz w:val="20"/>
              </w:rPr>
              <w:t xml:space="preserve">$2.2B</w:t>
            </w:r>
          </w:p>
        </w:tc>
        <w:tc>
          <w:tcPr>
            <w:tcW w:w="1444" w:type="dxa"/>
            <w:tcMar>
              <w:top w:w="40" w:type="dxa"/>
              <w:left w:w="80" w:type="dxa"/>
              <w:bottom w:w="40" w:type="dxa"/>
              <w:right w:w="80" w:type="dxa"/>
            </w:tcMar>
          </w:tcPr>
          <w:p>
            <w:pPr>
              <w:spacing w:before="20" w:after="20" w:line="240" w:lineRule="auto"/>
            </w:pPr>
            <w:r>
              <w:rPr>
                <w:color w:val="1A202C"/>
                <w:sz w:val="20"/>
              </w:rPr>
              <w:t xml:space="preserve">$3.5B</w:t>
            </w:r>
          </w:p>
        </w:tc>
        <w:tc>
          <w:tcPr>
            <w:tcW w:w="1626" w:type="dxa"/>
            <w:tcMar>
              <w:top w:w="40" w:type="dxa"/>
              <w:left w:w="80" w:type="dxa"/>
              <w:bottom w:w="40" w:type="dxa"/>
              <w:right w:w="80" w:type="dxa"/>
            </w:tcMar>
          </w:tcPr>
          <w:p>
            <w:pPr>
              <w:spacing w:before="20" w:after="20" w:line="240" w:lineRule="auto"/>
            </w:pPr>
            <w:r>
              <w:rPr>
                <w:color w:val="1A202C"/>
                <w:sz w:val="20"/>
              </w:rPr>
              <w:t xml:space="preserve">10.8%</w:t>
            </w:r>
          </w:p>
        </w:tc>
      </w:tr>
      <w:tr>
        <w:tc>
          <w:tcPr>
            <w:tcW w:w="3068" w:type="dxa"/>
            <w:tcMar>
              <w:top w:w="40" w:type="dxa"/>
              <w:left w:w="80" w:type="dxa"/>
              <w:bottom w:w="40" w:type="dxa"/>
              <w:right w:w="80" w:type="dxa"/>
            </w:tcMar>
          </w:tcPr>
          <w:p>
            <w:pPr>
              <w:spacing w:before="20" w:after="20" w:line="240" w:lineRule="auto"/>
            </w:pPr>
            <w:r>
              <w:rPr>
                <w:b/>
                <w:color w:val="1A202C"/>
                <w:sz w:val="20"/>
              </w:rPr>
              <w:t xml:space="preserve">TOTAL ADDRESSABLE MARKET</w:t>
            </w:r>
          </w:p>
        </w:tc>
        <w:tc>
          <w:tcPr>
            <w:tcW w:w="1444" w:type="dxa"/>
            <w:tcMar>
              <w:top w:w="40" w:type="dxa"/>
              <w:left w:w="80" w:type="dxa"/>
              <w:bottom w:w="40" w:type="dxa"/>
              <w:right w:w="80" w:type="dxa"/>
            </w:tcMar>
          </w:tcPr>
          <w:p>
            <w:pPr>
              <w:spacing w:before="20" w:after="20" w:line="240" w:lineRule="auto"/>
            </w:pPr>
            <w:r>
              <w:rPr>
                <w:b/>
                <w:color w:val="1A202C"/>
                <w:sz w:val="20"/>
              </w:rPr>
              <w:t xml:space="preserve">$8.8B</w:t>
            </w:r>
          </w:p>
        </w:tc>
        <w:tc>
          <w:tcPr>
            <w:tcW w:w="1444" w:type="dxa"/>
            <w:tcMar>
              <w:top w:w="40" w:type="dxa"/>
              <w:left w:w="80" w:type="dxa"/>
              <w:bottom w:w="40" w:type="dxa"/>
              <w:right w:w="80" w:type="dxa"/>
            </w:tcMar>
          </w:tcPr>
          <w:p>
            <w:pPr>
              <w:spacing w:before="20" w:after="20" w:line="240" w:lineRule="auto"/>
            </w:pPr>
            <w:r>
              <w:rPr>
                <w:b/>
                <w:color w:val="1A202C"/>
                <w:sz w:val="20"/>
              </w:rPr>
              <w:t xml:space="preserve">$23.2B</w:t>
            </w:r>
          </w:p>
        </w:tc>
        <w:tc>
          <w:tcPr>
            <w:tcW w:w="1444" w:type="dxa"/>
            <w:tcMar>
              <w:top w:w="40" w:type="dxa"/>
              <w:left w:w="80" w:type="dxa"/>
              <w:bottom w:w="40" w:type="dxa"/>
              <w:right w:w="80" w:type="dxa"/>
            </w:tcMar>
          </w:tcPr>
          <w:p>
            <w:pPr>
              <w:spacing w:before="20" w:after="20" w:line="240" w:lineRule="auto"/>
            </w:pPr>
            <w:r>
              <w:rPr>
                <w:b/>
                <w:color w:val="1A202C"/>
                <w:sz w:val="20"/>
              </w:rPr>
              <w:t xml:space="preserve">$35.5B</w:t>
            </w:r>
          </w:p>
        </w:tc>
        <w:tc>
          <w:tcPr>
            <w:tcW w:w="1626" w:type="dxa"/>
            <w:tcMar>
              <w:top w:w="40" w:type="dxa"/>
              <w:left w:w="80" w:type="dxa"/>
              <w:bottom w:w="40" w:type="dxa"/>
              <w:right w:w="80" w:type="dxa"/>
            </w:tcMar>
          </w:tcPr>
          <w:p>
            <w:pPr>
              <w:spacing w:before="20" w:after="20" w:line="240" w:lineRule="auto"/>
            </w:pPr>
            <w:r>
              <w:rPr>
                <w:b/>
                <w:color w:val="1A202C"/>
                <w:sz w:val="20"/>
              </w:rPr>
              <w:t xml:space="preserve">11.9%</w:t>
            </w:r>
          </w:p>
        </w:tc>
      </w:tr>
    </w:tbl>
    <w:p>
      <w:pPr>
        <w:pStyle w:val="Caption"/>
      </w:pPr>
      <w:r>
        <w:t xml:space="preserve">Source: Loyal wingman and UAV market forecasts, 2025 to 2026 industry analyses; sixth-generation crewed programs (GCAP and successors) add a further multi-billion-dollar annual segment from 2035.</w:t>
      </w:r>
    </w:p>
    <w:p>
      <w:pPr>
        <w:pStyle w:val="Heading2"/>
      </w:pPr>
      <w:r>
        <w:t>8.2 Canadian Competitive Position</w:t>
      </w:r>
    </w:p>
    <w:p>
      <w:pPr>
        <w:spacing w:after="180" w:line="288" w:lineRule="auto"/>
      </w:pPr>
      <w:r>
        <w:t xml:space="preserve">Advantages</w:t>
      </w:r>
    </w:p>
    <w:p>
      <w:pPr>
        <w:numPr>
          <w:ilvl w:val="0"/>
          <w:numId w:val="1"/>
        </w:numPr>
        <w:spacing w:after="180" w:line="288" w:lineRule="auto"/>
      </w:pPr>
      <w:r>
        <w:t xml:space="preserve">ITAR-free configuration: the sovereign datalink replaces the export-restricted MADL waveform with a nationally controlled equivalent, so the Mk.VI-E export variant carries no US-controlled technology veto.</w:t>
      </w:r>
    </w:p>
    <w:p>
      <w:pPr>
        <w:numPr>
          <w:ilvl w:val="0"/>
          <w:numId w:val="1"/>
        </w:numPr>
        <w:spacing w:after="180" w:line="288" w:lineRule="auto"/>
      </w:pPr>
      <w:r>
        <w:t xml:space="preserve">Purpose-built export variant: the technical baseline defines the Mk.VI-E with a reduced-specification coating topcoat and a downgraded cognitive-EW library, preserving coalition interoperability without transferring the crown-jewel technologies.</w:t>
      </w:r>
    </w:p>
    <w:p>
      <w:pPr>
        <w:numPr>
          <w:ilvl w:val="0"/>
          <w:numId w:val="1"/>
        </w:numPr>
        <w:spacing w:after="180" w:line="288" w:lineRule="auto"/>
      </w:pPr>
      <w:r>
        <w:t xml:space="preserve">Arctic-optimized design: a unique value proposition for Nordic and cold-climate operators.</w:t>
      </w:r>
    </w:p>
    <w:p>
      <w:pPr>
        <w:numPr>
          <w:ilvl w:val="0"/>
          <w:numId w:val="1"/>
        </w:numPr>
        <w:spacing w:after="180" w:line="288" w:lineRule="auto"/>
      </w:pPr>
      <w:r>
        <w:t xml:space="preserve">MQ-28 Ghost Bat family heritage: the CCA family alignment in the technical baseline creates a natural pathway into the Australian market.</w:t>
      </w:r>
    </w:p>
    <w:p>
      <w:pPr>
        <w:numPr>
          <w:ilvl w:val="0"/>
          <w:numId w:val="1"/>
        </w:numPr>
        <w:spacing w:after="180" w:line="288" w:lineRule="auto"/>
      </w:pPr>
      <w:r>
        <w:t xml:space="preserve">Non-superpower supplier: politically acceptable to a wider range of customers, the same dynamic that favours Canadian defence exports today.</w:t>
      </w:r>
    </w:p>
    <w:p>
      <w:pPr>
        <w:spacing w:after="180" w:line="288" w:lineRule="auto"/>
      </w:pPr>
      <w:r>
        <w:t xml:space="preserve">Target Export Markets</w:t>
      </w:r>
    </w:p>
    <w:tbl>
      <w:tblPr>
        <w:tblW w:w="5000" w:type="pct"/>
        <w:tblBorders>
          <w:top w:val="single" w:color="1A2744" w:sz="12"/>
          <w:left w:val="nil"/>
          <w:bottom w:val="single" w:color="1A2744" w:sz="12"/>
          <w:right w:val="nil"/>
          <w:insideH w:val="single" w:color="C8C4BC" w:sz="4"/>
          <w:insideV w:val="nil"/>
        </w:tblBorders>
      </w:tblPr>
      <w:tblGrid>
        <w:gridCol w:w="1985"/>
        <w:gridCol w:w="1985"/>
        <w:gridCol w:w="1985"/>
        <w:gridCol w:w="1263"/>
        <w:gridCol w:w="1808"/>
      </w:tblGrid>
      <w:tr>
        <w:trPr>
          <w:tblHeader/>
        </w:trPr>
        <w:tc>
          <w:tcPr>
            <w:tcW w:w="1985" w:type="dxa"/>
            <w:shd w:val="clear" w:fill="F4F2EE"/>
            <w:tcMar>
              <w:top w:w="40" w:type="dxa"/>
              <w:left w:w="80" w:type="dxa"/>
              <w:bottom w:w="40" w:type="dxa"/>
              <w:right w:w="80" w:type="dxa"/>
            </w:tcMar>
          </w:tcPr>
          <w:p>
            <w:pPr>
              <w:spacing w:before="20" w:after="20" w:line="240" w:lineRule="auto"/>
            </w:pPr>
            <w:r>
              <w:rPr>
                <w:b/>
                <w:color w:val="1A2744"/>
                <w:sz w:val="20"/>
              </w:rPr>
              <w:t xml:space="preserve">Market</w:t>
            </w:r>
          </w:p>
        </w:tc>
        <w:tc>
          <w:tcPr>
            <w:tcW w:w="1985" w:type="dxa"/>
            <w:shd w:val="clear" w:fill="F4F2EE"/>
            <w:tcMar>
              <w:top w:w="40" w:type="dxa"/>
              <w:left w:w="80" w:type="dxa"/>
              <w:bottom w:w="40" w:type="dxa"/>
              <w:right w:w="80" w:type="dxa"/>
            </w:tcMar>
          </w:tcPr>
          <w:p>
            <w:pPr>
              <w:spacing w:before="20" w:after="20" w:line="240" w:lineRule="auto"/>
            </w:pPr>
            <w:r>
              <w:rPr>
                <w:b/>
                <w:color w:val="1A2744"/>
                <w:sz w:val="20"/>
              </w:rPr>
              <w:t xml:space="preserve">Est. Demand</w:t>
            </w:r>
          </w:p>
        </w:tc>
        <w:tc>
          <w:tcPr>
            <w:tcW w:w="1985" w:type="dxa"/>
            <w:shd w:val="clear" w:fill="F4F2EE"/>
            <w:tcMar>
              <w:top w:w="40" w:type="dxa"/>
              <w:left w:w="80" w:type="dxa"/>
              <w:bottom w:w="40" w:type="dxa"/>
              <w:right w:w="80" w:type="dxa"/>
            </w:tcMar>
          </w:tcPr>
          <w:p>
            <w:pPr>
              <w:spacing w:before="20" w:after="20" w:line="240" w:lineRule="auto"/>
            </w:pPr>
            <w:r>
              <w:rPr>
                <w:b/>
                <w:color w:val="1A2744"/>
                <w:sz w:val="20"/>
              </w:rPr>
              <w:t xml:space="preserve">Canadian Opportunity</w:t>
            </w:r>
          </w:p>
        </w:tc>
        <w:tc>
          <w:tcPr>
            <w:tcW w:w="1263" w:type="dxa"/>
            <w:shd w:val="clear" w:fill="F4F2EE"/>
            <w:tcMar>
              <w:top w:w="40" w:type="dxa"/>
              <w:left w:w="80" w:type="dxa"/>
              <w:bottom w:w="40" w:type="dxa"/>
              <w:right w:w="80" w:type="dxa"/>
            </w:tcMar>
          </w:tcPr>
          <w:p>
            <w:pPr>
              <w:spacing w:before="20" w:after="20" w:line="240" w:lineRule="auto"/>
            </w:pPr>
            <w:r>
              <w:rPr>
                <w:b/>
                <w:color w:val="1A2744"/>
                <w:sz w:val="20"/>
              </w:rPr>
              <w:t xml:space="preserve">Timeline</w:t>
            </w:r>
          </w:p>
        </w:tc>
        <w:tc>
          <w:tcPr>
            <w:tcW w:w="1808" w:type="dxa"/>
            <w:shd w:val="clear" w:fill="F4F2EE"/>
            <w:tcMar>
              <w:top w:w="40" w:type="dxa"/>
              <w:left w:w="80" w:type="dxa"/>
              <w:bottom w:w="40" w:type="dxa"/>
              <w:right w:w="80" w:type="dxa"/>
            </w:tcMar>
          </w:tcPr>
          <w:p>
            <w:pPr>
              <w:spacing w:before="20" w:after="20" w:line="240" w:lineRule="auto"/>
            </w:pPr>
            <w:r>
              <w:rPr>
                <w:b/>
                <w:color w:val="1A2744"/>
                <w:sz w:val="20"/>
              </w:rPr>
              <w:t xml:space="preserve">Notes</w:t>
            </w:r>
          </w:p>
        </w:tc>
      </w:tr>
      <w:tr>
        <w:tc>
          <w:tcPr>
            <w:tcW w:w="1985" w:type="dxa"/>
            <w:tcMar>
              <w:top w:w="40" w:type="dxa"/>
              <w:left w:w="80" w:type="dxa"/>
              <w:bottom w:w="40" w:type="dxa"/>
              <w:right w:w="80" w:type="dxa"/>
            </w:tcMar>
          </w:tcPr>
          <w:p>
            <w:pPr>
              <w:spacing w:before="20" w:after="20" w:line="240" w:lineRule="auto"/>
            </w:pPr>
            <w:r>
              <w:rPr>
                <w:color w:val="1A202C"/>
                <w:sz w:val="20"/>
              </w:rPr>
              <w:t xml:space="preserve">Australia</w:t>
            </w:r>
          </w:p>
        </w:tc>
        <w:tc>
          <w:tcPr>
            <w:tcW w:w="1985" w:type="dxa"/>
            <w:tcMar>
              <w:top w:w="40" w:type="dxa"/>
              <w:left w:w="80" w:type="dxa"/>
              <w:bottom w:w="40" w:type="dxa"/>
              <w:right w:w="80" w:type="dxa"/>
            </w:tcMar>
          </w:tcPr>
          <w:p>
            <w:pPr>
              <w:spacing w:before="20" w:after="20" w:line="240" w:lineRule="auto"/>
            </w:pPr>
            <w:r>
              <w:rPr>
                <w:color w:val="1A202C"/>
                <w:sz w:val="20"/>
              </w:rPr>
              <w:t xml:space="preserve">24 to 48 aircraft</w:t>
            </w:r>
          </w:p>
        </w:tc>
        <w:tc>
          <w:tcPr>
            <w:tcW w:w="1985" w:type="dxa"/>
            <w:tcMar>
              <w:top w:w="40" w:type="dxa"/>
              <w:left w:w="80" w:type="dxa"/>
              <w:bottom w:w="40" w:type="dxa"/>
              <w:right w:w="80" w:type="dxa"/>
            </w:tcMar>
          </w:tcPr>
          <w:p>
            <w:pPr>
              <w:spacing w:before="20" w:after="20" w:line="240" w:lineRule="auto"/>
            </w:pPr>
            <w:r>
              <w:rPr>
                <w:color w:val="1A202C"/>
                <w:sz w:val="20"/>
              </w:rPr>
              <w:t xml:space="preserve">$3.2 to 6.4B</w:t>
            </w:r>
          </w:p>
        </w:tc>
        <w:tc>
          <w:tcPr>
            <w:tcW w:w="1263" w:type="dxa"/>
            <w:tcMar>
              <w:top w:w="40" w:type="dxa"/>
              <w:left w:w="80" w:type="dxa"/>
              <w:bottom w:w="40" w:type="dxa"/>
              <w:right w:w="80" w:type="dxa"/>
            </w:tcMar>
          </w:tcPr>
          <w:p>
            <w:pPr>
              <w:spacing w:before="20" w:after="20" w:line="240" w:lineRule="auto"/>
            </w:pPr>
            <w:r>
              <w:rPr>
                <w:color w:val="1A202C"/>
                <w:sz w:val="20"/>
              </w:rPr>
              <w:t xml:space="preserve">2036 to 2045</w:t>
            </w:r>
          </w:p>
        </w:tc>
        <w:tc>
          <w:tcPr>
            <w:tcW w:w="1808" w:type="dxa"/>
            <w:tcMar>
              <w:top w:w="40" w:type="dxa"/>
              <w:left w:w="80" w:type="dxa"/>
              <w:bottom w:w="40" w:type="dxa"/>
              <w:right w:w="80" w:type="dxa"/>
            </w:tcMar>
          </w:tcPr>
          <w:p>
            <w:pPr>
              <w:spacing w:before="20" w:after="20" w:line="240" w:lineRule="auto"/>
            </w:pPr>
            <w:r>
              <w:rPr>
                <w:color w:val="1A202C"/>
                <w:sz w:val="20"/>
              </w:rPr>
              <w:t xml:space="preserve">MQ-28 family synergy</w:t>
            </w:r>
          </w:p>
        </w:tc>
      </w:tr>
      <w:tr>
        <w:tc>
          <w:tcPr>
            <w:tcW w:w="1985" w:type="dxa"/>
            <w:tcMar>
              <w:top w:w="40" w:type="dxa"/>
              <w:left w:w="80" w:type="dxa"/>
              <w:bottom w:w="40" w:type="dxa"/>
              <w:right w:w="80" w:type="dxa"/>
            </w:tcMar>
          </w:tcPr>
          <w:p>
            <w:pPr>
              <w:spacing w:before="20" w:after="20" w:line="240" w:lineRule="auto"/>
            </w:pPr>
            <w:r>
              <w:rPr>
                <w:color w:val="1A202C"/>
                <w:sz w:val="20"/>
              </w:rPr>
              <w:t xml:space="preserve">Finland and Nordics</w:t>
            </w:r>
          </w:p>
        </w:tc>
        <w:tc>
          <w:tcPr>
            <w:tcW w:w="1985" w:type="dxa"/>
            <w:tcMar>
              <w:top w:w="40" w:type="dxa"/>
              <w:left w:w="80" w:type="dxa"/>
              <w:bottom w:w="40" w:type="dxa"/>
              <w:right w:w="80" w:type="dxa"/>
            </w:tcMar>
          </w:tcPr>
          <w:p>
            <w:pPr>
              <w:spacing w:before="20" w:after="20" w:line="240" w:lineRule="auto"/>
            </w:pPr>
            <w:r>
              <w:rPr>
                <w:color w:val="1A202C"/>
                <w:sz w:val="20"/>
              </w:rPr>
              <w:t xml:space="preserve">20 to 36</w:t>
            </w:r>
          </w:p>
        </w:tc>
        <w:tc>
          <w:tcPr>
            <w:tcW w:w="1985" w:type="dxa"/>
            <w:tcMar>
              <w:top w:w="40" w:type="dxa"/>
              <w:left w:w="80" w:type="dxa"/>
              <w:bottom w:w="40" w:type="dxa"/>
              <w:right w:w="80" w:type="dxa"/>
            </w:tcMar>
          </w:tcPr>
          <w:p>
            <w:pPr>
              <w:spacing w:before="20" w:after="20" w:line="240" w:lineRule="auto"/>
            </w:pPr>
            <w:r>
              <w:rPr>
                <w:color w:val="1A202C"/>
                <w:sz w:val="20"/>
              </w:rPr>
              <w:t xml:space="preserve">$2.7 to 4.8B</w:t>
            </w:r>
          </w:p>
        </w:tc>
        <w:tc>
          <w:tcPr>
            <w:tcW w:w="1263" w:type="dxa"/>
            <w:tcMar>
              <w:top w:w="40" w:type="dxa"/>
              <w:left w:w="80" w:type="dxa"/>
              <w:bottom w:w="40" w:type="dxa"/>
              <w:right w:w="80" w:type="dxa"/>
            </w:tcMar>
          </w:tcPr>
          <w:p>
            <w:pPr>
              <w:spacing w:before="20" w:after="20" w:line="240" w:lineRule="auto"/>
            </w:pPr>
            <w:r>
              <w:rPr>
                <w:color w:val="1A202C"/>
                <w:sz w:val="20"/>
              </w:rPr>
              <w:t xml:space="preserve">2037 to 2046</w:t>
            </w:r>
          </w:p>
        </w:tc>
        <w:tc>
          <w:tcPr>
            <w:tcW w:w="1808" w:type="dxa"/>
            <w:tcMar>
              <w:top w:w="40" w:type="dxa"/>
              <w:left w:w="80" w:type="dxa"/>
              <w:bottom w:w="40" w:type="dxa"/>
              <w:right w:w="80" w:type="dxa"/>
            </w:tcMar>
          </w:tcPr>
          <w:p>
            <w:pPr>
              <w:spacing w:before="20" w:after="20" w:line="240" w:lineRule="auto"/>
            </w:pPr>
            <w:r>
              <w:rPr>
                <w:color w:val="1A202C"/>
                <w:sz w:val="20"/>
              </w:rPr>
              <w:t xml:space="preserve">Arctic optimization</w:t>
            </w:r>
          </w:p>
        </w:tc>
      </w:tr>
      <w:tr>
        <w:tc>
          <w:tcPr>
            <w:tcW w:w="1985" w:type="dxa"/>
            <w:tcMar>
              <w:top w:w="40" w:type="dxa"/>
              <w:left w:w="80" w:type="dxa"/>
              <w:bottom w:w="40" w:type="dxa"/>
              <w:right w:w="80" w:type="dxa"/>
            </w:tcMar>
          </w:tcPr>
          <w:p>
            <w:pPr>
              <w:spacing w:before="20" w:after="20" w:line="240" w:lineRule="auto"/>
            </w:pPr>
            <w:r>
              <w:rPr>
                <w:color w:val="1A202C"/>
                <w:sz w:val="20"/>
              </w:rPr>
              <w:t xml:space="preserve">Poland and Baltics</w:t>
            </w:r>
          </w:p>
        </w:tc>
        <w:tc>
          <w:tcPr>
            <w:tcW w:w="1985" w:type="dxa"/>
            <w:tcMar>
              <w:top w:w="40" w:type="dxa"/>
              <w:left w:w="80" w:type="dxa"/>
              <w:bottom w:w="40" w:type="dxa"/>
              <w:right w:w="80" w:type="dxa"/>
            </w:tcMar>
          </w:tcPr>
          <w:p>
            <w:pPr>
              <w:spacing w:before="20" w:after="20" w:line="240" w:lineRule="auto"/>
            </w:pPr>
            <w:r>
              <w:rPr>
                <w:color w:val="1A202C"/>
                <w:sz w:val="20"/>
              </w:rPr>
              <w:t xml:space="preserve">24 to 48</w:t>
            </w:r>
          </w:p>
        </w:tc>
        <w:tc>
          <w:tcPr>
            <w:tcW w:w="1985" w:type="dxa"/>
            <w:tcMar>
              <w:top w:w="40" w:type="dxa"/>
              <w:left w:w="80" w:type="dxa"/>
              <w:bottom w:w="40" w:type="dxa"/>
              <w:right w:w="80" w:type="dxa"/>
            </w:tcMar>
          </w:tcPr>
          <w:p>
            <w:pPr>
              <w:spacing w:before="20" w:after="20" w:line="240" w:lineRule="auto"/>
            </w:pPr>
            <w:r>
              <w:rPr>
                <w:color w:val="1A202C"/>
                <w:sz w:val="20"/>
              </w:rPr>
              <w:t xml:space="preserve">$3.2 to 6.4B</w:t>
            </w:r>
          </w:p>
        </w:tc>
        <w:tc>
          <w:tcPr>
            <w:tcW w:w="1263" w:type="dxa"/>
            <w:tcMar>
              <w:top w:w="40" w:type="dxa"/>
              <w:left w:w="80" w:type="dxa"/>
              <w:bottom w:w="40" w:type="dxa"/>
              <w:right w:w="80" w:type="dxa"/>
            </w:tcMar>
          </w:tcPr>
          <w:p>
            <w:pPr>
              <w:spacing w:before="20" w:after="20" w:line="240" w:lineRule="auto"/>
            </w:pPr>
            <w:r>
              <w:rPr>
                <w:color w:val="1A202C"/>
                <w:sz w:val="20"/>
              </w:rPr>
              <w:t xml:space="preserve">2036 to 2045</w:t>
            </w:r>
          </w:p>
        </w:tc>
        <w:tc>
          <w:tcPr>
            <w:tcW w:w="1808" w:type="dxa"/>
            <w:tcMar>
              <w:top w:w="40" w:type="dxa"/>
              <w:left w:w="80" w:type="dxa"/>
              <w:bottom w:w="40" w:type="dxa"/>
              <w:right w:w="80" w:type="dxa"/>
            </w:tcMar>
          </w:tcPr>
          <w:p>
            <w:pPr>
              <w:spacing w:before="20" w:after="20" w:line="240" w:lineRule="auto"/>
            </w:pPr>
            <w:r>
              <w:rPr>
                <w:color w:val="1A202C"/>
                <w:sz w:val="20"/>
              </w:rPr>
              <w:t xml:space="preserve">Collective defence demand</w:t>
            </w:r>
          </w:p>
        </w:tc>
      </w:tr>
      <w:tr>
        <w:tc>
          <w:tcPr>
            <w:tcW w:w="1985" w:type="dxa"/>
            <w:tcMar>
              <w:top w:w="40" w:type="dxa"/>
              <w:left w:w="80" w:type="dxa"/>
              <w:bottom w:w="40" w:type="dxa"/>
              <w:right w:w="80" w:type="dxa"/>
            </w:tcMar>
          </w:tcPr>
          <w:p>
            <w:pPr>
              <w:spacing w:before="20" w:after="20" w:line="240" w:lineRule="auto"/>
            </w:pPr>
            <w:r>
              <w:rPr>
                <w:color w:val="1A202C"/>
                <w:sz w:val="20"/>
              </w:rPr>
              <w:t xml:space="preserve">Japan (GCAP orbit)</w:t>
            </w:r>
          </w:p>
        </w:tc>
        <w:tc>
          <w:tcPr>
            <w:tcW w:w="1985" w:type="dxa"/>
            <w:tcMar>
              <w:top w:w="40" w:type="dxa"/>
              <w:left w:w="80" w:type="dxa"/>
              <w:bottom w:w="40" w:type="dxa"/>
              <w:right w:w="80" w:type="dxa"/>
            </w:tcMar>
          </w:tcPr>
          <w:p>
            <w:pPr>
              <w:spacing w:before="20" w:after="20" w:line="240" w:lineRule="auto"/>
            </w:pPr>
            <w:r>
              <w:rPr>
                <w:color w:val="1A202C"/>
                <w:sz w:val="20"/>
              </w:rPr>
              <w:t xml:space="preserve">12 to 24</w:t>
            </w:r>
          </w:p>
        </w:tc>
        <w:tc>
          <w:tcPr>
            <w:tcW w:w="1985" w:type="dxa"/>
            <w:tcMar>
              <w:top w:w="40" w:type="dxa"/>
              <w:left w:w="80" w:type="dxa"/>
              <w:bottom w:w="40" w:type="dxa"/>
              <w:right w:w="80" w:type="dxa"/>
            </w:tcMar>
          </w:tcPr>
          <w:p>
            <w:pPr>
              <w:spacing w:before="20" w:after="20" w:line="240" w:lineRule="auto"/>
            </w:pPr>
            <w:r>
              <w:rPr>
                <w:color w:val="1A202C"/>
                <w:sz w:val="20"/>
              </w:rPr>
              <w:t xml:space="preserve">$1.6 to 3.2B</w:t>
            </w:r>
          </w:p>
        </w:tc>
        <w:tc>
          <w:tcPr>
            <w:tcW w:w="1263" w:type="dxa"/>
            <w:tcMar>
              <w:top w:w="40" w:type="dxa"/>
              <w:left w:w="80" w:type="dxa"/>
              <w:bottom w:w="40" w:type="dxa"/>
              <w:right w:w="80" w:type="dxa"/>
            </w:tcMar>
          </w:tcPr>
          <w:p>
            <w:pPr>
              <w:spacing w:before="20" w:after="20" w:line="240" w:lineRule="auto"/>
            </w:pPr>
            <w:r>
              <w:rPr>
                <w:color w:val="1A202C"/>
                <w:sz w:val="20"/>
              </w:rPr>
              <w:t xml:space="preserve">2038 to 2048</w:t>
            </w:r>
          </w:p>
        </w:tc>
        <w:tc>
          <w:tcPr>
            <w:tcW w:w="1808" w:type="dxa"/>
            <w:tcMar>
              <w:top w:w="40" w:type="dxa"/>
              <w:left w:w="80" w:type="dxa"/>
              <w:bottom w:w="40" w:type="dxa"/>
              <w:right w:w="80" w:type="dxa"/>
            </w:tcMar>
          </w:tcPr>
          <w:p>
            <w:pPr>
              <w:spacing w:before="20" w:after="20" w:line="240" w:lineRule="auto"/>
            </w:pPr>
            <w:r>
              <w:rPr>
                <w:color w:val="1A202C"/>
                <w:sz w:val="20"/>
              </w:rPr>
              <w:t xml:space="preserve">Observer-to-partner pathway</w:t>
            </w:r>
          </w:p>
        </w:tc>
      </w:tr>
      <w:tr>
        <w:tc>
          <w:tcPr>
            <w:tcW w:w="1985" w:type="dxa"/>
            <w:tcMar>
              <w:top w:w="40" w:type="dxa"/>
              <w:left w:w="80" w:type="dxa"/>
              <w:bottom w:w="40" w:type="dxa"/>
              <w:right w:w="80" w:type="dxa"/>
            </w:tcMar>
          </w:tcPr>
          <w:p>
            <w:pPr>
              <w:spacing w:before="20" w:after="20" w:line="240" w:lineRule="auto"/>
            </w:pPr>
            <w:r>
              <w:rPr>
                <w:color w:val="1A202C"/>
                <w:sz w:val="20"/>
              </w:rPr>
              <w:t xml:space="preserve">Middle East</w:t>
            </w:r>
          </w:p>
        </w:tc>
        <w:tc>
          <w:tcPr>
            <w:tcW w:w="1985" w:type="dxa"/>
            <w:tcMar>
              <w:top w:w="40" w:type="dxa"/>
              <w:left w:w="80" w:type="dxa"/>
              <w:bottom w:w="40" w:type="dxa"/>
              <w:right w:w="80" w:type="dxa"/>
            </w:tcMar>
          </w:tcPr>
          <w:p>
            <w:pPr>
              <w:spacing w:before="20" w:after="20" w:line="240" w:lineRule="auto"/>
            </w:pPr>
            <w:r>
              <w:rPr>
                <w:color w:val="1A202C"/>
                <w:sz w:val="20"/>
              </w:rPr>
              <w:t xml:space="preserve">12 to 24</w:t>
            </w:r>
          </w:p>
        </w:tc>
        <w:tc>
          <w:tcPr>
            <w:tcW w:w="1985" w:type="dxa"/>
            <w:tcMar>
              <w:top w:w="40" w:type="dxa"/>
              <w:left w:w="80" w:type="dxa"/>
              <w:bottom w:w="40" w:type="dxa"/>
              <w:right w:w="80" w:type="dxa"/>
            </w:tcMar>
          </w:tcPr>
          <w:p>
            <w:pPr>
              <w:spacing w:before="20" w:after="20" w:line="240" w:lineRule="auto"/>
            </w:pPr>
            <w:r>
              <w:rPr>
                <w:color w:val="1A202C"/>
                <w:sz w:val="20"/>
              </w:rPr>
              <w:t xml:space="preserve">$1.6 to 3.2B</w:t>
            </w:r>
          </w:p>
        </w:tc>
        <w:tc>
          <w:tcPr>
            <w:tcW w:w="1263" w:type="dxa"/>
            <w:tcMar>
              <w:top w:w="40" w:type="dxa"/>
              <w:left w:w="80" w:type="dxa"/>
              <w:bottom w:w="40" w:type="dxa"/>
              <w:right w:w="80" w:type="dxa"/>
            </w:tcMar>
          </w:tcPr>
          <w:p>
            <w:pPr>
              <w:spacing w:before="20" w:after="20" w:line="240" w:lineRule="auto"/>
            </w:pPr>
            <w:r>
              <w:rPr>
                <w:color w:val="1A202C"/>
                <w:sz w:val="20"/>
              </w:rPr>
              <w:t xml:space="preserve">2038 to 2048</w:t>
            </w:r>
          </w:p>
        </w:tc>
        <w:tc>
          <w:tcPr>
            <w:tcW w:w="1808" w:type="dxa"/>
            <w:tcMar>
              <w:top w:w="40" w:type="dxa"/>
              <w:left w:w="80" w:type="dxa"/>
              <w:bottom w:w="40" w:type="dxa"/>
              <w:right w:w="80" w:type="dxa"/>
            </w:tcMar>
          </w:tcPr>
          <w:p>
            <w:pPr>
              <w:spacing w:before="20" w:after="20" w:line="240" w:lineRule="auto"/>
            </w:pPr>
            <w:r>
              <w:rPr>
                <w:color w:val="1A202C"/>
                <w:sz w:val="20"/>
              </w:rPr>
              <w:t xml:space="preserve">ITAR-free appeal</w:t>
            </w:r>
          </w:p>
        </w:tc>
      </w:tr>
      <w:tr>
        <w:tc>
          <w:tcPr>
            <w:tcW w:w="1985" w:type="dxa"/>
            <w:tcMar>
              <w:top w:w="40" w:type="dxa"/>
              <w:left w:w="80" w:type="dxa"/>
              <w:bottom w:w="40" w:type="dxa"/>
              <w:right w:w="80" w:type="dxa"/>
            </w:tcMar>
          </w:tcPr>
          <w:p>
            <w:pPr>
              <w:spacing w:before="20" w:after="20" w:line="240" w:lineRule="auto"/>
            </w:pPr>
            <w:r>
              <w:rPr>
                <w:b/>
                <w:color w:val="1A202C"/>
                <w:sz w:val="20"/>
              </w:rPr>
              <w:t xml:space="preserve">TOTAL</w:t>
            </w:r>
          </w:p>
        </w:tc>
        <w:tc>
          <w:tcPr>
            <w:tcW w:w="1985" w:type="dxa"/>
            <w:tcMar>
              <w:top w:w="40" w:type="dxa"/>
              <w:left w:w="80" w:type="dxa"/>
              <w:bottom w:w="40" w:type="dxa"/>
              <w:right w:w="80" w:type="dxa"/>
            </w:tcMar>
          </w:tcPr>
          <w:p>
            <w:pPr>
              <w:spacing w:before="20" w:after="20" w:line="240" w:lineRule="auto"/>
            </w:pPr>
            <w:r>
              <w:rPr>
                <w:b/>
                <w:color w:val="1A202C"/>
                <w:sz w:val="20"/>
              </w:rPr>
              <w:t xml:space="preserve">92 to 180 aircraft</w:t>
            </w:r>
          </w:p>
        </w:tc>
        <w:tc>
          <w:tcPr>
            <w:tcW w:w="1985" w:type="dxa"/>
            <w:tcMar>
              <w:top w:w="40" w:type="dxa"/>
              <w:left w:w="80" w:type="dxa"/>
              <w:bottom w:w="40" w:type="dxa"/>
              <w:right w:w="80" w:type="dxa"/>
            </w:tcMar>
          </w:tcPr>
          <w:p>
            <w:pPr>
              <w:spacing w:before="20" w:after="20" w:line="240" w:lineRule="auto"/>
            </w:pPr>
            <w:r>
              <w:rPr>
                <w:b/>
                <w:color w:val="1A202C"/>
                <w:sz w:val="20"/>
              </w:rPr>
              <w:t xml:space="preserve">$12.3 to 24.0B</w:t>
            </w:r>
          </w:p>
        </w:tc>
        <w:tc>
          <w:tcPr>
            <w:tcW w:w="1263" w:type="dxa"/>
            <w:tcMar>
              <w:top w:w="40" w:type="dxa"/>
              <w:left w:w="80" w:type="dxa"/>
              <w:bottom w:w="40" w:type="dxa"/>
              <w:right w:w="80" w:type="dxa"/>
            </w:tcMar>
          </w:tcPr>
          <w:p>
            <w:pPr>
              <w:spacing w:before="20" w:after="20" w:line="240" w:lineRule="auto"/>
            </w:pPr>
            <w:r>
              <w:rPr>
                <w:b/>
                <w:color w:val="1A202C"/>
                <w:sz w:val="20"/>
              </w:rPr>
              <w:t xml:space="preserve">2036 to 2048</w:t>
            </w:r>
          </w:p>
        </w:tc>
        <w:tc>
          <w:tcPr>
            <w:tcW w:w="1808" w:type="dxa"/>
            <w:tcMar>
              <w:top w:w="40" w:type="dxa"/>
              <w:left w:w="80" w:type="dxa"/>
              <w:bottom w:w="40" w:type="dxa"/>
              <w:right w:w="80" w:type="dxa"/>
            </w:tcMar>
          </w:tcPr>
          <w:p>
            <w:pPr>
              <w:spacing w:before="20" w:after="20" w:line="240" w:lineRule="auto"/>
            </w:pPr>
            <w:r>
              <w:rPr>
                <w:b/>
                <w:color w:val="1A202C"/>
                <w:sz w:val="20"/>
              </w:rPr>
              <w:t xml:space="preserve">Gross addressable demand</w:t>
            </w:r>
          </w:p>
        </w:tc>
      </w:tr>
    </w:tbl>
    <w:p>
      <w:pPr>
        <w:pStyle w:val="Heading2"/>
      </w:pPr>
      <w:r>
        <w:t>8.3 Export Revenue</w:t>
      </w:r>
    </w:p>
    <w:tbl>
      <w:tblPr>
        <w:tblW w:w="5000" w:type="pct"/>
        <w:tblBorders>
          <w:top w:val="single" w:color="1A2744" w:sz="12"/>
          <w:left w:val="nil"/>
          <w:bottom w:val="single" w:color="1A2744" w:sz="12"/>
          <w:right w:val="nil"/>
          <w:insideH w:val="single" w:color="C8C4BC" w:sz="4"/>
          <w:insideV w:val="nil"/>
        </w:tblBorders>
      </w:tblPr>
      <w:tblGrid>
        <w:gridCol w:w="2707"/>
        <w:gridCol w:w="1805"/>
        <w:gridCol w:w="2166"/>
        <w:gridCol w:w="2348"/>
      </w:tblGrid>
      <w:tr>
        <w:trPr>
          <w:tblHeader/>
        </w:trPr>
        <w:tc>
          <w:tcPr>
            <w:tcW w:w="2707" w:type="dxa"/>
            <w:shd w:val="clear" w:fill="F4F2EE"/>
            <w:tcMar>
              <w:top w:w="40" w:type="dxa"/>
              <w:left w:w="80" w:type="dxa"/>
              <w:bottom w:w="40" w:type="dxa"/>
              <w:right w:w="80" w:type="dxa"/>
            </w:tcMar>
          </w:tcPr>
          <w:p>
            <w:pPr>
              <w:spacing w:before="20" w:after="20" w:line="240" w:lineRule="auto"/>
            </w:pPr>
            <w:r>
              <w:rPr>
                <w:b/>
                <w:color w:val="1A2744"/>
                <w:sz w:val="20"/>
              </w:rPr>
              <w:t xml:space="preserve">Scenario</w:t>
            </w:r>
          </w:p>
        </w:tc>
        <w:tc>
          <w:tcPr>
            <w:tcW w:w="1805" w:type="dxa"/>
            <w:shd w:val="clear" w:fill="F4F2EE"/>
            <w:tcMar>
              <w:top w:w="40" w:type="dxa"/>
              <w:left w:w="80" w:type="dxa"/>
              <w:bottom w:w="40" w:type="dxa"/>
              <w:right w:w="80" w:type="dxa"/>
            </w:tcMar>
          </w:tcPr>
          <w:p>
            <w:pPr>
              <w:spacing w:before="20" w:after="20" w:line="240" w:lineRule="auto"/>
            </w:pPr>
            <w:r>
              <w:rPr>
                <w:b/>
                <w:color w:val="1A2744"/>
                <w:sz w:val="20"/>
              </w:rPr>
              <w:t xml:space="preserve">Cumulative Revenue (2035 to 2050)</w:t>
            </w:r>
          </w:p>
        </w:tc>
        <w:tc>
          <w:tcPr>
            <w:tcW w:w="2166" w:type="dxa"/>
            <w:shd w:val="clear" w:fill="F4F2EE"/>
            <w:tcMar>
              <w:top w:w="40" w:type="dxa"/>
              <w:left w:w="80" w:type="dxa"/>
              <w:bottom w:w="40" w:type="dxa"/>
              <w:right w:w="80" w:type="dxa"/>
            </w:tcMar>
          </w:tcPr>
          <w:p>
            <w:pPr>
              <w:spacing w:before="20" w:after="20" w:line="240" w:lineRule="auto"/>
            </w:pPr>
            <w:r>
              <w:rPr>
                <w:b/>
                <w:color w:val="1A2744"/>
                <w:sz w:val="20"/>
              </w:rPr>
              <w:t xml:space="preserve">Jobs Supported</w:t>
            </w:r>
          </w:p>
        </w:tc>
        <w:tc>
          <w:tcPr>
            <w:tcW w:w="2348" w:type="dxa"/>
            <w:shd w:val="clear" w:fill="F4F2EE"/>
            <w:tcMar>
              <w:top w:w="40" w:type="dxa"/>
              <w:left w:w="80" w:type="dxa"/>
              <w:bottom w:w="40" w:type="dxa"/>
              <w:right w:w="80" w:type="dxa"/>
            </w:tcMar>
          </w:tcPr>
          <w:p>
            <w:pPr>
              <w:spacing w:before="20" w:after="20" w:line="240" w:lineRule="auto"/>
            </w:pPr>
            <w:r>
              <w:rPr>
                <w:b/>
                <w:color w:val="1A2744"/>
                <w:sz w:val="20"/>
              </w:rPr>
              <w:t xml:space="preserve">Share of Addressable Demand</w:t>
            </w:r>
          </w:p>
        </w:tc>
      </w:tr>
      <w:tr>
        <w:tc>
          <w:tcPr>
            <w:tcW w:w="2707" w:type="dxa"/>
            <w:tcMar>
              <w:top w:w="40" w:type="dxa"/>
              <w:left w:w="80" w:type="dxa"/>
              <w:bottom w:w="40" w:type="dxa"/>
              <w:right w:w="80" w:type="dxa"/>
            </w:tcMar>
          </w:tcPr>
          <w:p>
            <w:pPr>
              <w:spacing w:before="20" w:after="20" w:line="240" w:lineRule="auto"/>
            </w:pPr>
            <w:r>
              <w:rPr>
                <w:color w:val="1A202C"/>
                <w:sz w:val="20"/>
              </w:rPr>
              <w:t xml:space="preserve">Conservative</w:t>
            </w:r>
          </w:p>
        </w:tc>
        <w:tc>
          <w:tcPr>
            <w:tcW w:w="1805" w:type="dxa"/>
            <w:tcMar>
              <w:top w:w="40" w:type="dxa"/>
              <w:left w:w="80" w:type="dxa"/>
              <w:bottom w:w="40" w:type="dxa"/>
              <w:right w:w="80" w:type="dxa"/>
            </w:tcMar>
          </w:tcPr>
          <w:p>
            <w:pPr>
              <w:spacing w:before="20" w:after="20" w:line="240" w:lineRule="auto"/>
            </w:pPr>
            <w:r>
              <w:rPr>
                <w:color w:val="1A202C"/>
                <w:sz w:val="20"/>
              </w:rPr>
              <w:t xml:space="preserve">$6.0B</w:t>
            </w:r>
          </w:p>
        </w:tc>
        <w:tc>
          <w:tcPr>
            <w:tcW w:w="2166" w:type="dxa"/>
            <w:tcMar>
              <w:top w:w="40" w:type="dxa"/>
              <w:left w:w="80" w:type="dxa"/>
              <w:bottom w:w="40" w:type="dxa"/>
              <w:right w:w="80" w:type="dxa"/>
            </w:tcMar>
          </w:tcPr>
          <w:p>
            <w:pPr>
              <w:spacing w:before="20" w:after="20" w:line="240" w:lineRule="auto"/>
            </w:pPr>
            <w:r>
              <w:rPr>
                <w:color w:val="1A202C"/>
                <w:sz w:val="20"/>
              </w:rPr>
              <w:t xml:space="preserve">1,400</w:t>
            </w:r>
          </w:p>
        </w:tc>
        <w:tc>
          <w:tcPr>
            <w:tcW w:w="2348" w:type="dxa"/>
            <w:tcMar>
              <w:top w:w="40" w:type="dxa"/>
              <w:left w:w="80" w:type="dxa"/>
              <w:bottom w:w="40" w:type="dxa"/>
              <w:right w:w="80" w:type="dxa"/>
            </w:tcMar>
          </w:tcPr>
          <w:p>
            <w:pPr>
              <w:spacing w:before="20" w:after="20" w:line="240" w:lineRule="auto"/>
            </w:pPr>
            <w:r>
              <w:rPr>
                <w:color w:val="1A202C"/>
                <w:sz w:val="20"/>
              </w:rPr>
              <w:t xml:space="preserve">25% of opportunities</w:t>
            </w:r>
          </w:p>
        </w:tc>
      </w:tr>
      <w:tr>
        <w:tc>
          <w:tcPr>
            <w:tcW w:w="2707" w:type="dxa"/>
            <w:tcMar>
              <w:top w:w="40" w:type="dxa"/>
              <w:left w:w="80" w:type="dxa"/>
              <w:bottom w:w="40" w:type="dxa"/>
              <w:right w:w="80" w:type="dxa"/>
            </w:tcMar>
          </w:tcPr>
          <w:p>
            <w:pPr>
              <w:spacing w:before="20" w:after="20" w:line="240" w:lineRule="auto"/>
            </w:pPr>
            <w:r>
              <w:rPr>
                <w:color w:val="1A202C"/>
                <w:sz w:val="20"/>
              </w:rPr>
              <w:t xml:space="preserve">Moderate</w:t>
            </w:r>
          </w:p>
        </w:tc>
        <w:tc>
          <w:tcPr>
            <w:tcW w:w="1805" w:type="dxa"/>
            <w:tcMar>
              <w:top w:w="40" w:type="dxa"/>
              <w:left w:w="80" w:type="dxa"/>
              <w:bottom w:w="40" w:type="dxa"/>
              <w:right w:w="80" w:type="dxa"/>
            </w:tcMar>
          </w:tcPr>
          <w:p>
            <w:pPr>
              <w:spacing w:before="20" w:after="20" w:line="240" w:lineRule="auto"/>
            </w:pPr>
            <w:r>
              <w:rPr>
                <w:color w:val="1A202C"/>
                <w:sz w:val="20"/>
              </w:rPr>
              <w:t xml:space="preserve">$8.0B</w:t>
            </w:r>
          </w:p>
        </w:tc>
        <w:tc>
          <w:tcPr>
            <w:tcW w:w="2166" w:type="dxa"/>
            <w:tcMar>
              <w:top w:w="40" w:type="dxa"/>
              <w:left w:w="80" w:type="dxa"/>
              <w:bottom w:w="40" w:type="dxa"/>
              <w:right w:w="80" w:type="dxa"/>
            </w:tcMar>
          </w:tcPr>
          <w:p>
            <w:pPr>
              <w:spacing w:before="20" w:after="20" w:line="240" w:lineRule="auto"/>
            </w:pPr>
            <w:r>
              <w:rPr>
                <w:color w:val="1A202C"/>
                <w:sz w:val="20"/>
              </w:rPr>
              <w:t xml:space="preserve">1,900</w:t>
            </w:r>
          </w:p>
        </w:tc>
        <w:tc>
          <w:tcPr>
            <w:tcW w:w="2348" w:type="dxa"/>
            <w:tcMar>
              <w:top w:w="40" w:type="dxa"/>
              <w:left w:w="80" w:type="dxa"/>
              <w:bottom w:w="40" w:type="dxa"/>
              <w:right w:w="80" w:type="dxa"/>
            </w:tcMar>
          </w:tcPr>
          <w:p>
            <w:pPr>
              <w:spacing w:before="20" w:after="20" w:line="240" w:lineRule="auto"/>
            </w:pPr>
            <w:r>
              <w:rPr>
                <w:color w:val="1A202C"/>
                <w:sz w:val="20"/>
              </w:rPr>
              <w:t xml:space="preserve">33% of opportunities</w:t>
            </w:r>
          </w:p>
        </w:tc>
      </w:tr>
      <w:tr>
        <w:tc>
          <w:tcPr>
            <w:tcW w:w="2707" w:type="dxa"/>
            <w:tcMar>
              <w:top w:w="40" w:type="dxa"/>
              <w:left w:w="80" w:type="dxa"/>
              <w:bottom w:w="40" w:type="dxa"/>
              <w:right w:w="80" w:type="dxa"/>
            </w:tcMar>
          </w:tcPr>
          <w:p>
            <w:pPr>
              <w:spacing w:before="20" w:after="20" w:line="240" w:lineRule="auto"/>
            </w:pPr>
            <w:r>
              <w:rPr>
                <w:color w:val="1A202C"/>
                <w:sz w:val="20"/>
              </w:rPr>
              <w:t xml:space="preserve">Aggressive</w:t>
            </w:r>
          </w:p>
        </w:tc>
        <w:tc>
          <w:tcPr>
            <w:tcW w:w="1805" w:type="dxa"/>
            <w:tcMar>
              <w:top w:w="40" w:type="dxa"/>
              <w:left w:w="80" w:type="dxa"/>
              <w:bottom w:w="40" w:type="dxa"/>
              <w:right w:w="80" w:type="dxa"/>
            </w:tcMar>
          </w:tcPr>
          <w:p>
            <w:pPr>
              <w:spacing w:before="20" w:after="20" w:line="240" w:lineRule="auto"/>
            </w:pPr>
            <w:r>
              <w:rPr>
                <w:color w:val="1A202C"/>
                <w:sz w:val="20"/>
              </w:rPr>
              <w:t xml:space="preserve">$10.0B</w:t>
            </w:r>
          </w:p>
        </w:tc>
        <w:tc>
          <w:tcPr>
            <w:tcW w:w="2166" w:type="dxa"/>
            <w:tcMar>
              <w:top w:w="40" w:type="dxa"/>
              <w:left w:w="80" w:type="dxa"/>
              <w:bottom w:w="40" w:type="dxa"/>
              <w:right w:w="80" w:type="dxa"/>
            </w:tcMar>
          </w:tcPr>
          <w:p>
            <w:pPr>
              <w:spacing w:before="20" w:after="20" w:line="240" w:lineRule="auto"/>
            </w:pPr>
            <w:r>
              <w:rPr>
                <w:color w:val="1A202C"/>
                <w:sz w:val="20"/>
              </w:rPr>
              <w:t xml:space="preserve">2,400</w:t>
            </w:r>
          </w:p>
        </w:tc>
        <w:tc>
          <w:tcPr>
            <w:tcW w:w="2348" w:type="dxa"/>
            <w:tcMar>
              <w:top w:w="40" w:type="dxa"/>
              <w:left w:w="80" w:type="dxa"/>
              <w:bottom w:w="40" w:type="dxa"/>
              <w:right w:w="80" w:type="dxa"/>
            </w:tcMar>
          </w:tcPr>
          <w:p>
            <w:pPr>
              <w:spacing w:before="20" w:after="20" w:line="240" w:lineRule="auto"/>
            </w:pPr>
            <w:r>
              <w:rPr>
                <w:color w:val="1A202C"/>
                <w:sz w:val="20"/>
              </w:rPr>
              <w:t xml:space="preserve">42% of opportunities</w:t>
            </w:r>
          </w:p>
        </w:tc>
      </w:tr>
    </w:tbl>
    <w:p>
      <w:pPr>
        <w:spacing w:after="180" w:line="288" w:lineRule="auto"/>
      </w:pPr>
      <w:r>
        <w:rPr>
          <w:b/>
        </w:rPr>
        <w:t xml:space="preserve">Context: </w:t>
      </w:r>
      <w:r>
        <w:t xml:space="preserve">Canada exported $28.2 billion in aerospace goods to more than 170 countries in 2025, with over 70% of manufacturing revenue export-related. Every export aircraft extends the production run beyond the 204-unit domestic base, pulls the learning curve below the $94M unit-204 figure, and lowers the effective cost of the RCAF fleet itself.</w:t>
      </w:r>
    </w:p>
    <w:p>
      <w:pPr>
        <w:pStyle w:val="Heading1"/>
      </w:pPr>
      <w:r>
        <w:t>PART IX: WORKFORCE DEVELOPMENT AND TRANSITION</w:t>
      </w:r>
    </w:p>
    <w:p>
      <w:pPr>
        <w:pStyle w:val="Heading2"/>
      </w:pPr>
      <w:r>
        <w:t>9.1 Occupational Demand Profile</w:t>
      </w:r>
    </w:p>
    <w:tbl>
      <w:tblPr>
        <w:tblW w:w="5000" w:type="pct"/>
        <w:tblBorders>
          <w:top w:val="single" w:color="1A2744" w:sz="12"/>
          <w:left w:val="nil"/>
          <w:bottom w:val="single" w:color="1A2744" w:sz="12"/>
          <w:right w:val="nil"/>
          <w:insideH w:val="single" w:color="C8C4BC" w:sz="4"/>
          <w:insideV w:val="nil"/>
        </w:tblBorders>
      </w:tblPr>
      <w:tblGrid>
        <w:gridCol w:w="4693"/>
        <w:gridCol w:w="1805"/>
        <w:gridCol w:w="2528"/>
      </w:tblGrid>
      <w:tr>
        <w:trPr>
          <w:tblHeader/>
        </w:trPr>
        <w:tc>
          <w:tcPr>
            <w:tcW w:w="4693" w:type="dxa"/>
            <w:shd w:val="clear" w:fill="F4F2EE"/>
            <w:tcMar>
              <w:top w:w="40" w:type="dxa"/>
              <w:left w:w="80" w:type="dxa"/>
              <w:bottom w:w="40" w:type="dxa"/>
              <w:right w:w="80" w:type="dxa"/>
            </w:tcMar>
          </w:tcPr>
          <w:p>
            <w:pPr>
              <w:spacing w:before="20" w:after="20" w:line="240" w:lineRule="auto"/>
            </w:pPr>
            <w:r>
              <w:rPr>
                <w:b/>
                <w:color w:val="1A2744"/>
                <w:sz w:val="20"/>
              </w:rPr>
              <w:t xml:space="preserve">Occupation Group</w:t>
            </w:r>
          </w:p>
        </w:tc>
        <w:tc>
          <w:tcPr>
            <w:tcW w:w="1805" w:type="dxa"/>
            <w:shd w:val="clear" w:fill="F4F2EE"/>
            <w:tcMar>
              <w:top w:w="40" w:type="dxa"/>
              <w:left w:w="80" w:type="dxa"/>
              <w:bottom w:w="40" w:type="dxa"/>
              <w:right w:w="80" w:type="dxa"/>
            </w:tcMar>
          </w:tcPr>
          <w:p>
            <w:pPr>
              <w:spacing w:before="20" w:after="20" w:line="240" w:lineRule="auto"/>
            </w:pPr>
            <w:r>
              <w:rPr>
                <w:b/>
                <w:color w:val="1A2744"/>
                <w:sz w:val="20"/>
              </w:rPr>
              <w:t xml:space="preserve">Peak Direct Jobs</w:t>
            </w:r>
          </w:p>
        </w:tc>
        <w:tc>
          <w:tcPr>
            <w:tcW w:w="2528" w:type="dxa"/>
            <w:shd w:val="clear" w:fill="F4F2EE"/>
            <w:tcMar>
              <w:top w:w="40" w:type="dxa"/>
              <w:left w:w="80" w:type="dxa"/>
              <w:bottom w:w="40" w:type="dxa"/>
              <w:right w:w="80" w:type="dxa"/>
            </w:tcMar>
          </w:tcPr>
          <w:p>
            <w:pPr>
              <w:spacing w:before="20" w:after="20" w:line="240" w:lineRule="auto"/>
            </w:pPr>
            <w:r>
              <w:rPr>
                <w:b/>
                <w:color w:val="1A2744"/>
                <w:sz w:val="20"/>
              </w:rPr>
              <w:t xml:space="preserve">Note</w:t>
            </w:r>
          </w:p>
        </w:tc>
      </w:tr>
      <w:tr>
        <w:tc>
          <w:tcPr>
            <w:tcW w:w="4693" w:type="dxa"/>
            <w:tcMar>
              <w:top w:w="40" w:type="dxa"/>
              <w:left w:w="80" w:type="dxa"/>
              <w:bottom w:w="40" w:type="dxa"/>
              <w:right w:w="80" w:type="dxa"/>
            </w:tcMar>
          </w:tcPr>
          <w:p>
            <w:pPr>
              <w:spacing w:before="20" w:after="20" w:line="240" w:lineRule="auto"/>
            </w:pPr>
            <w:r>
              <w:rPr>
                <w:color w:val="1A202C"/>
                <w:sz w:val="20"/>
              </w:rPr>
              <w:t xml:space="preserve">Engineers (aerospace, systems, software)</w:t>
            </w:r>
          </w:p>
        </w:tc>
        <w:tc>
          <w:tcPr>
            <w:tcW w:w="1805" w:type="dxa"/>
            <w:tcMar>
              <w:top w:w="40" w:type="dxa"/>
              <w:left w:w="80" w:type="dxa"/>
              <w:bottom w:w="40" w:type="dxa"/>
              <w:right w:w="80" w:type="dxa"/>
            </w:tcMar>
          </w:tcPr>
          <w:p>
            <w:pPr>
              <w:spacing w:before="20" w:after="20" w:line="240" w:lineRule="auto"/>
            </w:pPr>
            <w:r>
              <w:rPr>
                <w:color w:val="1A202C"/>
                <w:sz w:val="20"/>
              </w:rPr>
              <w:t xml:space="preserve">2,800</w:t>
            </w:r>
          </w:p>
        </w:tc>
        <w:tc>
          <w:tcPr>
            <w:tcW w:w="2528" w:type="dxa"/>
            <w:tcMar>
              <w:top w:w="40" w:type="dxa"/>
              <w:left w:w="80" w:type="dxa"/>
              <w:bottom w:w="40" w:type="dxa"/>
              <w:right w:w="80" w:type="dxa"/>
            </w:tcMar>
          </w:tcPr>
          <w:p>
            <w:pPr>
              <w:spacing w:before="20" w:after="20" w:line="240" w:lineRule="auto"/>
            </w:pPr>
            <w:r>
              <w:rPr>
                <w:color w:val="1A202C"/>
                <w:sz w:val="20"/>
              </w:rPr>
              <w:t xml:space="preserve">Development-phase peak</w:t>
            </w:r>
          </w:p>
        </w:tc>
      </w:tr>
      <w:tr>
        <w:tc>
          <w:tcPr>
            <w:tcW w:w="4693" w:type="dxa"/>
            <w:tcMar>
              <w:top w:w="40" w:type="dxa"/>
              <w:left w:w="80" w:type="dxa"/>
              <w:bottom w:w="40" w:type="dxa"/>
              <w:right w:w="80" w:type="dxa"/>
            </w:tcMar>
          </w:tcPr>
          <w:p>
            <w:pPr>
              <w:spacing w:before="20" w:after="20" w:line="240" w:lineRule="auto"/>
            </w:pPr>
            <w:r>
              <w:rPr>
                <w:color w:val="1A202C"/>
                <w:sz w:val="20"/>
              </w:rPr>
              <w:t xml:space="preserve">Skilled trades (machining, assembly, composites)</w:t>
            </w:r>
          </w:p>
        </w:tc>
        <w:tc>
          <w:tcPr>
            <w:tcW w:w="1805" w:type="dxa"/>
            <w:tcMar>
              <w:top w:w="40" w:type="dxa"/>
              <w:left w:w="80" w:type="dxa"/>
              <w:bottom w:w="40" w:type="dxa"/>
              <w:right w:w="80" w:type="dxa"/>
            </w:tcMar>
          </w:tcPr>
          <w:p>
            <w:pPr>
              <w:spacing w:before="20" w:after="20" w:line="240" w:lineRule="auto"/>
            </w:pPr>
            <w:r>
              <w:rPr>
                <w:color w:val="1A202C"/>
                <w:sz w:val="20"/>
              </w:rPr>
              <w:t xml:space="preserve">4,600</w:t>
            </w:r>
          </w:p>
        </w:tc>
        <w:tc>
          <w:tcPr>
            <w:tcW w:w="2528" w:type="dxa"/>
            <w:tcMar>
              <w:top w:w="40" w:type="dxa"/>
              <w:left w:w="80" w:type="dxa"/>
              <w:bottom w:w="40" w:type="dxa"/>
              <w:right w:w="80" w:type="dxa"/>
            </w:tcMar>
          </w:tcPr>
          <w:p>
            <w:pPr>
              <w:spacing w:before="20" w:after="20" w:line="240" w:lineRule="auto"/>
            </w:pPr>
            <w:r>
              <w:rPr>
                <w:color w:val="1A202C"/>
                <w:sz w:val="20"/>
              </w:rPr>
              <w:t xml:space="preserve">Production-phase peak</w:t>
            </w:r>
          </w:p>
        </w:tc>
      </w:tr>
      <w:tr>
        <w:tc>
          <w:tcPr>
            <w:tcW w:w="4693" w:type="dxa"/>
            <w:tcMar>
              <w:top w:w="40" w:type="dxa"/>
              <w:left w:w="80" w:type="dxa"/>
              <w:bottom w:w="40" w:type="dxa"/>
              <w:right w:w="80" w:type="dxa"/>
            </w:tcMar>
          </w:tcPr>
          <w:p>
            <w:pPr>
              <w:spacing w:before="20" w:after="20" w:line="240" w:lineRule="auto"/>
            </w:pPr>
            <w:r>
              <w:rPr>
                <w:color w:val="1A202C"/>
                <w:sz w:val="20"/>
              </w:rPr>
              <w:t xml:space="preserve">Technicians (avionics, NDT, quality)</w:t>
            </w:r>
          </w:p>
        </w:tc>
        <w:tc>
          <w:tcPr>
            <w:tcW w:w="1805" w:type="dxa"/>
            <w:tcMar>
              <w:top w:w="40" w:type="dxa"/>
              <w:left w:w="80" w:type="dxa"/>
              <w:bottom w:w="40" w:type="dxa"/>
              <w:right w:w="80" w:type="dxa"/>
            </w:tcMar>
          </w:tcPr>
          <w:p>
            <w:pPr>
              <w:spacing w:before="20" w:after="20" w:line="240" w:lineRule="auto"/>
            </w:pPr>
            <w:r>
              <w:rPr>
                <w:color w:val="1A202C"/>
                <w:sz w:val="20"/>
              </w:rPr>
              <w:t xml:space="preserve">2,400</w:t>
            </w:r>
          </w:p>
        </w:tc>
        <w:tc>
          <w:tcPr>
            <w:tcW w:w="2528" w:type="dxa"/>
            <w:tcMar>
              <w:top w:w="40" w:type="dxa"/>
              <w:left w:w="80" w:type="dxa"/>
              <w:bottom w:w="40" w:type="dxa"/>
              <w:right w:w="80" w:type="dxa"/>
            </w:tcMar>
          </w:tcPr>
          <w:p>
            <w:pPr>
              <w:spacing w:before="20" w:after="20" w:line="240" w:lineRule="auto"/>
            </w:pPr>
            <w:r>
              <w:rPr>
                <w:color w:val="1A202C"/>
                <w:sz w:val="20"/>
              </w:rPr>
              <w:t xml:space="preserve">Steady across phases</w:t>
            </w:r>
          </w:p>
        </w:tc>
      </w:tr>
      <w:tr>
        <w:tc>
          <w:tcPr>
            <w:tcW w:w="4693" w:type="dxa"/>
            <w:tcMar>
              <w:top w:w="40" w:type="dxa"/>
              <w:left w:w="80" w:type="dxa"/>
              <w:bottom w:w="40" w:type="dxa"/>
              <w:right w:w="80" w:type="dxa"/>
            </w:tcMar>
          </w:tcPr>
          <w:p>
            <w:pPr>
              <w:spacing w:before="20" w:after="20" w:line="240" w:lineRule="auto"/>
            </w:pPr>
            <w:r>
              <w:rPr>
                <w:color w:val="1A202C"/>
                <w:sz w:val="20"/>
              </w:rPr>
              <w:t xml:space="preserve">Software and AI specialists</w:t>
            </w:r>
          </w:p>
        </w:tc>
        <w:tc>
          <w:tcPr>
            <w:tcW w:w="1805" w:type="dxa"/>
            <w:tcMar>
              <w:top w:w="40" w:type="dxa"/>
              <w:left w:w="80" w:type="dxa"/>
              <w:bottom w:w="40" w:type="dxa"/>
              <w:right w:w="80" w:type="dxa"/>
            </w:tcMar>
          </w:tcPr>
          <w:p>
            <w:pPr>
              <w:spacing w:before="20" w:after="20" w:line="240" w:lineRule="auto"/>
            </w:pPr>
            <w:r>
              <w:rPr>
                <w:color w:val="1A202C"/>
                <w:sz w:val="20"/>
              </w:rPr>
              <w:t xml:space="preserve">1,500</w:t>
            </w:r>
          </w:p>
        </w:tc>
        <w:tc>
          <w:tcPr>
            <w:tcW w:w="2528" w:type="dxa"/>
            <w:tcMar>
              <w:top w:w="40" w:type="dxa"/>
              <w:left w:w="80" w:type="dxa"/>
              <w:bottom w:w="40" w:type="dxa"/>
              <w:right w:w="80" w:type="dxa"/>
            </w:tcMar>
          </w:tcPr>
          <w:p>
            <w:pPr>
              <w:spacing w:before="20" w:after="20" w:line="240" w:lineRule="auto"/>
            </w:pPr>
            <w:r>
              <w:rPr>
                <w:color w:val="1A202C"/>
                <w:sz w:val="20"/>
              </w:rPr>
              <w:t xml:space="preserve">ECHO, mission systems, digital twin</w:t>
            </w:r>
          </w:p>
        </w:tc>
      </w:tr>
      <w:tr>
        <w:tc>
          <w:tcPr>
            <w:tcW w:w="4693" w:type="dxa"/>
            <w:tcMar>
              <w:top w:w="40" w:type="dxa"/>
              <w:left w:w="80" w:type="dxa"/>
              <w:bottom w:w="40" w:type="dxa"/>
              <w:right w:w="80" w:type="dxa"/>
            </w:tcMar>
          </w:tcPr>
          <w:p>
            <w:pPr>
              <w:spacing w:before="20" w:after="20" w:line="240" w:lineRule="auto"/>
            </w:pPr>
            <w:r>
              <w:rPr>
                <w:color w:val="1A202C"/>
                <w:sz w:val="20"/>
              </w:rPr>
              <w:t xml:space="preserve">Program management and support</w:t>
            </w:r>
          </w:p>
        </w:tc>
        <w:tc>
          <w:tcPr>
            <w:tcW w:w="1805" w:type="dxa"/>
            <w:tcMar>
              <w:top w:w="40" w:type="dxa"/>
              <w:left w:w="80" w:type="dxa"/>
              <w:bottom w:w="40" w:type="dxa"/>
              <w:right w:w="80" w:type="dxa"/>
            </w:tcMar>
          </w:tcPr>
          <w:p>
            <w:pPr>
              <w:spacing w:before="20" w:after="20" w:line="240" w:lineRule="auto"/>
            </w:pPr>
            <w:r>
              <w:rPr>
                <w:color w:val="1A202C"/>
                <w:sz w:val="20"/>
              </w:rPr>
              <w:t xml:space="preserve">700</w:t>
            </w:r>
          </w:p>
        </w:tc>
        <w:tc>
          <w:tcPr>
            <w:tcW w:w="2528" w:type="dxa"/>
            <w:tcMar>
              <w:top w:w="40" w:type="dxa"/>
              <w:left w:w="80" w:type="dxa"/>
              <w:bottom w:w="40" w:type="dxa"/>
              <w:right w:w="80" w:type="dxa"/>
            </w:tcMar>
          </w:tcPr>
          <w:p>
            <w:pPr>
              <w:spacing w:before="20" w:after="20" w:line="240" w:lineRule="auto"/>
            </w:pPr>
            <w:r>
              <w:rPr>
                <w:color w:val="1A202C"/>
                <w:sz w:val="20"/>
              </w:rPr>
              <w:t xml:space="preserve">Program office and primes</w:t>
            </w:r>
          </w:p>
        </w:tc>
      </w:tr>
      <w:tr>
        <w:tc>
          <w:tcPr>
            <w:tcW w:w="4693" w:type="dxa"/>
            <w:tcMar>
              <w:top w:w="40" w:type="dxa"/>
              <w:left w:w="80" w:type="dxa"/>
              <w:bottom w:w="40" w:type="dxa"/>
              <w:right w:w="80" w:type="dxa"/>
            </w:tcMar>
          </w:tcPr>
          <w:p>
            <w:pPr>
              <w:spacing w:before="20" w:after="20" w:line="240" w:lineRule="auto"/>
            </w:pPr>
            <w:r>
              <w:rPr>
                <w:b/>
                <w:color w:val="1A202C"/>
                <w:sz w:val="20"/>
              </w:rPr>
              <w:t xml:space="preserve">TOTAL</w:t>
            </w:r>
          </w:p>
        </w:tc>
        <w:tc>
          <w:tcPr>
            <w:tcW w:w="1805" w:type="dxa"/>
            <w:tcMar>
              <w:top w:w="40" w:type="dxa"/>
              <w:left w:w="80" w:type="dxa"/>
              <w:bottom w:w="40" w:type="dxa"/>
              <w:right w:w="80" w:type="dxa"/>
            </w:tcMar>
          </w:tcPr>
          <w:p>
            <w:pPr>
              <w:spacing w:before="20" w:after="20" w:line="240" w:lineRule="auto"/>
            </w:pPr>
            <w:r>
              <w:rPr>
                <w:b/>
                <w:color w:val="1A202C"/>
                <w:sz w:val="20"/>
              </w:rPr>
              <w:t xml:space="preserve">12,000</w:t>
            </w:r>
          </w:p>
        </w:tc>
        <w:tc>
          <w:tcPr>
            <w:tcW w:w="2528" w:type="dxa"/>
            <w:tcMar>
              <w:top w:w="40" w:type="dxa"/>
              <w:left w:w="80" w:type="dxa"/>
              <w:bottom w:w="40" w:type="dxa"/>
              <w:right w:w="80" w:type="dxa"/>
            </w:tcMar>
          </w:tcPr>
          <w:p>
            <w:pPr>
              <w:spacing w:before="20" w:after="20" w:line="240" w:lineRule="auto"/>
            </w:pPr>
            <w:r>
              <w:rPr>
                <w:b/>
                <w:color w:val="1A202C"/>
                <w:sz w:val="20"/>
              </w:rPr>
              <w:t xml:space="preserve">Peak direct employment</w:t>
            </w:r>
          </w:p>
        </w:tc>
      </w:tr>
    </w:tbl>
    <w:p>
      <w:pPr>
        <w:spacing w:after="180" w:line="288" w:lineRule="auto"/>
      </w:pPr>
      <w:r>
        <w:t xml:space="preserve">Aerospace manufacturing runs 2.2 to 2.3 times more STEM-intensive than the broader manufacturing sector, and its workers earn roughly 25% more than the manufacturing average. The Aurora Arrow concentrates demand in the highest-paid bands of that distribution.</w:t>
      </w:r>
    </w:p>
    <w:p>
      <w:pPr>
        <w:pStyle w:val="Heading2"/>
      </w:pPr>
      <w:r>
        <w:t>9.2 Automotive-to-Aerospace Transition</w:t>
      </w:r>
    </w:p>
    <w:p>
      <w:pPr>
        <w:spacing w:after="180" w:line="288" w:lineRule="auto"/>
      </w:pPr>
      <w:r>
        <w:t xml:space="preserve">Ontario's motor vehicle manufacturing sector employed 148,300 workers directly in 2024. The electric-vehicle transition and US tariff pressure place an estimated 50,000 to 70,000 of those jobs at risk by 2035. The program hiring ramp from 2027 to 2035 aligns directly with that displacement window, and the skills transfer cleanly.</w:t>
      </w:r>
    </w:p>
    <w:tbl>
      <w:tblPr>
        <w:tblW w:w="5000" w:type="pct"/>
        <w:tblBorders>
          <w:top w:val="single" w:color="1A2744" w:sz="12"/>
          <w:left w:val="nil"/>
          <w:bottom w:val="single" w:color="1A2744" w:sz="12"/>
          <w:right w:val="nil"/>
          <w:insideH w:val="single" w:color="C8C4BC" w:sz="4"/>
          <w:insideV w:val="nil"/>
        </w:tblBorders>
      </w:tblPr>
      <w:tblGrid>
        <w:gridCol w:w="2527"/>
        <w:gridCol w:w="2707"/>
        <w:gridCol w:w="1805"/>
        <w:gridCol w:w="1987"/>
      </w:tblGrid>
      <w:tr>
        <w:trPr>
          <w:tblHeader/>
        </w:trPr>
        <w:tc>
          <w:tcPr>
            <w:tcW w:w="2527" w:type="dxa"/>
            <w:shd w:val="clear" w:fill="F4F2EE"/>
            <w:tcMar>
              <w:top w:w="40" w:type="dxa"/>
              <w:left w:w="80" w:type="dxa"/>
              <w:bottom w:w="40" w:type="dxa"/>
              <w:right w:w="80" w:type="dxa"/>
            </w:tcMar>
          </w:tcPr>
          <w:p>
            <w:pPr>
              <w:spacing w:before="20" w:after="20" w:line="240" w:lineRule="auto"/>
            </w:pPr>
            <w:r>
              <w:rPr>
                <w:b/>
                <w:color w:val="1A2744"/>
                <w:sz w:val="20"/>
              </w:rPr>
              <w:t xml:space="preserve">Auto Skill</w:t>
            </w:r>
          </w:p>
        </w:tc>
        <w:tc>
          <w:tcPr>
            <w:tcW w:w="2707" w:type="dxa"/>
            <w:shd w:val="clear" w:fill="F4F2EE"/>
            <w:tcMar>
              <w:top w:w="40" w:type="dxa"/>
              <w:left w:w="80" w:type="dxa"/>
              <w:bottom w:w="40" w:type="dxa"/>
              <w:right w:w="80" w:type="dxa"/>
            </w:tcMar>
          </w:tcPr>
          <w:p>
            <w:pPr>
              <w:spacing w:before="20" w:after="20" w:line="240" w:lineRule="auto"/>
            </w:pPr>
            <w:r>
              <w:rPr>
                <w:b/>
                <w:color w:val="1A2744"/>
                <w:sz w:val="20"/>
              </w:rPr>
              <w:t xml:space="preserve">Aerospace Application</w:t>
            </w:r>
          </w:p>
        </w:tc>
        <w:tc>
          <w:tcPr>
            <w:tcW w:w="1805" w:type="dxa"/>
            <w:shd w:val="clear" w:fill="F4F2EE"/>
            <w:tcMar>
              <w:top w:w="40" w:type="dxa"/>
              <w:left w:w="80" w:type="dxa"/>
              <w:bottom w:w="40" w:type="dxa"/>
              <w:right w:w="80" w:type="dxa"/>
            </w:tcMar>
          </w:tcPr>
          <w:p>
            <w:pPr>
              <w:spacing w:before="20" w:after="20" w:line="240" w:lineRule="auto"/>
            </w:pPr>
            <w:r>
              <w:rPr>
                <w:b/>
                <w:color w:val="1A2744"/>
                <w:sz w:val="20"/>
              </w:rPr>
              <w:t xml:space="preserve">Retraining</w:t>
            </w:r>
          </w:p>
        </w:tc>
        <w:tc>
          <w:tcPr>
            <w:tcW w:w="1987" w:type="dxa"/>
            <w:shd w:val="clear" w:fill="F4F2EE"/>
            <w:tcMar>
              <w:top w:w="40" w:type="dxa"/>
              <w:left w:w="80" w:type="dxa"/>
              <w:bottom w:w="40" w:type="dxa"/>
              <w:right w:w="80" w:type="dxa"/>
            </w:tcMar>
          </w:tcPr>
          <w:p>
            <w:pPr>
              <w:spacing w:before="20" w:after="20" w:line="240" w:lineRule="auto"/>
            </w:pPr>
            <w:r>
              <w:rPr>
                <w:b/>
                <w:color w:val="1A2744"/>
                <w:sz w:val="20"/>
              </w:rPr>
              <w:t xml:space="preserve">Annual Capacity</w:t>
            </w:r>
          </w:p>
        </w:tc>
      </w:tr>
      <w:tr>
        <w:tc>
          <w:tcPr>
            <w:tcW w:w="2527" w:type="dxa"/>
            <w:tcMar>
              <w:top w:w="40" w:type="dxa"/>
              <w:left w:w="80" w:type="dxa"/>
              <w:bottom w:w="40" w:type="dxa"/>
              <w:right w:w="80" w:type="dxa"/>
            </w:tcMar>
          </w:tcPr>
          <w:p>
            <w:pPr>
              <w:spacing w:before="20" w:after="20" w:line="240" w:lineRule="auto"/>
            </w:pPr>
            <w:r>
              <w:rPr>
                <w:color w:val="1A202C"/>
                <w:sz w:val="20"/>
              </w:rPr>
              <w:t xml:space="preserve">CNC machining</w:t>
            </w:r>
          </w:p>
        </w:tc>
        <w:tc>
          <w:tcPr>
            <w:tcW w:w="2707" w:type="dxa"/>
            <w:tcMar>
              <w:top w:w="40" w:type="dxa"/>
              <w:left w:w="80" w:type="dxa"/>
              <w:bottom w:w="40" w:type="dxa"/>
              <w:right w:w="80" w:type="dxa"/>
            </w:tcMar>
          </w:tcPr>
          <w:p>
            <w:pPr>
              <w:spacing w:before="20" w:after="20" w:line="240" w:lineRule="auto"/>
            </w:pPr>
            <w:r>
              <w:rPr>
                <w:color w:val="1A202C"/>
                <w:sz w:val="20"/>
              </w:rPr>
              <w:t xml:space="preserve">Aircraft component fabrication</w:t>
            </w:r>
          </w:p>
        </w:tc>
        <w:tc>
          <w:tcPr>
            <w:tcW w:w="1805" w:type="dxa"/>
            <w:tcMar>
              <w:top w:w="40" w:type="dxa"/>
              <w:left w:w="80" w:type="dxa"/>
              <w:bottom w:w="40" w:type="dxa"/>
              <w:right w:w="80" w:type="dxa"/>
            </w:tcMar>
          </w:tcPr>
          <w:p>
            <w:pPr>
              <w:spacing w:before="20" w:after="20" w:line="240" w:lineRule="auto"/>
            </w:pPr>
            <w:r>
              <w:rPr>
                <w:color w:val="1A202C"/>
                <w:sz w:val="20"/>
              </w:rPr>
              <w:t xml:space="preserve">3 to 6 months</w:t>
            </w:r>
          </w:p>
        </w:tc>
        <w:tc>
          <w:tcPr>
            <w:tcW w:w="1987" w:type="dxa"/>
            <w:tcMar>
              <w:top w:w="40" w:type="dxa"/>
              <w:left w:w="80" w:type="dxa"/>
              <w:bottom w:w="40" w:type="dxa"/>
              <w:right w:w="80" w:type="dxa"/>
            </w:tcMar>
          </w:tcPr>
          <w:p>
            <w:pPr>
              <w:spacing w:before="20" w:after="20" w:line="240" w:lineRule="auto"/>
            </w:pPr>
            <w:r>
              <w:rPr>
                <w:color w:val="1A202C"/>
                <w:sz w:val="20"/>
              </w:rPr>
              <w:t xml:space="preserve">320</w:t>
            </w:r>
          </w:p>
        </w:tc>
      </w:tr>
      <w:tr>
        <w:tc>
          <w:tcPr>
            <w:tcW w:w="2527" w:type="dxa"/>
            <w:tcMar>
              <w:top w:w="40" w:type="dxa"/>
              <w:left w:w="80" w:type="dxa"/>
              <w:bottom w:w="40" w:type="dxa"/>
              <w:right w:w="80" w:type="dxa"/>
            </w:tcMar>
          </w:tcPr>
          <w:p>
            <w:pPr>
              <w:spacing w:before="20" w:after="20" w:line="240" w:lineRule="auto"/>
            </w:pPr>
            <w:r>
              <w:rPr>
                <w:color w:val="1A202C"/>
                <w:sz w:val="20"/>
              </w:rPr>
              <w:t xml:space="preserve">Composite manufacturing</w:t>
            </w:r>
          </w:p>
        </w:tc>
        <w:tc>
          <w:tcPr>
            <w:tcW w:w="2707" w:type="dxa"/>
            <w:tcMar>
              <w:top w:w="40" w:type="dxa"/>
              <w:left w:w="80" w:type="dxa"/>
              <w:bottom w:w="40" w:type="dxa"/>
              <w:right w:w="80" w:type="dxa"/>
            </w:tcMar>
          </w:tcPr>
          <w:p>
            <w:pPr>
              <w:spacing w:before="20" w:after="20" w:line="240" w:lineRule="auto"/>
            </w:pPr>
            <w:r>
              <w:rPr>
                <w:color w:val="1A202C"/>
                <w:sz w:val="20"/>
              </w:rPr>
              <w:t xml:space="preserve">Airframe structures, coating</w:t>
            </w:r>
          </w:p>
        </w:tc>
        <w:tc>
          <w:tcPr>
            <w:tcW w:w="1805" w:type="dxa"/>
            <w:tcMar>
              <w:top w:w="40" w:type="dxa"/>
              <w:left w:w="80" w:type="dxa"/>
              <w:bottom w:w="40" w:type="dxa"/>
              <w:right w:w="80" w:type="dxa"/>
            </w:tcMar>
          </w:tcPr>
          <w:p>
            <w:pPr>
              <w:spacing w:before="20" w:after="20" w:line="240" w:lineRule="auto"/>
            </w:pPr>
            <w:r>
              <w:rPr>
                <w:color w:val="1A202C"/>
                <w:sz w:val="20"/>
              </w:rPr>
              <w:t xml:space="preserve">6 to 12 months</w:t>
            </w:r>
          </w:p>
        </w:tc>
        <w:tc>
          <w:tcPr>
            <w:tcW w:w="1987" w:type="dxa"/>
            <w:tcMar>
              <w:top w:w="40" w:type="dxa"/>
              <w:left w:w="80" w:type="dxa"/>
              <w:bottom w:w="40" w:type="dxa"/>
              <w:right w:w="80" w:type="dxa"/>
            </w:tcMar>
          </w:tcPr>
          <w:p>
            <w:pPr>
              <w:spacing w:before="20" w:after="20" w:line="240" w:lineRule="auto"/>
            </w:pPr>
            <w:r>
              <w:rPr>
                <w:color w:val="1A202C"/>
                <w:sz w:val="20"/>
              </w:rPr>
              <w:t xml:space="preserve">240</w:t>
            </w:r>
          </w:p>
        </w:tc>
      </w:tr>
      <w:tr>
        <w:tc>
          <w:tcPr>
            <w:tcW w:w="2527" w:type="dxa"/>
            <w:tcMar>
              <w:top w:w="40" w:type="dxa"/>
              <w:left w:w="80" w:type="dxa"/>
              <w:bottom w:w="40" w:type="dxa"/>
              <w:right w:w="80" w:type="dxa"/>
            </w:tcMar>
          </w:tcPr>
          <w:p>
            <w:pPr>
              <w:spacing w:before="20" w:after="20" w:line="240" w:lineRule="auto"/>
            </w:pPr>
            <w:r>
              <w:rPr>
                <w:color w:val="1A202C"/>
                <w:sz w:val="20"/>
              </w:rPr>
              <w:t xml:space="preserve">Quality control / NDT</w:t>
            </w:r>
          </w:p>
        </w:tc>
        <w:tc>
          <w:tcPr>
            <w:tcW w:w="2707" w:type="dxa"/>
            <w:tcMar>
              <w:top w:w="40" w:type="dxa"/>
              <w:left w:w="80" w:type="dxa"/>
              <w:bottom w:w="40" w:type="dxa"/>
              <w:right w:w="80" w:type="dxa"/>
            </w:tcMar>
          </w:tcPr>
          <w:p>
            <w:pPr>
              <w:spacing w:before="20" w:after="20" w:line="240" w:lineRule="auto"/>
            </w:pPr>
            <w:r>
              <w:rPr>
                <w:color w:val="1A202C"/>
                <w:sz w:val="20"/>
              </w:rPr>
              <w:t xml:space="preserve">Airworthiness inspection</w:t>
            </w:r>
          </w:p>
        </w:tc>
        <w:tc>
          <w:tcPr>
            <w:tcW w:w="1805" w:type="dxa"/>
            <w:tcMar>
              <w:top w:w="40" w:type="dxa"/>
              <w:left w:w="80" w:type="dxa"/>
              <w:bottom w:w="40" w:type="dxa"/>
              <w:right w:w="80" w:type="dxa"/>
            </w:tcMar>
          </w:tcPr>
          <w:p>
            <w:pPr>
              <w:spacing w:before="20" w:after="20" w:line="240" w:lineRule="auto"/>
            </w:pPr>
            <w:r>
              <w:rPr>
                <w:color w:val="1A202C"/>
                <w:sz w:val="20"/>
              </w:rPr>
              <w:t xml:space="preserve">6 months</w:t>
            </w:r>
          </w:p>
        </w:tc>
        <w:tc>
          <w:tcPr>
            <w:tcW w:w="1987" w:type="dxa"/>
            <w:tcMar>
              <w:top w:w="40" w:type="dxa"/>
              <w:left w:w="80" w:type="dxa"/>
              <w:bottom w:w="40" w:type="dxa"/>
              <w:right w:w="80" w:type="dxa"/>
            </w:tcMar>
          </w:tcPr>
          <w:p>
            <w:pPr>
              <w:spacing w:before="20" w:after="20" w:line="240" w:lineRule="auto"/>
            </w:pPr>
            <w:r>
              <w:rPr>
                <w:color w:val="1A202C"/>
                <w:sz w:val="20"/>
              </w:rPr>
              <w:t xml:space="preserve">180</w:t>
            </w:r>
          </w:p>
        </w:tc>
      </w:tr>
      <w:tr>
        <w:tc>
          <w:tcPr>
            <w:tcW w:w="2527" w:type="dxa"/>
            <w:tcMar>
              <w:top w:w="40" w:type="dxa"/>
              <w:left w:w="80" w:type="dxa"/>
              <w:bottom w:w="40" w:type="dxa"/>
              <w:right w:w="80" w:type="dxa"/>
            </w:tcMar>
          </w:tcPr>
          <w:p>
            <w:pPr>
              <w:spacing w:before="20" w:after="20" w:line="240" w:lineRule="auto"/>
            </w:pPr>
            <w:r>
              <w:rPr>
                <w:color w:val="1A202C"/>
                <w:sz w:val="20"/>
              </w:rPr>
              <w:t xml:space="preserve">Assembly line work</w:t>
            </w:r>
          </w:p>
        </w:tc>
        <w:tc>
          <w:tcPr>
            <w:tcW w:w="2707" w:type="dxa"/>
            <w:tcMar>
              <w:top w:w="40" w:type="dxa"/>
              <w:left w:w="80" w:type="dxa"/>
              <w:bottom w:w="40" w:type="dxa"/>
              <w:right w:w="80" w:type="dxa"/>
            </w:tcMar>
          </w:tcPr>
          <w:p>
            <w:pPr>
              <w:spacing w:before="20" w:after="20" w:line="240" w:lineRule="auto"/>
            </w:pPr>
            <w:r>
              <w:rPr>
                <w:color w:val="1A202C"/>
                <w:sz w:val="20"/>
              </w:rPr>
              <w:t xml:space="preserve">Airframe assembly, integration</w:t>
            </w:r>
          </w:p>
        </w:tc>
        <w:tc>
          <w:tcPr>
            <w:tcW w:w="1805" w:type="dxa"/>
            <w:tcMar>
              <w:top w:w="40" w:type="dxa"/>
              <w:left w:w="80" w:type="dxa"/>
              <w:bottom w:w="40" w:type="dxa"/>
              <w:right w:w="80" w:type="dxa"/>
            </w:tcMar>
          </w:tcPr>
          <w:p>
            <w:pPr>
              <w:spacing w:before="20" w:after="20" w:line="240" w:lineRule="auto"/>
            </w:pPr>
            <w:r>
              <w:rPr>
                <w:color w:val="1A202C"/>
                <w:sz w:val="20"/>
              </w:rPr>
              <w:t xml:space="preserve">3 to 6 months</w:t>
            </w:r>
          </w:p>
        </w:tc>
        <w:tc>
          <w:tcPr>
            <w:tcW w:w="1987" w:type="dxa"/>
            <w:tcMar>
              <w:top w:w="40" w:type="dxa"/>
              <w:left w:w="80" w:type="dxa"/>
              <w:bottom w:w="40" w:type="dxa"/>
              <w:right w:w="80" w:type="dxa"/>
            </w:tcMar>
          </w:tcPr>
          <w:p>
            <w:pPr>
              <w:spacing w:before="20" w:after="20" w:line="240" w:lineRule="auto"/>
            </w:pPr>
            <w:r>
              <w:rPr>
                <w:color w:val="1A202C"/>
                <w:sz w:val="20"/>
              </w:rPr>
              <w:t xml:space="preserve">380</w:t>
            </w:r>
          </w:p>
        </w:tc>
      </w:tr>
      <w:tr>
        <w:tc>
          <w:tcPr>
            <w:tcW w:w="2527" w:type="dxa"/>
            <w:tcMar>
              <w:top w:w="40" w:type="dxa"/>
              <w:left w:w="80" w:type="dxa"/>
              <w:bottom w:w="40" w:type="dxa"/>
              <w:right w:w="80" w:type="dxa"/>
            </w:tcMar>
          </w:tcPr>
          <w:p>
            <w:pPr>
              <w:spacing w:before="20" w:after="20" w:line="240" w:lineRule="auto"/>
            </w:pPr>
            <w:r>
              <w:rPr>
                <w:color w:val="1A202C"/>
                <w:sz w:val="20"/>
              </w:rPr>
              <w:t xml:space="preserve">Electrical systems</w:t>
            </w:r>
          </w:p>
        </w:tc>
        <w:tc>
          <w:tcPr>
            <w:tcW w:w="2707" w:type="dxa"/>
            <w:tcMar>
              <w:top w:w="40" w:type="dxa"/>
              <w:left w:w="80" w:type="dxa"/>
              <w:bottom w:w="40" w:type="dxa"/>
              <w:right w:w="80" w:type="dxa"/>
            </w:tcMar>
          </w:tcPr>
          <w:p>
            <w:pPr>
              <w:spacing w:before="20" w:after="20" w:line="240" w:lineRule="auto"/>
            </w:pPr>
            <w:r>
              <w:rPr>
                <w:color w:val="1A202C"/>
                <w:sz w:val="20"/>
              </w:rPr>
              <w:t xml:space="preserve">Avionics, sensor integration</w:t>
            </w:r>
          </w:p>
        </w:tc>
        <w:tc>
          <w:tcPr>
            <w:tcW w:w="1805" w:type="dxa"/>
            <w:tcMar>
              <w:top w:w="40" w:type="dxa"/>
              <w:left w:w="80" w:type="dxa"/>
              <w:bottom w:w="40" w:type="dxa"/>
              <w:right w:w="80" w:type="dxa"/>
            </w:tcMar>
          </w:tcPr>
          <w:p>
            <w:pPr>
              <w:spacing w:before="20" w:after="20" w:line="240" w:lineRule="auto"/>
            </w:pPr>
            <w:r>
              <w:rPr>
                <w:color w:val="1A202C"/>
                <w:sz w:val="20"/>
              </w:rPr>
              <w:t xml:space="preserve">6 to 12 months</w:t>
            </w:r>
          </w:p>
        </w:tc>
        <w:tc>
          <w:tcPr>
            <w:tcW w:w="1987" w:type="dxa"/>
            <w:tcMar>
              <w:top w:w="40" w:type="dxa"/>
              <w:left w:w="80" w:type="dxa"/>
              <w:bottom w:w="40" w:type="dxa"/>
              <w:right w:w="80" w:type="dxa"/>
            </w:tcMar>
          </w:tcPr>
          <w:p>
            <w:pPr>
              <w:spacing w:before="20" w:after="20" w:line="240" w:lineRule="auto"/>
            </w:pPr>
            <w:r>
              <w:rPr>
                <w:color w:val="1A202C"/>
                <w:sz w:val="20"/>
              </w:rPr>
              <w:t xml:space="preserve">260</w:t>
            </w:r>
          </w:p>
        </w:tc>
      </w:tr>
      <w:tr>
        <w:tc>
          <w:tcPr>
            <w:tcW w:w="2527" w:type="dxa"/>
            <w:tcMar>
              <w:top w:w="40" w:type="dxa"/>
              <w:left w:w="80" w:type="dxa"/>
              <w:bottom w:w="40" w:type="dxa"/>
              <w:right w:w="80" w:type="dxa"/>
            </w:tcMar>
          </w:tcPr>
          <w:p>
            <w:pPr>
              <w:spacing w:before="20" w:after="20" w:line="240" w:lineRule="auto"/>
            </w:pPr>
            <w:r>
              <w:rPr>
                <w:b/>
                <w:color w:val="1A202C"/>
                <w:sz w:val="20"/>
              </w:rPr>
              <w:t xml:space="preserve">TOTAL</w:t>
            </w:r>
          </w:p>
        </w:tc>
        <w:tc>
          <w:tcPr>
            <w:tcW w:w="2707" w:type="dxa"/>
            <w:tcMar>
              <w:top w:w="40" w:type="dxa"/>
              <w:left w:w="80" w:type="dxa"/>
              <w:bottom w:w="40" w:type="dxa"/>
              <w:right w:w="80" w:type="dxa"/>
            </w:tcMar>
          </w:tcPr>
          <w:p>
            <w:pPr>
              <w:spacing w:before="20" w:after="20" w:line="240" w:lineRule="auto"/>
            </w:pPr>
            <w:r>
              <w:rPr>
                <w:b/>
                <w:color w:val="1A202C"/>
                <w:sz w:val="20"/>
              </w:rPr>
              <w:t xml:space="preserve">Five transition streams</w:t>
            </w:r>
          </w:p>
        </w:tc>
        <w:tc>
          <w:tcPr>
            <w:tcW w:w="1805" w:type="dxa"/>
            <w:tcMar>
              <w:top w:w="40" w:type="dxa"/>
              <w:left w:w="80" w:type="dxa"/>
              <w:bottom w:w="40" w:type="dxa"/>
              <w:right w:w="80" w:type="dxa"/>
            </w:tcMar>
          </w:tcPr>
          <w:p>
            <w:pPr>
              <w:spacing w:before="20" w:after="20" w:line="240" w:lineRule="auto"/>
            </w:pPr>
            <w:r>
              <w:rPr>
                <w:b/>
                <w:color w:val="1A202C"/>
                <w:sz w:val="20"/>
              </w:rPr>
              <w:t xml:space="preserve">Blended 6 months</w:t>
            </w:r>
          </w:p>
        </w:tc>
        <w:tc>
          <w:tcPr>
            <w:tcW w:w="1987" w:type="dxa"/>
            <w:tcMar>
              <w:top w:w="40" w:type="dxa"/>
              <w:left w:w="80" w:type="dxa"/>
              <w:bottom w:w="40" w:type="dxa"/>
              <w:right w:w="80" w:type="dxa"/>
            </w:tcMar>
          </w:tcPr>
          <w:p>
            <w:pPr>
              <w:spacing w:before="20" w:after="20" w:line="240" w:lineRule="auto"/>
            </w:pPr>
            <w:r>
              <w:rPr>
                <w:b/>
                <w:color w:val="1A202C"/>
                <w:sz w:val="20"/>
              </w:rPr>
              <w:t xml:space="preserve">1,380 per year</w:t>
            </w:r>
          </w:p>
        </w:tc>
      </w:tr>
    </w:tbl>
    <w:p>
      <w:pPr>
        <w:pStyle w:val="Heading2"/>
      </w:pPr>
      <w:r>
        <w:t>9.3 Training Pipeline</w:t>
      </w:r>
    </w:p>
    <w:tbl>
      <w:tblPr>
        <w:tblW w:w="5000" w:type="pct"/>
        <w:tblBorders>
          <w:top w:val="single" w:color="1A2744" w:sz="12"/>
          <w:left w:val="nil"/>
          <w:bottom w:val="single" w:color="1A2744" w:sz="12"/>
          <w:right w:val="nil"/>
          <w:insideH w:val="single" w:color="C8C4BC" w:sz="4"/>
          <w:insideV w:val="nil"/>
        </w:tblBorders>
      </w:tblPr>
      <w:tblGrid>
        <w:gridCol w:w="2888"/>
        <w:gridCol w:w="3971"/>
        <w:gridCol w:w="2167"/>
      </w:tblGrid>
      <w:tr>
        <w:trPr>
          <w:tblHeader/>
        </w:trPr>
        <w:tc>
          <w:tcPr>
            <w:tcW w:w="2888" w:type="dxa"/>
            <w:shd w:val="clear" w:fill="F4F2EE"/>
            <w:tcMar>
              <w:top w:w="40" w:type="dxa"/>
              <w:left w:w="80" w:type="dxa"/>
              <w:bottom w:w="40" w:type="dxa"/>
              <w:right w:w="80" w:type="dxa"/>
            </w:tcMar>
          </w:tcPr>
          <w:p>
            <w:pPr>
              <w:spacing w:before="20" w:after="20" w:line="240" w:lineRule="auto"/>
            </w:pPr>
            <w:r>
              <w:rPr>
                <w:b/>
                <w:color w:val="1A2744"/>
                <w:sz w:val="20"/>
              </w:rPr>
              <w:t xml:space="preserve">Program Element</w:t>
            </w:r>
          </w:p>
        </w:tc>
        <w:tc>
          <w:tcPr>
            <w:tcW w:w="3971" w:type="dxa"/>
            <w:shd w:val="clear" w:fill="F4F2EE"/>
            <w:tcMar>
              <w:top w:w="40" w:type="dxa"/>
              <w:left w:w="80" w:type="dxa"/>
              <w:bottom w:w="40" w:type="dxa"/>
              <w:right w:w="80" w:type="dxa"/>
            </w:tcMar>
          </w:tcPr>
          <w:p>
            <w:pPr>
              <w:spacing w:before="20" w:after="20" w:line="240" w:lineRule="auto"/>
            </w:pPr>
            <w:r>
              <w:rPr>
                <w:b/>
                <w:color w:val="1A2744"/>
                <w:sz w:val="20"/>
              </w:rPr>
              <w:t xml:space="preserve">Description</w:t>
            </w:r>
          </w:p>
        </w:tc>
        <w:tc>
          <w:tcPr>
            <w:tcW w:w="2167" w:type="dxa"/>
            <w:shd w:val="clear" w:fill="F4F2EE"/>
            <w:tcMar>
              <w:top w:w="40" w:type="dxa"/>
              <w:left w:w="80" w:type="dxa"/>
              <w:bottom w:w="40" w:type="dxa"/>
              <w:right w:w="80" w:type="dxa"/>
            </w:tcMar>
          </w:tcPr>
          <w:p>
            <w:pPr>
              <w:spacing w:before="20" w:after="20" w:line="240" w:lineRule="auto"/>
            </w:pPr>
            <w:r>
              <w:rPr>
                <w:b/>
                <w:color w:val="1A2744"/>
                <w:sz w:val="20"/>
              </w:rPr>
              <w:t xml:space="preserve">Cost</w:t>
            </w:r>
          </w:p>
        </w:tc>
      </w:tr>
      <w:tr>
        <w:tc>
          <w:tcPr>
            <w:tcW w:w="2888" w:type="dxa"/>
            <w:tcMar>
              <w:top w:w="40" w:type="dxa"/>
              <w:left w:w="80" w:type="dxa"/>
              <w:bottom w:w="40" w:type="dxa"/>
              <w:right w:w="80" w:type="dxa"/>
            </w:tcMar>
          </w:tcPr>
          <w:p>
            <w:pPr>
              <w:spacing w:before="20" w:after="20" w:line="240" w:lineRule="auto"/>
            </w:pPr>
            <w:r>
              <w:rPr>
                <w:color w:val="1A202C"/>
                <w:sz w:val="20"/>
              </w:rPr>
              <w:t xml:space="preserve">Curriculum development</w:t>
            </w:r>
          </w:p>
        </w:tc>
        <w:tc>
          <w:tcPr>
            <w:tcW w:w="3971" w:type="dxa"/>
            <w:tcMar>
              <w:top w:w="40" w:type="dxa"/>
              <w:left w:w="80" w:type="dxa"/>
              <w:bottom w:w="40" w:type="dxa"/>
              <w:right w:w="80" w:type="dxa"/>
            </w:tcMar>
          </w:tcPr>
          <w:p>
            <w:pPr>
              <w:spacing w:before="20" w:after="20" w:line="240" w:lineRule="auto"/>
            </w:pPr>
            <w:r>
              <w:rPr>
                <w:color w:val="1A202C"/>
                <w:sz w:val="20"/>
              </w:rPr>
              <w:t xml:space="preserve">College, prime, and union partnerships</w:t>
            </w:r>
          </w:p>
        </w:tc>
        <w:tc>
          <w:tcPr>
            <w:tcW w:w="2167" w:type="dxa"/>
            <w:tcMar>
              <w:top w:w="40" w:type="dxa"/>
              <w:left w:w="80" w:type="dxa"/>
              <w:bottom w:w="40" w:type="dxa"/>
              <w:right w:w="80" w:type="dxa"/>
            </w:tcMar>
          </w:tcPr>
          <w:p>
            <w:pPr>
              <w:spacing w:before="20" w:after="20" w:line="240" w:lineRule="auto"/>
            </w:pPr>
            <w:r>
              <w:rPr>
                <w:color w:val="1A202C"/>
                <w:sz w:val="20"/>
              </w:rPr>
              <w:t xml:space="preserve">$55M</w:t>
            </w:r>
          </w:p>
        </w:tc>
      </w:tr>
      <w:tr>
        <w:tc>
          <w:tcPr>
            <w:tcW w:w="2888" w:type="dxa"/>
            <w:tcMar>
              <w:top w:w="40" w:type="dxa"/>
              <w:left w:w="80" w:type="dxa"/>
              <w:bottom w:w="40" w:type="dxa"/>
              <w:right w:w="80" w:type="dxa"/>
            </w:tcMar>
          </w:tcPr>
          <w:p>
            <w:pPr>
              <w:spacing w:before="20" w:after="20" w:line="240" w:lineRule="auto"/>
            </w:pPr>
            <w:r>
              <w:rPr>
                <w:color w:val="1A202C"/>
                <w:sz w:val="20"/>
              </w:rPr>
              <w:t xml:space="preserve">Training delivery</w:t>
            </w:r>
          </w:p>
        </w:tc>
        <w:tc>
          <w:tcPr>
            <w:tcW w:w="3971" w:type="dxa"/>
            <w:tcMar>
              <w:top w:w="40" w:type="dxa"/>
              <w:left w:w="80" w:type="dxa"/>
              <w:bottom w:w="40" w:type="dxa"/>
              <w:right w:w="80" w:type="dxa"/>
            </w:tcMar>
          </w:tcPr>
          <w:p>
            <w:pPr>
              <w:spacing w:before="20" w:after="20" w:line="240" w:lineRule="auto"/>
            </w:pPr>
            <w:r>
              <w:rPr>
                <w:color w:val="1A202C"/>
                <w:sz w:val="20"/>
              </w:rPr>
              <w:t xml:space="preserve">Classroom plus hands-on at partner facilities</w:t>
            </w:r>
          </w:p>
        </w:tc>
        <w:tc>
          <w:tcPr>
            <w:tcW w:w="2167" w:type="dxa"/>
            <w:tcMar>
              <w:top w:w="40" w:type="dxa"/>
              <w:left w:w="80" w:type="dxa"/>
              <w:bottom w:w="40" w:type="dxa"/>
              <w:right w:w="80" w:type="dxa"/>
            </w:tcMar>
          </w:tcPr>
          <w:p>
            <w:pPr>
              <w:spacing w:before="20" w:after="20" w:line="240" w:lineRule="auto"/>
            </w:pPr>
            <w:r>
              <w:rPr>
                <w:color w:val="1A202C"/>
                <w:sz w:val="20"/>
              </w:rPr>
              <w:t xml:space="preserve">$340M</w:t>
            </w:r>
          </w:p>
        </w:tc>
      </w:tr>
      <w:tr>
        <w:tc>
          <w:tcPr>
            <w:tcW w:w="2888" w:type="dxa"/>
            <w:tcMar>
              <w:top w:w="40" w:type="dxa"/>
              <w:left w:w="80" w:type="dxa"/>
              <w:bottom w:w="40" w:type="dxa"/>
              <w:right w:w="80" w:type="dxa"/>
            </w:tcMar>
          </w:tcPr>
          <w:p>
            <w:pPr>
              <w:spacing w:before="20" w:after="20" w:line="240" w:lineRule="auto"/>
            </w:pPr>
            <w:r>
              <w:rPr>
                <w:color w:val="1A202C"/>
                <w:sz w:val="20"/>
              </w:rPr>
              <w:t xml:space="preserve">Living stipends</w:t>
            </w:r>
          </w:p>
        </w:tc>
        <w:tc>
          <w:tcPr>
            <w:tcW w:w="3971" w:type="dxa"/>
            <w:tcMar>
              <w:top w:w="40" w:type="dxa"/>
              <w:left w:w="80" w:type="dxa"/>
              <w:bottom w:w="40" w:type="dxa"/>
              <w:right w:w="80" w:type="dxa"/>
            </w:tcMar>
          </w:tcPr>
          <w:p>
            <w:pPr>
              <w:spacing w:before="20" w:after="20" w:line="240" w:lineRule="auto"/>
            </w:pPr>
            <w:r>
              <w:rPr>
                <w:color w:val="1A202C"/>
                <w:sz w:val="20"/>
              </w:rPr>
              <w:t xml:space="preserve">Support for displaced workers in training</w:t>
            </w:r>
          </w:p>
        </w:tc>
        <w:tc>
          <w:tcPr>
            <w:tcW w:w="2167" w:type="dxa"/>
            <w:tcMar>
              <w:top w:w="40" w:type="dxa"/>
              <w:left w:w="80" w:type="dxa"/>
              <w:bottom w:w="40" w:type="dxa"/>
              <w:right w:w="80" w:type="dxa"/>
            </w:tcMar>
          </w:tcPr>
          <w:p>
            <w:pPr>
              <w:spacing w:before="20" w:after="20" w:line="240" w:lineRule="auto"/>
            </w:pPr>
            <w:r>
              <w:rPr>
                <w:color w:val="1A202C"/>
                <w:sz w:val="20"/>
              </w:rPr>
              <w:t xml:space="preserve">$480M</w:t>
            </w:r>
          </w:p>
        </w:tc>
      </w:tr>
      <w:tr>
        <w:tc>
          <w:tcPr>
            <w:tcW w:w="2888" w:type="dxa"/>
            <w:tcMar>
              <w:top w:w="40" w:type="dxa"/>
              <w:left w:w="80" w:type="dxa"/>
              <w:bottom w:w="40" w:type="dxa"/>
              <w:right w:w="80" w:type="dxa"/>
            </w:tcMar>
          </w:tcPr>
          <w:p>
            <w:pPr>
              <w:spacing w:before="20" w:after="20" w:line="240" w:lineRule="auto"/>
            </w:pPr>
            <w:r>
              <w:rPr>
                <w:color w:val="1A202C"/>
                <w:sz w:val="20"/>
              </w:rPr>
              <w:t xml:space="preserve">Job placement</w:t>
            </w:r>
          </w:p>
        </w:tc>
        <w:tc>
          <w:tcPr>
            <w:tcW w:w="3971" w:type="dxa"/>
            <w:tcMar>
              <w:top w:w="40" w:type="dxa"/>
              <w:left w:w="80" w:type="dxa"/>
              <w:bottom w:w="40" w:type="dxa"/>
              <w:right w:w="80" w:type="dxa"/>
            </w:tcMar>
          </w:tcPr>
          <w:p>
            <w:pPr>
              <w:spacing w:before="20" w:after="20" w:line="240" w:lineRule="auto"/>
            </w:pPr>
            <w:r>
              <w:rPr>
                <w:color w:val="1A202C"/>
                <w:sz w:val="20"/>
              </w:rPr>
              <w:t xml:space="preserve">Guaranteed-interview partnerships</w:t>
            </w:r>
          </w:p>
        </w:tc>
        <w:tc>
          <w:tcPr>
            <w:tcW w:w="2167" w:type="dxa"/>
            <w:tcMar>
              <w:top w:w="40" w:type="dxa"/>
              <w:left w:w="80" w:type="dxa"/>
              <w:bottom w:w="40" w:type="dxa"/>
              <w:right w:w="80" w:type="dxa"/>
            </w:tcMar>
          </w:tcPr>
          <w:p>
            <w:pPr>
              <w:spacing w:before="20" w:after="20" w:line="240" w:lineRule="auto"/>
            </w:pPr>
            <w:r>
              <w:rPr>
                <w:color w:val="1A202C"/>
                <w:sz w:val="20"/>
              </w:rPr>
              <w:t xml:space="preserve">$45M</w:t>
            </w:r>
          </w:p>
        </w:tc>
      </w:tr>
      <w:tr>
        <w:tc>
          <w:tcPr>
            <w:tcW w:w="2888" w:type="dxa"/>
            <w:tcMar>
              <w:top w:w="40" w:type="dxa"/>
              <w:left w:w="80" w:type="dxa"/>
              <w:bottom w:w="40" w:type="dxa"/>
              <w:right w:w="80" w:type="dxa"/>
            </w:tcMar>
          </w:tcPr>
          <w:p>
            <w:pPr>
              <w:spacing w:before="20" w:after="20" w:line="240" w:lineRule="auto"/>
            </w:pPr>
            <w:r>
              <w:rPr>
                <w:color w:val="1A202C"/>
                <w:sz w:val="20"/>
              </w:rPr>
              <w:t xml:space="preserve">Equipment and facilities</w:t>
            </w:r>
          </w:p>
        </w:tc>
        <w:tc>
          <w:tcPr>
            <w:tcW w:w="3971" w:type="dxa"/>
            <w:tcMar>
              <w:top w:w="40" w:type="dxa"/>
              <w:left w:w="80" w:type="dxa"/>
              <w:bottom w:w="40" w:type="dxa"/>
              <w:right w:w="80" w:type="dxa"/>
            </w:tcMar>
          </w:tcPr>
          <w:p>
            <w:pPr>
              <w:spacing w:before="20" w:after="20" w:line="240" w:lineRule="auto"/>
            </w:pPr>
            <w:r>
              <w:rPr>
                <w:color w:val="1A202C"/>
                <w:sz w:val="20"/>
              </w:rPr>
              <w:t xml:space="preserve">CNC machines, composite ovens, labs</w:t>
            </w:r>
          </w:p>
        </w:tc>
        <w:tc>
          <w:tcPr>
            <w:tcW w:w="2167" w:type="dxa"/>
            <w:tcMar>
              <w:top w:w="40" w:type="dxa"/>
              <w:left w:w="80" w:type="dxa"/>
              <w:bottom w:w="40" w:type="dxa"/>
              <w:right w:w="80" w:type="dxa"/>
            </w:tcMar>
          </w:tcPr>
          <w:p>
            <w:pPr>
              <w:spacing w:before="20" w:after="20" w:line="240" w:lineRule="auto"/>
            </w:pPr>
            <w:r>
              <w:rPr>
                <w:color w:val="1A202C"/>
                <w:sz w:val="20"/>
              </w:rPr>
              <w:t xml:space="preserve">$180M</w:t>
            </w:r>
          </w:p>
        </w:tc>
      </w:tr>
      <w:tr>
        <w:tc>
          <w:tcPr>
            <w:tcW w:w="2888" w:type="dxa"/>
            <w:tcMar>
              <w:top w:w="40" w:type="dxa"/>
              <w:left w:w="80" w:type="dxa"/>
              <w:bottom w:w="40" w:type="dxa"/>
              <w:right w:w="80" w:type="dxa"/>
            </w:tcMar>
          </w:tcPr>
          <w:p>
            <w:pPr>
              <w:spacing w:before="20" w:after="20" w:line="240" w:lineRule="auto"/>
            </w:pPr>
            <w:r>
              <w:rPr>
                <w:b/>
                <w:color w:val="1A202C"/>
                <w:sz w:val="20"/>
              </w:rPr>
              <w:t xml:space="preserve">TOTAL WORKFORCE PROGRAM</w:t>
            </w:r>
          </w:p>
        </w:tc>
        <w:tc>
          <w:tcPr>
            <w:tcW w:w="3971" w:type="dxa"/>
            <w:tcMar>
              <w:top w:w="40" w:type="dxa"/>
              <w:left w:w="80" w:type="dxa"/>
              <w:bottom w:w="40" w:type="dxa"/>
              <w:right w:w="80" w:type="dxa"/>
            </w:tcMar>
          </w:tcPr>
          <w:p>
            <w:pPr>
              <w:spacing w:before="20" w:after="20" w:line="240" w:lineRule="auto"/>
            </w:pPr>
            <w:r>
              <w:rPr>
                <w:b/>
                <w:color w:val="1A202C"/>
                <w:sz w:val="20"/>
              </w:rPr>
              <w:t xml:space="preserve">Seven-year initiative</w:t>
            </w:r>
          </w:p>
        </w:tc>
        <w:tc>
          <w:tcPr>
            <w:tcW w:w="2167" w:type="dxa"/>
            <w:tcMar>
              <w:top w:w="40" w:type="dxa"/>
              <w:left w:w="80" w:type="dxa"/>
              <w:bottom w:w="40" w:type="dxa"/>
              <w:right w:w="80" w:type="dxa"/>
            </w:tcMar>
          </w:tcPr>
          <w:p>
            <w:pPr>
              <w:spacing w:before="20" w:after="20" w:line="240" w:lineRule="auto"/>
            </w:pPr>
            <w:r>
              <w:rPr>
                <w:b/>
                <w:color w:val="1A202C"/>
                <w:sz w:val="20"/>
              </w:rPr>
              <w:t xml:space="preserve">$1.1B</w:t>
            </w:r>
          </w:p>
        </w:tc>
      </w:tr>
    </w:tbl>
    <w:p>
      <w:pPr>
        <w:spacing w:after="180" w:line="288" w:lineRule="auto"/>
      </w:pPr>
      <w:r>
        <w:t xml:space="preserve">The $1.1 billion workforce program rides inside the development budget and partners with the Ecole nationale d'aerotechnique, Centennial, Fanshawe, and SAIT, plus CAE for simulation-based training. The federal Canadian Defence Skills Agenda supplies the policy frame, and the ITB reform package's skills-development and Indigenous workforce multipliers reward primes that co-invest in the pipeline. Each transitioned worker returns an estimated $4.20 in lifetime earnings uplift and tax revenue per dollar invested, a 4.2x return over ten years.</w:t>
      </w:r>
    </w:p>
    <w:p>
      <w:pPr>
        <w:pStyle w:val="Heading1"/>
      </w:pPr>
      <w:r>
        <w:t>PART X: LONG-TERM ECONOMIC SOVEREIGNTY BENEFITS</w:t>
      </w:r>
    </w:p>
    <w:p>
      <w:pPr>
        <w:pStyle w:val="Heading2"/>
      </w:pPr>
      <w:r>
        <w:t>10.1 The Sovereignty Premium</w:t>
      </w:r>
    </w:p>
    <w:tbl>
      <w:tblPr>
        <w:tblW w:w="5000" w:type="pct"/>
        <w:tblBorders>
          <w:top w:val="single" w:color="1A2744" w:sz="12"/>
          <w:left w:val="nil"/>
          <w:bottom w:val="single" w:color="1A2744" w:sz="12"/>
          <w:right w:val="nil"/>
          <w:insideH w:val="single" w:color="C8C4BC" w:sz="4"/>
          <w:insideV w:val="nil"/>
        </w:tblBorders>
      </w:tblPr>
      <w:tblGrid>
        <w:gridCol w:w="1985"/>
        <w:gridCol w:w="2346"/>
        <w:gridCol w:w="2346"/>
        <w:gridCol w:w="2349"/>
      </w:tblGrid>
      <w:tr>
        <w:trPr>
          <w:tblHeader/>
        </w:trPr>
        <w:tc>
          <w:tcPr>
            <w:tcW w:w="1985" w:type="dxa"/>
            <w:shd w:val="clear" w:fill="F4F2EE"/>
            <w:tcMar>
              <w:top w:w="40" w:type="dxa"/>
              <w:left w:w="80" w:type="dxa"/>
              <w:bottom w:w="40" w:type="dxa"/>
              <w:right w:w="80" w:type="dxa"/>
            </w:tcMar>
          </w:tcPr>
          <w:p>
            <w:pPr>
              <w:spacing w:before="20" w:after="20" w:line="240" w:lineRule="auto"/>
            </w:pPr>
            <w:r>
              <w:rPr>
                <w:b/>
                <w:color w:val="1A2744"/>
                <w:sz w:val="20"/>
              </w:rPr>
              <w:t xml:space="preserve">Sovereignty Dimension</w:t>
            </w:r>
          </w:p>
        </w:tc>
        <w:tc>
          <w:tcPr>
            <w:tcW w:w="2346" w:type="dxa"/>
            <w:shd w:val="clear" w:fill="F4F2EE"/>
            <w:tcMar>
              <w:top w:w="40" w:type="dxa"/>
              <w:left w:w="80" w:type="dxa"/>
              <w:bottom w:w="40" w:type="dxa"/>
              <w:right w:w="80" w:type="dxa"/>
            </w:tcMar>
          </w:tcPr>
          <w:p>
            <w:pPr>
              <w:spacing w:before="20" w:after="20" w:line="240" w:lineRule="auto"/>
            </w:pPr>
            <w:r>
              <w:rPr>
                <w:b/>
                <w:color w:val="1A2744"/>
                <w:sz w:val="20"/>
              </w:rPr>
              <w:t xml:space="preserve">Import Fighter</w:t>
            </w:r>
          </w:p>
        </w:tc>
        <w:tc>
          <w:tcPr>
            <w:tcW w:w="2346" w:type="dxa"/>
            <w:shd w:val="clear" w:fill="F4F2EE"/>
            <w:tcMar>
              <w:top w:w="40" w:type="dxa"/>
              <w:left w:w="80" w:type="dxa"/>
              <w:bottom w:w="40" w:type="dxa"/>
              <w:right w:w="80" w:type="dxa"/>
            </w:tcMar>
          </w:tcPr>
          <w:p>
            <w:pPr>
              <w:spacing w:before="20" w:after="20" w:line="240" w:lineRule="auto"/>
            </w:pPr>
            <w:r>
              <w:rPr>
                <w:b/>
                <w:color w:val="1A2744"/>
                <w:sz w:val="20"/>
              </w:rPr>
              <w:t xml:space="preserve">Aurora Arrow</w:t>
            </w:r>
          </w:p>
        </w:tc>
        <w:tc>
          <w:tcPr>
            <w:tcW w:w="2349" w:type="dxa"/>
            <w:shd w:val="clear" w:fill="F4F2EE"/>
            <w:tcMar>
              <w:top w:w="40" w:type="dxa"/>
              <w:left w:w="80" w:type="dxa"/>
              <w:bottom w:w="40" w:type="dxa"/>
              <w:right w:w="80" w:type="dxa"/>
            </w:tcMar>
          </w:tcPr>
          <w:p>
            <w:pPr>
              <w:spacing w:before="20" w:after="20" w:line="240" w:lineRule="auto"/>
            </w:pPr>
            <w:r>
              <w:rPr>
                <w:b/>
                <w:color w:val="1A2744"/>
                <w:sz w:val="20"/>
              </w:rPr>
              <w:t xml:space="preserve">Value Differential</w:t>
            </w:r>
          </w:p>
        </w:tc>
      </w:tr>
      <w:tr>
        <w:tc>
          <w:tcPr>
            <w:tcW w:w="1985" w:type="dxa"/>
            <w:tcMar>
              <w:top w:w="40" w:type="dxa"/>
              <w:left w:w="80" w:type="dxa"/>
              <w:bottom w:w="40" w:type="dxa"/>
              <w:right w:w="80" w:type="dxa"/>
            </w:tcMar>
          </w:tcPr>
          <w:p>
            <w:pPr>
              <w:spacing w:before="20" w:after="20" w:line="240" w:lineRule="auto"/>
            </w:pPr>
            <w:r>
              <w:rPr>
                <w:color w:val="1A202C"/>
                <w:sz w:val="20"/>
              </w:rPr>
              <w:t xml:space="preserve">Source code and IP</w:t>
            </w:r>
          </w:p>
        </w:tc>
        <w:tc>
          <w:tcPr>
            <w:tcW w:w="2346" w:type="dxa"/>
            <w:tcMar>
              <w:top w:w="40" w:type="dxa"/>
              <w:left w:w="80" w:type="dxa"/>
              <w:bottom w:w="40" w:type="dxa"/>
              <w:right w:w="80" w:type="dxa"/>
            </w:tcMar>
          </w:tcPr>
          <w:p>
            <w:pPr>
              <w:spacing w:before="20" w:after="20" w:line="240" w:lineRule="auto"/>
            </w:pPr>
            <w:r>
              <w:rPr>
                <w:color w:val="1A202C"/>
                <w:sz w:val="20"/>
              </w:rPr>
              <w:t xml:space="preserve">Denied (black box)</w:t>
            </w:r>
          </w:p>
        </w:tc>
        <w:tc>
          <w:tcPr>
            <w:tcW w:w="2346" w:type="dxa"/>
            <w:tcMar>
              <w:top w:w="40" w:type="dxa"/>
              <w:left w:w="80" w:type="dxa"/>
              <w:bottom w:w="40" w:type="dxa"/>
              <w:right w:w="80" w:type="dxa"/>
            </w:tcMar>
          </w:tcPr>
          <w:p>
            <w:pPr>
              <w:spacing w:before="20" w:after="20" w:line="240" w:lineRule="auto"/>
            </w:pPr>
            <w:r>
              <w:rPr>
                <w:color w:val="1A202C"/>
                <w:sz w:val="20"/>
              </w:rPr>
              <w:t xml:space="preserve">Full Canadian ownership</w:t>
            </w:r>
          </w:p>
        </w:tc>
        <w:tc>
          <w:tcPr>
            <w:tcW w:w="2349" w:type="dxa"/>
            <w:tcMar>
              <w:top w:w="40" w:type="dxa"/>
              <w:left w:w="80" w:type="dxa"/>
              <w:bottom w:w="40" w:type="dxa"/>
              <w:right w:w="80" w:type="dxa"/>
            </w:tcMar>
          </w:tcPr>
          <w:p>
            <w:pPr>
              <w:spacing w:before="20" w:after="20" w:line="240" w:lineRule="auto"/>
            </w:pPr>
            <w:r>
              <w:rPr>
                <w:color w:val="1A202C"/>
                <w:sz w:val="20"/>
              </w:rPr>
              <w:t xml:space="preserve">Innovation enablement</w:t>
            </w:r>
          </w:p>
        </w:tc>
      </w:tr>
      <w:tr>
        <w:tc>
          <w:tcPr>
            <w:tcW w:w="1985" w:type="dxa"/>
            <w:tcMar>
              <w:top w:w="40" w:type="dxa"/>
              <w:left w:w="80" w:type="dxa"/>
              <w:bottom w:w="40" w:type="dxa"/>
              <w:right w:w="80" w:type="dxa"/>
            </w:tcMar>
          </w:tcPr>
          <w:p>
            <w:pPr>
              <w:spacing w:before="20" w:after="20" w:line="240" w:lineRule="auto"/>
            </w:pPr>
            <w:r>
              <w:rPr>
                <w:color w:val="1A202C"/>
                <w:sz w:val="20"/>
              </w:rPr>
              <w:t xml:space="preserve">Upgrade autonomy</w:t>
            </w:r>
          </w:p>
        </w:tc>
        <w:tc>
          <w:tcPr>
            <w:tcW w:w="2346" w:type="dxa"/>
            <w:tcMar>
              <w:top w:w="40" w:type="dxa"/>
              <w:left w:w="80" w:type="dxa"/>
              <w:bottom w:w="40" w:type="dxa"/>
              <w:right w:w="80" w:type="dxa"/>
            </w:tcMar>
          </w:tcPr>
          <w:p>
            <w:pPr>
              <w:spacing w:before="20" w:after="20" w:line="240" w:lineRule="auto"/>
            </w:pPr>
            <w:r>
              <w:rPr>
                <w:color w:val="1A202C"/>
                <w:sz w:val="20"/>
              </w:rPr>
              <w:t xml:space="preserve">Foreign-determined</w:t>
            </w:r>
          </w:p>
        </w:tc>
        <w:tc>
          <w:tcPr>
            <w:tcW w:w="2346" w:type="dxa"/>
            <w:tcMar>
              <w:top w:w="40" w:type="dxa"/>
              <w:left w:w="80" w:type="dxa"/>
              <w:bottom w:w="40" w:type="dxa"/>
              <w:right w:w="80" w:type="dxa"/>
            </w:tcMar>
          </w:tcPr>
          <w:p>
            <w:pPr>
              <w:spacing w:before="20" w:after="20" w:line="240" w:lineRule="auto"/>
            </w:pPr>
            <w:r>
              <w:rPr>
                <w:color w:val="1A202C"/>
                <w:sz w:val="20"/>
              </w:rPr>
              <w:t xml:space="preserve">Canadian-determined</w:t>
            </w:r>
          </w:p>
        </w:tc>
        <w:tc>
          <w:tcPr>
            <w:tcW w:w="2349" w:type="dxa"/>
            <w:tcMar>
              <w:top w:w="40" w:type="dxa"/>
              <w:left w:w="80" w:type="dxa"/>
              <w:bottom w:w="40" w:type="dxa"/>
              <w:right w:w="80" w:type="dxa"/>
            </w:tcMar>
          </w:tcPr>
          <w:p>
            <w:pPr>
              <w:spacing w:before="20" w:after="20" w:line="240" w:lineRule="auto"/>
            </w:pPr>
            <w:r>
              <w:rPr>
                <w:color w:val="1A202C"/>
                <w:sz w:val="20"/>
              </w:rPr>
              <w:t xml:space="preserve">Capability agility</w:t>
            </w:r>
          </w:p>
        </w:tc>
      </w:tr>
      <w:tr>
        <w:tc>
          <w:tcPr>
            <w:tcW w:w="1985" w:type="dxa"/>
            <w:tcMar>
              <w:top w:w="40" w:type="dxa"/>
              <w:left w:w="80" w:type="dxa"/>
              <w:bottom w:w="40" w:type="dxa"/>
              <w:right w:w="80" w:type="dxa"/>
            </w:tcMar>
          </w:tcPr>
          <w:p>
            <w:pPr>
              <w:spacing w:before="20" w:after="20" w:line="240" w:lineRule="auto"/>
            </w:pPr>
            <w:r>
              <w:rPr>
                <w:color w:val="1A202C"/>
                <w:sz w:val="20"/>
              </w:rPr>
              <w:t xml:space="preserve">Export authority</w:t>
            </w:r>
          </w:p>
        </w:tc>
        <w:tc>
          <w:tcPr>
            <w:tcW w:w="2346" w:type="dxa"/>
            <w:tcMar>
              <w:top w:w="40" w:type="dxa"/>
              <w:left w:w="80" w:type="dxa"/>
              <w:bottom w:w="40" w:type="dxa"/>
              <w:right w:w="80" w:type="dxa"/>
            </w:tcMar>
          </w:tcPr>
          <w:p>
            <w:pPr>
              <w:spacing w:before="20" w:after="20" w:line="240" w:lineRule="auto"/>
            </w:pPr>
            <w:r>
              <w:rPr>
                <w:color w:val="1A202C"/>
                <w:sz w:val="20"/>
              </w:rPr>
              <w:t xml:space="preserve">Foreign veto</w:t>
            </w:r>
          </w:p>
        </w:tc>
        <w:tc>
          <w:tcPr>
            <w:tcW w:w="2346" w:type="dxa"/>
            <w:tcMar>
              <w:top w:w="40" w:type="dxa"/>
              <w:left w:w="80" w:type="dxa"/>
              <w:bottom w:w="40" w:type="dxa"/>
              <w:right w:w="80" w:type="dxa"/>
            </w:tcMar>
          </w:tcPr>
          <w:p>
            <w:pPr>
              <w:spacing w:before="20" w:after="20" w:line="240" w:lineRule="auto"/>
            </w:pPr>
            <w:r>
              <w:rPr>
                <w:color w:val="1A202C"/>
                <w:sz w:val="20"/>
              </w:rPr>
              <w:t xml:space="preserve">Canadian authority via Mk.VI-E</w:t>
            </w:r>
          </w:p>
        </w:tc>
        <w:tc>
          <w:tcPr>
            <w:tcW w:w="2349" w:type="dxa"/>
            <w:tcMar>
              <w:top w:w="40" w:type="dxa"/>
              <w:left w:w="80" w:type="dxa"/>
              <w:bottom w:w="40" w:type="dxa"/>
              <w:right w:w="80" w:type="dxa"/>
            </w:tcMar>
          </w:tcPr>
          <w:p>
            <w:pPr>
              <w:spacing w:before="20" w:after="20" w:line="240" w:lineRule="auto"/>
            </w:pPr>
            <w:r>
              <w:rPr>
                <w:color w:val="1A202C"/>
                <w:sz w:val="20"/>
              </w:rPr>
              <w:t xml:space="preserve">$6B to $10B opportunity</w:t>
            </w:r>
          </w:p>
        </w:tc>
      </w:tr>
      <w:tr>
        <w:tc>
          <w:tcPr>
            <w:tcW w:w="1985" w:type="dxa"/>
            <w:tcMar>
              <w:top w:w="40" w:type="dxa"/>
              <w:left w:w="80" w:type="dxa"/>
              <w:bottom w:w="40" w:type="dxa"/>
              <w:right w:w="80" w:type="dxa"/>
            </w:tcMar>
          </w:tcPr>
          <w:p>
            <w:pPr>
              <w:spacing w:before="20" w:after="20" w:line="240" w:lineRule="auto"/>
            </w:pPr>
            <w:r>
              <w:rPr>
                <w:color w:val="1A202C"/>
                <w:sz w:val="20"/>
              </w:rPr>
              <w:t xml:space="preserve">Sustainment IP</w:t>
            </w:r>
          </w:p>
        </w:tc>
        <w:tc>
          <w:tcPr>
            <w:tcW w:w="2346" w:type="dxa"/>
            <w:tcMar>
              <w:top w:w="40" w:type="dxa"/>
              <w:left w:w="80" w:type="dxa"/>
              <w:bottom w:w="40" w:type="dxa"/>
              <w:right w:w="80" w:type="dxa"/>
            </w:tcMar>
          </w:tcPr>
          <w:p>
            <w:pPr>
              <w:spacing w:before="20" w:after="20" w:line="240" w:lineRule="auto"/>
            </w:pPr>
            <w:r>
              <w:rPr>
                <w:color w:val="1A202C"/>
                <w:sz w:val="20"/>
              </w:rPr>
              <w:t xml:space="preserve">Foreign depots</w:t>
            </w:r>
          </w:p>
        </w:tc>
        <w:tc>
          <w:tcPr>
            <w:tcW w:w="2346" w:type="dxa"/>
            <w:tcMar>
              <w:top w:w="40" w:type="dxa"/>
              <w:left w:w="80" w:type="dxa"/>
              <w:bottom w:w="40" w:type="dxa"/>
              <w:right w:w="80" w:type="dxa"/>
            </w:tcMar>
          </w:tcPr>
          <w:p>
            <w:pPr>
              <w:spacing w:before="20" w:after="20" w:line="240" w:lineRule="auto"/>
            </w:pPr>
            <w:r>
              <w:rPr>
                <w:color w:val="1A202C"/>
                <w:sz w:val="20"/>
              </w:rPr>
              <w:t xml:space="preserve">Canadian depot</w:t>
            </w:r>
          </w:p>
        </w:tc>
        <w:tc>
          <w:tcPr>
            <w:tcW w:w="2349" w:type="dxa"/>
            <w:tcMar>
              <w:top w:w="40" w:type="dxa"/>
              <w:left w:w="80" w:type="dxa"/>
              <w:bottom w:w="40" w:type="dxa"/>
              <w:right w:w="80" w:type="dxa"/>
            </w:tcMar>
          </w:tcPr>
          <w:p>
            <w:pPr>
              <w:spacing w:before="20" w:after="20" w:line="240" w:lineRule="auto"/>
            </w:pPr>
            <w:r>
              <w:rPr>
                <w:color w:val="1A202C"/>
                <w:sz w:val="20"/>
              </w:rPr>
              <w:t xml:space="preserve">$1.9B per year retained activity</w:t>
            </w:r>
          </w:p>
        </w:tc>
      </w:tr>
      <w:tr>
        <w:tc>
          <w:tcPr>
            <w:tcW w:w="1985" w:type="dxa"/>
            <w:tcMar>
              <w:top w:w="40" w:type="dxa"/>
              <w:left w:w="80" w:type="dxa"/>
              <w:bottom w:w="40" w:type="dxa"/>
              <w:right w:w="80" w:type="dxa"/>
            </w:tcMar>
          </w:tcPr>
          <w:p>
            <w:pPr>
              <w:spacing w:before="20" w:after="20" w:line="240" w:lineRule="auto"/>
            </w:pPr>
            <w:r>
              <w:rPr>
                <w:color w:val="1A202C"/>
                <w:sz w:val="20"/>
              </w:rPr>
              <w:t xml:space="preserve">Mission data</w:t>
            </w:r>
          </w:p>
        </w:tc>
        <w:tc>
          <w:tcPr>
            <w:tcW w:w="2346" w:type="dxa"/>
            <w:tcMar>
              <w:top w:w="40" w:type="dxa"/>
              <w:left w:w="80" w:type="dxa"/>
              <w:bottom w:w="40" w:type="dxa"/>
              <w:right w:w="80" w:type="dxa"/>
            </w:tcMar>
          </w:tcPr>
          <w:p>
            <w:pPr>
              <w:spacing w:before="20" w:after="20" w:line="240" w:lineRule="auto"/>
            </w:pPr>
            <w:r>
              <w:rPr>
                <w:color w:val="1A202C"/>
                <w:sz w:val="20"/>
              </w:rPr>
              <w:t xml:space="preserve">Offshore data files</w:t>
            </w:r>
          </w:p>
        </w:tc>
        <w:tc>
          <w:tcPr>
            <w:tcW w:w="2346" w:type="dxa"/>
            <w:tcMar>
              <w:top w:w="40" w:type="dxa"/>
              <w:left w:w="80" w:type="dxa"/>
              <w:bottom w:w="40" w:type="dxa"/>
              <w:right w:w="80" w:type="dxa"/>
            </w:tcMar>
          </w:tcPr>
          <w:p>
            <w:pPr>
              <w:spacing w:before="20" w:after="20" w:line="240" w:lineRule="auto"/>
            </w:pPr>
            <w:r>
              <w:rPr>
                <w:color w:val="1A202C"/>
                <w:sz w:val="20"/>
              </w:rPr>
              <w:t xml:space="preserve">Sovereign ECHO training pipeline</w:t>
            </w:r>
          </w:p>
        </w:tc>
        <w:tc>
          <w:tcPr>
            <w:tcW w:w="2349" w:type="dxa"/>
            <w:tcMar>
              <w:top w:w="40" w:type="dxa"/>
              <w:left w:w="80" w:type="dxa"/>
              <w:bottom w:w="40" w:type="dxa"/>
              <w:right w:w="80" w:type="dxa"/>
            </w:tcMar>
          </w:tcPr>
          <w:p>
            <w:pPr>
              <w:spacing w:before="20" w:after="20" w:line="240" w:lineRule="auto"/>
            </w:pPr>
            <w:r>
              <w:rPr>
                <w:color w:val="1A202C"/>
                <w:sz w:val="20"/>
              </w:rPr>
              <w:t xml:space="preserve">Operational independence</w:t>
            </w:r>
          </w:p>
        </w:tc>
      </w:tr>
    </w:tbl>
    <w:p>
      <w:pPr>
        <w:pStyle w:val="Heading2"/>
      </w:pPr>
      <w:r>
        <w:t>10.2 Technology Spillover Effects</w:t>
      </w:r>
    </w:p>
    <w:tbl>
      <w:tblPr>
        <w:tblW w:w="5000" w:type="pct"/>
        <w:tblBorders>
          <w:top w:val="single" w:color="1A2744" w:sz="12"/>
          <w:left w:val="nil"/>
          <w:bottom w:val="single" w:color="1A2744" w:sz="12"/>
          <w:right w:val="nil"/>
          <w:insideH w:val="single" w:color="C8C4BC" w:sz="4"/>
          <w:insideV w:val="nil"/>
        </w:tblBorders>
      </w:tblPr>
      <w:tblGrid>
        <w:gridCol w:w="2527"/>
        <w:gridCol w:w="2166"/>
        <w:gridCol w:w="2527"/>
        <w:gridCol w:w="1806"/>
      </w:tblGrid>
      <w:tr>
        <w:trPr>
          <w:tblHeader/>
        </w:trPr>
        <w:tc>
          <w:tcPr>
            <w:tcW w:w="2527" w:type="dxa"/>
            <w:shd w:val="clear" w:fill="F4F2EE"/>
            <w:tcMar>
              <w:top w:w="40" w:type="dxa"/>
              <w:left w:w="80" w:type="dxa"/>
              <w:bottom w:w="40" w:type="dxa"/>
              <w:right w:w="80" w:type="dxa"/>
            </w:tcMar>
          </w:tcPr>
          <w:p>
            <w:pPr>
              <w:spacing w:before="20" w:after="20" w:line="240" w:lineRule="auto"/>
            </w:pPr>
            <w:r>
              <w:rPr>
                <w:b/>
                <w:color w:val="1A2744"/>
                <w:sz w:val="20"/>
              </w:rPr>
              <w:t xml:space="preserve">Technology</w:t>
            </w:r>
          </w:p>
        </w:tc>
        <w:tc>
          <w:tcPr>
            <w:tcW w:w="2166" w:type="dxa"/>
            <w:shd w:val="clear" w:fill="F4F2EE"/>
            <w:tcMar>
              <w:top w:w="40" w:type="dxa"/>
              <w:left w:w="80" w:type="dxa"/>
              <w:bottom w:w="40" w:type="dxa"/>
              <w:right w:w="80" w:type="dxa"/>
            </w:tcMar>
          </w:tcPr>
          <w:p>
            <w:pPr>
              <w:spacing w:before="20" w:after="20" w:line="240" w:lineRule="auto"/>
            </w:pPr>
            <w:r>
              <w:rPr>
                <w:b/>
                <w:color w:val="1A2744"/>
                <w:sz w:val="20"/>
              </w:rPr>
              <w:t xml:space="preserve">Military Application</w:t>
            </w:r>
          </w:p>
        </w:tc>
        <w:tc>
          <w:tcPr>
            <w:tcW w:w="2527" w:type="dxa"/>
            <w:shd w:val="clear" w:fill="F4F2EE"/>
            <w:tcMar>
              <w:top w:w="40" w:type="dxa"/>
              <w:left w:w="80" w:type="dxa"/>
              <w:bottom w:w="40" w:type="dxa"/>
              <w:right w:w="80" w:type="dxa"/>
            </w:tcMar>
          </w:tcPr>
          <w:p>
            <w:pPr>
              <w:spacing w:before="20" w:after="20" w:line="240" w:lineRule="auto"/>
            </w:pPr>
            <w:r>
              <w:rPr>
                <w:b/>
                <w:color w:val="1A2744"/>
                <w:sz w:val="20"/>
              </w:rPr>
              <w:t xml:space="preserve">Civilian Spin-off</w:t>
            </w:r>
          </w:p>
        </w:tc>
        <w:tc>
          <w:tcPr>
            <w:tcW w:w="1806" w:type="dxa"/>
            <w:shd w:val="clear" w:fill="F4F2EE"/>
            <w:tcMar>
              <w:top w:w="40" w:type="dxa"/>
              <w:left w:w="80" w:type="dxa"/>
              <w:bottom w:w="40" w:type="dxa"/>
              <w:right w:w="80" w:type="dxa"/>
            </w:tcMar>
          </w:tcPr>
          <w:p>
            <w:pPr>
              <w:spacing w:before="20" w:after="20" w:line="240" w:lineRule="auto"/>
            </w:pPr>
            <w:r>
              <w:rPr>
                <w:b/>
                <w:color w:val="1A2744"/>
                <w:sz w:val="20"/>
              </w:rPr>
              <w:t xml:space="preserve">Est. Value (10 yr)</w:t>
            </w:r>
          </w:p>
        </w:tc>
      </w:tr>
      <w:tr>
        <w:tc>
          <w:tcPr>
            <w:tcW w:w="2527" w:type="dxa"/>
            <w:tcMar>
              <w:top w:w="40" w:type="dxa"/>
              <w:left w:w="80" w:type="dxa"/>
              <w:bottom w:w="40" w:type="dxa"/>
              <w:right w:w="80" w:type="dxa"/>
            </w:tcMar>
          </w:tcPr>
          <w:p>
            <w:pPr>
              <w:spacing w:before="20" w:after="20" w:line="240" w:lineRule="auto"/>
            </w:pPr>
            <w:r>
              <w:rPr>
                <w:color w:val="1A202C"/>
                <w:sz w:val="20"/>
              </w:rPr>
              <w:t xml:space="preserve">Adaptive engine technology</w:t>
            </w:r>
          </w:p>
        </w:tc>
        <w:tc>
          <w:tcPr>
            <w:tcW w:w="2166" w:type="dxa"/>
            <w:tcMar>
              <w:top w:w="40" w:type="dxa"/>
              <w:left w:w="80" w:type="dxa"/>
              <w:bottom w:w="40" w:type="dxa"/>
              <w:right w:w="80" w:type="dxa"/>
            </w:tcMar>
          </w:tcPr>
          <w:p>
            <w:pPr>
              <w:spacing w:before="20" w:after="20" w:line="240" w:lineRule="auto"/>
            </w:pPr>
            <w:r>
              <w:rPr>
                <w:color w:val="1A202C"/>
                <w:sz w:val="20"/>
              </w:rPr>
              <w:t xml:space="preserve">Variable-cycle propulsion</w:t>
            </w:r>
          </w:p>
        </w:tc>
        <w:tc>
          <w:tcPr>
            <w:tcW w:w="2527" w:type="dxa"/>
            <w:tcMar>
              <w:top w:w="40" w:type="dxa"/>
              <w:left w:w="80" w:type="dxa"/>
              <w:bottom w:w="40" w:type="dxa"/>
              <w:right w:w="80" w:type="dxa"/>
            </w:tcMar>
          </w:tcPr>
          <w:p>
            <w:pPr>
              <w:spacing w:before="20" w:after="20" w:line="240" w:lineRule="auto"/>
            </w:pPr>
            <w:r>
              <w:rPr>
                <w:color w:val="1A202C"/>
                <w:sz w:val="20"/>
              </w:rPr>
              <w:t xml:space="preserve">Civil propulsion, auxiliary power</w:t>
            </w:r>
          </w:p>
        </w:tc>
        <w:tc>
          <w:tcPr>
            <w:tcW w:w="1806" w:type="dxa"/>
            <w:tcMar>
              <w:top w:w="40" w:type="dxa"/>
              <w:left w:w="80" w:type="dxa"/>
              <w:bottom w:w="40" w:type="dxa"/>
              <w:right w:w="80" w:type="dxa"/>
            </w:tcMar>
          </w:tcPr>
          <w:p>
            <w:pPr>
              <w:spacing w:before="20" w:after="20" w:line="240" w:lineRule="auto"/>
            </w:pPr>
            <w:r>
              <w:rPr>
                <w:color w:val="1A202C"/>
                <w:sz w:val="20"/>
              </w:rPr>
              <w:t xml:space="preserve">$400M</w:t>
            </w:r>
          </w:p>
        </w:tc>
      </w:tr>
      <w:tr>
        <w:tc>
          <w:tcPr>
            <w:tcW w:w="2527" w:type="dxa"/>
            <w:tcMar>
              <w:top w:w="40" w:type="dxa"/>
              <w:left w:w="80" w:type="dxa"/>
              <w:bottom w:w="40" w:type="dxa"/>
              <w:right w:w="80" w:type="dxa"/>
            </w:tcMar>
          </w:tcPr>
          <w:p>
            <w:pPr>
              <w:spacing w:before="20" w:after="20" w:line="240" w:lineRule="auto"/>
            </w:pPr>
            <w:r>
              <w:rPr>
                <w:color w:val="1A202C"/>
                <w:sz w:val="20"/>
              </w:rPr>
              <w:t xml:space="preserve">Solid-state batteries</w:t>
            </w:r>
          </w:p>
        </w:tc>
        <w:tc>
          <w:tcPr>
            <w:tcW w:w="2166" w:type="dxa"/>
            <w:tcMar>
              <w:top w:w="40" w:type="dxa"/>
              <w:left w:w="80" w:type="dxa"/>
              <w:bottom w:w="40" w:type="dxa"/>
              <w:right w:w="80" w:type="dxa"/>
            </w:tcMar>
          </w:tcPr>
          <w:p>
            <w:pPr>
              <w:spacing w:before="20" w:after="20" w:line="240" w:lineRule="auto"/>
            </w:pPr>
            <w:r>
              <w:rPr>
                <w:color w:val="1A202C"/>
                <w:sz w:val="20"/>
              </w:rPr>
              <w:t xml:space="preserve">450 kWh Li-S aircraft pack</w:t>
            </w:r>
          </w:p>
        </w:tc>
        <w:tc>
          <w:tcPr>
            <w:tcW w:w="2527" w:type="dxa"/>
            <w:tcMar>
              <w:top w:w="40" w:type="dxa"/>
              <w:left w:w="80" w:type="dxa"/>
              <w:bottom w:w="40" w:type="dxa"/>
              <w:right w:w="80" w:type="dxa"/>
            </w:tcMar>
          </w:tcPr>
          <w:p>
            <w:pPr>
              <w:spacing w:before="20" w:after="20" w:line="240" w:lineRule="auto"/>
            </w:pPr>
            <w:r>
              <w:rPr>
                <w:color w:val="1A202C"/>
                <w:sz w:val="20"/>
              </w:rPr>
              <w:t xml:space="preserve">EV and grid storage</w:t>
            </w:r>
          </w:p>
        </w:tc>
        <w:tc>
          <w:tcPr>
            <w:tcW w:w="1806" w:type="dxa"/>
            <w:tcMar>
              <w:top w:w="40" w:type="dxa"/>
              <w:left w:w="80" w:type="dxa"/>
              <w:bottom w:w="40" w:type="dxa"/>
              <w:right w:w="80" w:type="dxa"/>
            </w:tcMar>
          </w:tcPr>
          <w:p>
            <w:pPr>
              <w:spacing w:before="20" w:after="20" w:line="240" w:lineRule="auto"/>
            </w:pPr>
            <w:r>
              <w:rPr>
                <w:color w:val="1A202C"/>
                <w:sz w:val="20"/>
              </w:rPr>
              <w:t xml:space="preserve">$650M</w:t>
            </w:r>
          </w:p>
        </w:tc>
      </w:tr>
      <w:tr>
        <w:tc>
          <w:tcPr>
            <w:tcW w:w="2527" w:type="dxa"/>
            <w:tcMar>
              <w:top w:w="40" w:type="dxa"/>
              <w:left w:w="80" w:type="dxa"/>
              <w:bottom w:w="40" w:type="dxa"/>
              <w:right w:w="80" w:type="dxa"/>
            </w:tcMar>
          </w:tcPr>
          <w:p>
            <w:pPr>
              <w:spacing w:before="20" w:after="20" w:line="240" w:lineRule="auto"/>
            </w:pPr>
            <w:r>
              <w:rPr>
                <w:color w:val="1A202C"/>
                <w:sz w:val="20"/>
              </w:rPr>
              <w:t xml:space="preserve">GaN AESA modules</w:t>
            </w:r>
          </w:p>
        </w:tc>
        <w:tc>
          <w:tcPr>
            <w:tcW w:w="2166" w:type="dxa"/>
            <w:tcMar>
              <w:top w:w="40" w:type="dxa"/>
              <w:left w:w="80" w:type="dxa"/>
              <w:bottom w:w="40" w:type="dxa"/>
              <w:right w:w="80" w:type="dxa"/>
            </w:tcMar>
          </w:tcPr>
          <w:p>
            <w:pPr>
              <w:spacing w:before="20" w:after="20" w:line="240" w:lineRule="auto"/>
            </w:pPr>
            <w:r>
              <w:rPr>
                <w:color w:val="1A202C"/>
                <w:sz w:val="20"/>
              </w:rPr>
              <w:t xml:space="preserve">Multispectral sensing</w:t>
            </w:r>
          </w:p>
        </w:tc>
        <w:tc>
          <w:tcPr>
            <w:tcW w:w="2527" w:type="dxa"/>
            <w:tcMar>
              <w:top w:w="40" w:type="dxa"/>
              <w:left w:w="80" w:type="dxa"/>
              <w:bottom w:w="40" w:type="dxa"/>
              <w:right w:w="80" w:type="dxa"/>
            </w:tcMar>
          </w:tcPr>
          <w:p>
            <w:pPr>
              <w:spacing w:before="20" w:after="20" w:line="240" w:lineRule="auto"/>
            </w:pPr>
            <w:r>
              <w:rPr>
                <w:color w:val="1A202C"/>
                <w:sz w:val="20"/>
              </w:rPr>
              <w:t xml:space="preserve">Telecom, weather radar</w:t>
            </w:r>
          </w:p>
        </w:tc>
        <w:tc>
          <w:tcPr>
            <w:tcW w:w="1806" w:type="dxa"/>
            <w:tcMar>
              <w:top w:w="40" w:type="dxa"/>
              <w:left w:w="80" w:type="dxa"/>
              <w:bottom w:w="40" w:type="dxa"/>
              <w:right w:w="80" w:type="dxa"/>
            </w:tcMar>
          </w:tcPr>
          <w:p>
            <w:pPr>
              <w:spacing w:before="20" w:after="20" w:line="240" w:lineRule="auto"/>
            </w:pPr>
            <w:r>
              <w:rPr>
                <w:color w:val="1A202C"/>
                <w:sz w:val="20"/>
              </w:rPr>
              <w:t xml:space="preserve">$180M</w:t>
            </w:r>
          </w:p>
        </w:tc>
      </w:tr>
      <w:tr>
        <w:tc>
          <w:tcPr>
            <w:tcW w:w="2527" w:type="dxa"/>
            <w:tcMar>
              <w:top w:w="40" w:type="dxa"/>
              <w:left w:w="80" w:type="dxa"/>
              <w:bottom w:w="40" w:type="dxa"/>
              <w:right w:w="80" w:type="dxa"/>
            </w:tcMar>
          </w:tcPr>
          <w:p>
            <w:pPr>
              <w:spacing w:before="20" w:after="20" w:line="240" w:lineRule="auto"/>
            </w:pPr>
            <w:r>
              <w:rPr>
                <w:color w:val="1A202C"/>
                <w:sz w:val="20"/>
              </w:rPr>
              <w:t xml:space="preserve">Coating and CNT de-ice</w:t>
            </w:r>
          </w:p>
        </w:tc>
        <w:tc>
          <w:tcPr>
            <w:tcW w:w="2166" w:type="dxa"/>
            <w:tcMar>
              <w:top w:w="40" w:type="dxa"/>
              <w:left w:w="80" w:type="dxa"/>
              <w:bottom w:w="40" w:type="dxa"/>
              <w:right w:w="80" w:type="dxa"/>
            </w:tcMar>
          </w:tcPr>
          <w:p>
            <w:pPr>
              <w:spacing w:before="20" w:after="20" w:line="240" w:lineRule="auto"/>
            </w:pPr>
            <w:r>
              <w:rPr>
                <w:color w:val="1A202C"/>
                <w:sz w:val="20"/>
              </w:rPr>
              <w:t xml:space="preserve">Signature and ice protection</w:t>
            </w:r>
          </w:p>
        </w:tc>
        <w:tc>
          <w:tcPr>
            <w:tcW w:w="2527" w:type="dxa"/>
            <w:tcMar>
              <w:top w:w="40" w:type="dxa"/>
              <w:left w:w="80" w:type="dxa"/>
              <w:bottom w:w="40" w:type="dxa"/>
              <w:right w:w="80" w:type="dxa"/>
            </w:tcMar>
          </w:tcPr>
          <w:p>
            <w:pPr>
              <w:spacing w:before="20" w:after="20" w:line="240" w:lineRule="auto"/>
            </w:pPr>
            <w:r>
              <w:rPr>
                <w:color w:val="1A202C"/>
                <w:sz w:val="20"/>
              </w:rPr>
              <w:t xml:space="preserve">Wind energy, transmission lines</w:t>
            </w:r>
          </w:p>
        </w:tc>
        <w:tc>
          <w:tcPr>
            <w:tcW w:w="1806" w:type="dxa"/>
            <w:tcMar>
              <w:top w:w="40" w:type="dxa"/>
              <w:left w:w="80" w:type="dxa"/>
              <w:bottom w:w="40" w:type="dxa"/>
              <w:right w:w="80" w:type="dxa"/>
            </w:tcMar>
          </w:tcPr>
          <w:p>
            <w:pPr>
              <w:spacing w:before="20" w:after="20" w:line="240" w:lineRule="auto"/>
            </w:pPr>
            <w:r>
              <w:rPr>
                <w:color w:val="1A202C"/>
                <w:sz w:val="20"/>
              </w:rPr>
              <w:t xml:space="preserve">$140M</w:t>
            </w:r>
          </w:p>
        </w:tc>
      </w:tr>
      <w:tr>
        <w:tc>
          <w:tcPr>
            <w:tcW w:w="2527" w:type="dxa"/>
            <w:tcMar>
              <w:top w:w="40" w:type="dxa"/>
              <w:left w:w="80" w:type="dxa"/>
              <w:bottom w:w="40" w:type="dxa"/>
              <w:right w:w="80" w:type="dxa"/>
            </w:tcMar>
          </w:tcPr>
          <w:p>
            <w:pPr>
              <w:spacing w:before="20" w:after="20" w:line="240" w:lineRule="auto"/>
            </w:pPr>
            <w:r>
              <w:rPr>
                <w:color w:val="1A202C"/>
                <w:sz w:val="20"/>
              </w:rPr>
              <w:t xml:space="preserve">ECHO autonomy stack</w:t>
            </w:r>
          </w:p>
        </w:tc>
        <w:tc>
          <w:tcPr>
            <w:tcW w:w="2166" w:type="dxa"/>
            <w:tcMar>
              <w:top w:w="40" w:type="dxa"/>
              <w:left w:w="80" w:type="dxa"/>
              <w:bottom w:w="40" w:type="dxa"/>
              <w:right w:w="80" w:type="dxa"/>
            </w:tcMar>
          </w:tcPr>
          <w:p>
            <w:pPr>
              <w:spacing w:before="20" w:after="20" w:line="240" w:lineRule="auto"/>
            </w:pPr>
            <w:r>
              <w:rPr>
                <w:color w:val="1A202C"/>
                <w:sz w:val="20"/>
              </w:rPr>
              <w:t xml:space="preserve">Onboard AI mission officer</w:t>
            </w:r>
          </w:p>
        </w:tc>
        <w:tc>
          <w:tcPr>
            <w:tcW w:w="2527" w:type="dxa"/>
            <w:tcMar>
              <w:top w:w="40" w:type="dxa"/>
              <w:left w:w="80" w:type="dxa"/>
              <w:bottom w:w="40" w:type="dxa"/>
              <w:right w:w="80" w:type="dxa"/>
            </w:tcMar>
          </w:tcPr>
          <w:p>
            <w:pPr>
              <w:spacing w:before="20" w:after="20" w:line="240" w:lineRule="auto"/>
            </w:pPr>
            <w:r>
              <w:rPr>
                <w:color w:val="1A202C"/>
                <w:sz w:val="20"/>
              </w:rPr>
              <w:t xml:space="preserve">Mining and vehicle automation</w:t>
            </w:r>
          </w:p>
        </w:tc>
        <w:tc>
          <w:tcPr>
            <w:tcW w:w="1806" w:type="dxa"/>
            <w:tcMar>
              <w:top w:w="40" w:type="dxa"/>
              <w:left w:w="80" w:type="dxa"/>
              <w:bottom w:w="40" w:type="dxa"/>
              <w:right w:w="80" w:type="dxa"/>
            </w:tcMar>
          </w:tcPr>
          <w:p>
            <w:pPr>
              <w:spacing w:before="20" w:after="20" w:line="240" w:lineRule="auto"/>
            </w:pPr>
            <w:r>
              <w:rPr>
                <w:color w:val="1A202C"/>
                <w:sz w:val="20"/>
              </w:rPr>
              <w:t xml:space="preserve">$520M</w:t>
            </w:r>
          </w:p>
        </w:tc>
      </w:tr>
      <w:tr>
        <w:tc>
          <w:tcPr>
            <w:tcW w:w="2527" w:type="dxa"/>
            <w:tcMar>
              <w:top w:w="40" w:type="dxa"/>
              <w:left w:w="80" w:type="dxa"/>
              <w:bottom w:w="40" w:type="dxa"/>
              <w:right w:w="80" w:type="dxa"/>
            </w:tcMar>
          </w:tcPr>
          <w:p>
            <w:pPr>
              <w:spacing w:before="20" w:after="20" w:line="240" w:lineRule="auto"/>
            </w:pPr>
            <w:r>
              <w:rPr>
                <w:b/>
                <w:color w:val="1A202C"/>
                <w:sz w:val="20"/>
              </w:rPr>
              <w:t xml:space="preserve">TOTAL SPILLOVER</w:t>
            </w:r>
          </w:p>
        </w:tc>
        <w:tc>
          <w:tcPr>
            <w:tcW w:w="2166" w:type="dxa"/>
            <w:tcMar>
              <w:top w:w="40" w:type="dxa"/>
              <w:left w:w="80" w:type="dxa"/>
              <w:bottom w:w="40" w:type="dxa"/>
              <w:right w:w="80" w:type="dxa"/>
            </w:tcMar>
          </w:tcPr>
          <w:p>
            <w:pPr>
              <w:spacing w:before="20" w:after="20" w:line="240" w:lineRule="auto"/>
            </w:pPr>
            <w:r>
              <w:rPr>
                <w:b/>
                <w:color w:val="1A202C"/>
                <w:sz w:val="20"/>
              </w:rPr>
              <w:t xml:space="preserve">Five technology families</w:t>
            </w:r>
          </w:p>
        </w:tc>
        <w:tc>
          <w:tcPr>
            <w:tcW w:w="2527" w:type="dxa"/>
            <w:tcMar>
              <w:top w:w="40" w:type="dxa"/>
              <w:left w:w="80" w:type="dxa"/>
              <w:bottom w:w="40" w:type="dxa"/>
              <w:right w:w="80" w:type="dxa"/>
            </w:tcMar>
          </w:tcPr>
          <w:p>
            <w:pPr>
              <w:spacing w:before="20" w:after="20" w:line="240" w:lineRule="auto"/>
            </w:pPr>
            <w:r>
              <w:rPr>
                <w:b/>
                <w:color w:val="1A202C"/>
                <w:sz w:val="20"/>
              </w:rPr>
              <w:t xml:space="preserve">Dual-use commercialization</w:t>
            </w:r>
          </w:p>
        </w:tc>
        <w:tc>
          <w:tcPr>
            <w:tcW w:w="1806" w:type="dxa"/>
            <w:tcMar>
              <w:top w:w="40" w:type="dxa"/>
              <w:left w:w="80" w:type="dxa"/>
              <w:bottom w:w="40" w:type="dxa"/>
              <w:right w:w="80" w:type="dxa"/>
            </w:tcMar>
          </w:tcPr>
          <w:p>
            <w:pPr>
              <w:spacing w:before="20" w:after="20" w:line="240" w:lineRule="auto"/>
            </w:pPr>
            <w:r>
              <w:rPr>
                <w:b/>
                <w:color w:val="1A202C"/>
                <w:sz w:val="20"/>
              </w:rPr>
              <w:t xml:space="preserve">$1.9B</w:t>
            </w:r>
          </w:p>
        </w:tc>
      </w:tr>
    </w:tbl>
    <w:p>
      <w:pPr>
        <w:pStyle w:val="Heading2"/>
      </w:pPr>
      <w:r>
        <w:t>10.3 Strategic Positioning</w:t>
      </w:r>
    </w:p>
    <w:p>
      <w:pPr>
        <w:spacing w:after="180" w:line="288" w:lineRule="auto"/>
      </w:pPr>
      <w:r>
        <w:rPr>
          <w:b/>
        </w:rPr>
        <w:t xml:space="preserve">GCAP partnership pathway: </w:t>
      </w:r>
      <w:r>
        <w:t xml:space="preserve">Observer status, secured in July 2026 as the program's first observer nation, opens privileged access to sixth-generation development and a negotiation track toward partner-level work share. A successful conversion positions Canadian industry inside a second sixth-generation ecosystem and multiplies the return on every Aurora Arrow technology investment.</w:t>
      </w:r>
    </w:p>
    <w:p>
      <w:pPr>
        <w:spacing w:after="180" w:line="288" w:lineRule="auto"/>
      </w:pPr>
      <w:r>
        <w:rPr>
          <w:b/>
        </w:rPr>
        <w:t xml:space="preserve">Financing architecture: </w:t>
      </w:r>
      <w:r>
        <w:t xml:space="preserve">Membership in the EU's Security Action for Europe initiative and a founding role in the Defence, Security and Resilience Bank give Canada preferential access to multilateral defence financing that no previous Canadian aircraft program enjoyed.</w:t>
      </w:r>
    </w:p>
    <w:p>
      <w:pPr>
        <w:spacing w:after="180" w:line="288" w:lineRule="auto"/>
      </w:pPr>
      <w:r>
        <w:rPr>
          <w:b/>
        </w:rPr>
        <w:t xml:space="preserve">Sovereign capability restoration: </w:t>
      </w:r>
      <w:r>
        <w:t xml:space="preserve">The program restores an organic interceptor design capability absent since the 1959 CF-105 cancellation, converts roughly 1,200 person-years per decade of Arctic-specific engineering into expertise no other nation holds, and establishes Canada as the global centre of excellence for cold-climate combat aviation.</w:t>
      </w:r>
    </w:p>
    <w:p>
      <w:pPr>
        <w:pStyle w:val="Heading1"/>
      </w:pPr>
      <w:r>
        <w:t>PART XI: TAX REVENUE AND FISCAL IMPACT</w:t>
      </w:r>
    </w:p>
    <w:p>
      <w:pPr>
        <w:pStyle w:val="Heading2"/>
      </w:pPr>
      <w:r>
        <w:t>11.1 Tax Revenue Calculation</w:t>
      </w:r>
    </w:p>
    <w:p>
      <w:pPr>
        <w:spacing w:after="180" w:line="288" w:lineRule="auto"/>
      </w:pPr>
      <w:r>
        <w:t xml:space="preserve">Tax revenue applies 2025 federal and provincial corporate and personal income tax rates, GST/HST, and payroll taxes to the program's wage and profit base. Aerospace manufacturing qualifies for manufacturing and processing preferential rates. The cumulative direct and indirect wage base over the 2027 to 2041 phase totals approximately $12.9 billion.</w:t>
      </w:r>
    </w:p>
    <w:tbl>
      <w:tblPr>
        <w:tblW w:w="5000" w:type="pct"/>
        <w:tblBorders>
          <w:top w:val="single" w:color="1A2744" w:sz="12"/>
          <w:left w:val="nil"/>
          <w:bottom w:val="single" w:color="1A2744" w:sz="12"/>
          <w:right w:val="nil"/>
          <w:insideH w:val="single" w:color="C8C4BC" w:sz="4"/>
          <w:insideV w:val="nil"/>
        </w:tblBorders>
      </w:tblPr>
      <w:tblGrid>
        <w:gridCol w:w="2527"/>
        <w:gridCol w:w="1624"/>
        <w:gridCol w:w="2527"/>
        <w:gridCol w:w="2348"/>
      </w:tblGrid>
      <w:tr>
        <w:trPr>
          <w:tblHeader/>
        </w:trPr>
        <w:tc>
          <w:tcPr>
            <w:tcW w:w="2527" w:type="dxa"/>
            <w:shd w:val="clear" w:fill="F4F2EE"/>
            <w:tcMar>
              <w:top w:w="40" w:type="dxa"/>
              <w:left w:w="80" w:type="dxa"/>
              <w:bottom w:w="40" w:type="dxa"/>
              <w:right w:w="80" w:type="dxa"/>
            </w:tcMar>
          </w:tcPr>
          <w:p>
            <w:pPr>
              <w:spacing w:before="20" w:after="20" w:line="240" w:lineRule="auto"/>
            </w:pPr>
            <w:r>
              <w:rPr>
                <w:b/>
                <w:color w:val="1A2744"/>
                <w:sz w:val="20"/>
              </w:rPr>
              <w:t xml:space="preserve">Tax Type</w:t>
            </w:r>
          </w:p>
        </w:tc>
        <w:tc>
          <w:tcPr>
            <w:tcW w:w="1624" w:type="dxa"/>
            <w:shd w:val="clear" w:fill="F4F2EE"/>
            <w:tcMar>
              <w:top w:w="40" w:type="dxa"/>
              <w:left w:w="80" w:type="dxa"/>
              <w:bottom w:w="40" w:type="dxa"/>
              <w:right w:w="80" w:type="dxa"/>
            </w:tcMar>
          </w:tcPr>
          <w:p>
            <w:pPr>
              <w:spacing w:before="20" w:after="20" w:line="240" w:lineRule="auto"/>
            </w:pPr>
            <w:r>
              <w:rPr>
                <w:b/>
                <w:color w:val="1A2744"/>
                <w:sz w:val="20"/>
              </w:rPr>
              <w:t xml:space="preserve">Rate</w:t>
            </w:r>
          </w:p>
        </w:tc>
        <w:tc>
          <w:tcPr>
            <w:tcW w:w="2527" w:type="dxa"/>
            <w:shd w:val="clear" w:fill="F4F2EE"/>
            <w:tcMar>
              <w:top w:w="40" w:type="dxa"/>
              <w:left w:w="80" w:type="dxa"/>
              <w:bottom w:w="40" w:type="dxa"/>
              <w:right w:w="80" w:type="dxa"/>
            </w:tcMar>
          </w:tcPr>
          <w:p>
            <w:pPr>
              <w:spacing w:before="20" w:after="20" w:line="240" w:lineRule="auto"/>
            </w:pPr>
            <w:r>
              <w:rPr>
                <w:b/>
                <w:color w:val="1A2744"/>
                <w:sz w:val="20"/>
              </w:rPr>
              <w:t xml:space="preserve">Tax Base</w:t>
            </w:r>
          </w:p>
        </w:tc>
        <w:tc>
          <w:tcPr>
            <w:tcW w:w="2348" w:type="dxa"/>
            <w:shd w:val="clear" w:fill="F4F2EE"/>
            <w:tcMar>
              <w:top w:w="40" w:type="dxa"/>
              <w:left w:w="80" w:type="dxa"/>
              <w:bottom w:w="40" w:type="dxa"/>
              <w:right w:w="80" w:type="dxa"/>
            </w:tcMar>
          </w:tcPr>
          <w:p>
            <w:pPr>
              <w:spacing w:before="20" w:after="20" w:line="240" w:lineRule="auto"/>
            </w:pPr>
            <w:r>
              <w:rPr>
                <w:b/>
                <w:color w:val="1A2744"/>
                <w:sz w:val="20"/>
              </w:rPr>
              <w:t xml:space="preserve">Program-Phase Revenue</w:t>
            </w:r>
          </w:p>
        </w:tc>
      </w:tr>
      <w:tr>
        <w:tc>
          <w:tcPr>
            <w:tcW w:w="2527" w:type="dxa"/>
            <w:tcMar>
              <w:top w:w="40" w:type="dxa"/>
              <w:left w:w="80" w:type="dxa"/>
              <w:bottom w:w="40" w:type="dxa"/>
              <w:right w:w="80" w:type="dxa"/>
            </w:tcMar>
          </w:tcPr>
          <w:p>
            <w:pPr>
              <w:spacing w:before="20" w:after="20" w:line="240" w:lineRule="auto"/>
            </w:pPr>
            <w:r>
              <w:rPr>
                <w:color w:val="1A202C"/>
                <w:sz w:val="20"/>
              </w:rPr>
              <w:t xml:space="preserve">Federal corporate (M and P)</w:t>
            </w:r>
          </w:p>
        </w:tc>
        <w:tc>
          <w:tcPr>
            <w:tcW w:w="1624" w:type="dxa"/>
            <w:tcMar>
              <w:top w:w="40" w:type="dxa"/>
              <w:left w:w="80" w:type="dxa"/>
              <w:bottom w:w="40" w:type="dxa"/>
              <w:right w:w="80" w:type="dxa"/>
            </w:tcMar>
          </w:tcPr>
          <w:p>
            <w:pPr>
              <w:spacing w:before="20" w:after="20" w:line="240" w:lineRule="auto"/>
            </w:pPr>
            <w:r>
              <w:rPr>
                <w:color w:val="1A202C"/>
                <w:sz w:val="20"/>
              </w:rPr>
              <w:t xml:space="preserve">7.5%</w:t>
            </w:r>
          </w:p>
        </w:tc>
        <w:tc>
          <w:tcPr>
            <w:tcW w:w="2527" w:type="dxa"/>
            <w:tcMar>
              <w:top w:w="40" w:type="dxa"/>
              <w:left w:w="80" w:type="dxa"/>
              <w:bottom w:w="40" w:type="dxa"/>
              <w:right w:w="80" w:type="dxa"/>
            </w:tcMar>
          </w:tcPr>
          <w:p>
            <w:pPr>
              <w:spacing w:before="20" w:after="20" w:line="240" w:lineRule="auto"/>
            </w:pPr>
            <w:r>
              <w:rPr>
                <w:color w:val="1A202C"/>
                <w:sz w:val="20"/>
              </w:rPr>
              <w:t xml:space="preserve">Corporate profits</w:t>
            </w:r>
          </w:p>
        </w:tc>
        <w:tc>
          <w:tcPr>
            <w:tcW w:w="2348" w:type="dxa"/>
            <w:tcMar>
              <w:top w:w="40" w:type="dxa"/>
              <w:left w:w="80" w:type="dxa"/>
              <w:bottom w:w="40" w:type="dxa"/>
              <w:right w:w="80" w:type="dxa"/>
            </w:tcMar>
          </w:tcPr>
          <w:p>
            <w:pPr>
              <w:spacing w:before="20" w:after="20" w:line="240" w:lineRule="auto"/>
            </w:pPr>
            <w:r>
              <w:rPr>
                <w:color w:val="1A202C"/>
                <w:sz w:val="20"/>
              </w:rPr>
              <w:t xml:space="preserve">$315M</w:t>
            </w:r>
          </w:p>
        </w:tc>
      </w:tr>
      <w:tr>
        <w:tc>
          <w:tcPr>
            <w:tcW w:w="2527" w:type="dxa"/>
            <w:tcMar>
              <w:top w:w="40" w:type="dxa"/>
              <w:left w:w="80" w:type="dxa"/>
              <w:bottom w:w="40" w:type="dxa"/>
              <w:right w:w="80" w:type="dxa"/>
            </w:tcMar>
          </w:tcPr>
          <w:p>
            <w:pPr>
              <w:spacing w:before="20" w:after="20" w:line="240" w:lineRule="auto"/>
            </w:pPr>
            <w:r>
              <w:rPr>
                <w:color w:val="1A202C"/>
                <w:sz w:val="20"/>
              </w:rPr>
              <w:t xml:space="preserve">Provincial corporate</w:t>
            </w:r>
          </w:p>
        </w:tc>
        <w:tc>
          <w:tcPr>
            <w:tcW w:w="1624" w:type="dxa"/>
            <w:tcMar>
              <w:top w:w="40" w:type="dxa"/>
              <w:left w:w="80" w:type="dxa"/>
              <w:bottom w:w="40" w:type="dxa"/>
              <w:right w:w="80" w:type="dxa"/>
            </w:tcMar>
          </w:tcPr>
          <w:p>
            <w:pPr>
              <w:spacing w:before="20" w:after="20" w:line="240" w:lineRule="auto"/>
            </w:pPr>
            <w:r>
              <w:rPr>
                <w:color w:val="1A202C"/>
                <w:sz w:val="20"/>
              </w:rPr>
              <w:t xml:space="preserve">17.5 to 19%</w:t>
            </w:r>
          </w:p>
        </w:tc>
        <w:tc>
          <w:tcPr>
            <w:tcW w:w="2527" w:type="dxa"/>
            <w:tcMar>
              <w:top w:w="40" w:type="dxa"/>
              <w:left w:w="80" w:type="dxa"/>
              <w:bottom w:w="40" w:type="dxa"/>
              <w:right w:w="80" w:type="dxa"/>
            </w:tcMar>
          </w:tcPr>
          <w:p>
            <w:pPr>
              <w:spacing w:before="20" w:after="20" w:line="240" w:lineRule="auto"/>
            </w:pPr>
            <w:r>
              <w:rPr>
                <w:color w:val="1A202C"/>
                <w:sz w:val="20"/>
              </w:rPr>
              <w:t xml:space="preserve">Corporate profits</w:t>
            </w:r>
          </w:p>
        </w:tc>
        <w:tc>
          <w:tcPr>
            <w:tcW w:w="2348" w:type="dxa"/>
            <w:tcMar>
              <w:top w:w="40" w:type="dxa"/>
              <w:left w:w="80" w:type="dxa"/>
              <w:bottom w:w="40" w:type="dxa"/>
              <w:right w:w="80" w:type="dxa"/>
            </w:tcMar>
          </w:tcPr>
          <w:p>
            <w:pPr>
              <w:spacing w:before="20" w:after="20" w:line="240" w:lineRule="auto"/>
            </w:pPr>
            <w:r>
              <w:rPr>
                <w:color w:val="1A202C"/>
                <w:sz w:val="20"/>
              </w:rPr>
              <w:t xml:space="preserve">$735M</w:t>
            </w:r>
          </w:p>
        </w:tc>
      </w:tr>
      <w:tr>
        <w:tc>
          <w:tcPr>
            <w:tcW w:w="2527" w:type="dxa"/>
            <w:tcMar>
              <w:top w:w="40" w:type="dxa"/>
              <w:left w:w="80" w:type="dxa"/>
              <w:bottom w:w="40" w:type="dxa"/>
              <w:right w:w="80" w:type="dxa"/>
            </w:tcMar>
          </w:tcPr>
          <w:p>
            <w:pPr>
              <w:spacing w:before="20" w:after="20" w:line="240" w:lineRule="auto"/>
            </w:pPr>
            <w:r>
              <w:rPr>
                <w:color w:val="1A202C"/>
                <w:sz w:val="20"/>
              </w:rPr>
              <w:t xml:space="preserve">Personal income (federal)</w:t>
            </w:r>
          </w:p>
        </w:tc>
        <w:tc>
          <w:tcPr>
            <w:tcW w:w="1624" w:type="dxa"/>
            <w:tcMar>
              <w:top w:w="40" w:type="dxa"/>
              <w:left w:w="80" w:type="dxa"/>
              <w:bottom w:w="40" w:type="dxa"/>
              <w:right w:w="80" w:type="dxa"/>
            </w:tcMar>
          </w:tcPr>
          <w:p>
            <w:pPr>
              <w:spacing w:before="20" w:after="20" w:line="240" w:lineRule="auto"/>
            </w:pPr>
            <w:r>
              <w:rPr>
                <w:color w:val="1A202C"/>
                <w:sz w:val="20"/>
              </w:rPr>
              <w:t xml:space="preserve">20.5% avg</w:t>
            </w:r>
          </w:p>
        </w:tc>
        <w:tc>
          <w:tcPr>
            <w:tcW w:w="2527" w:type="dxa"/>
            <w:tcMar>
              <w:top w:w="40" w:type="dxa"/>
              <w:left w:w="80" w:type="dxa"/>
              <w:bottom w:w="40" w:type="dxa"/>
              <w:right w:w="80" w:type="dxa"/>
            </w:tcMar>
          </w:tcPr>
          <w:p>
            <w:pPr>
              <w:spacing w:before="20" w:after="20" w:line="240" w:lineRule="auto"/>
            </w:pPr>
            <w:r>
              <w:rPr>
                <w:color w:val="1A202C"/>
                <w:sz w:val="20"/>
              </w:rPr>
              <w:t xml:space="preserve">$12.9B wages</w:t>
            </w:r>
          </w:p>
        </w:tc>
        <w:tc>
          <w:tcPr>
            <w:tcW w:w="2348" w:type="dxa"/>
            <w:tcMar>
              <w:top w:w="40" w:type="dxa"/>
              <w:left w:w="80" w:type="dxa"/>
              <w:bottom w:w="40" w:type="dxa"/>
              <w:right w:w="80" w:type="dxa"/>
            </w:tcMar>
          </w:tcPr>
          <w:p>
            <w:pPr>
              <w:spacing w:before="20" w:after="20" w:line="240" w:lineRule="auto"/>
            </w:pPr>
            <w:r>
              <w:rPr>
                <w:color w:val="1A202C"/>
                <w:sz w:val="20"/>
              </w:rPr>
              <w:t xml:space="preserve">$2,645M</w:t>
            </w:r>
          </w:p>
        </w:tc>
      </w:tr>
      <w:tr>
        <w:tc>
          <w:tcPr>
            <w:tcW w:w="2527" w:type="dxa"/>
            <w:tcMar>
              <w:top w:w="40" w:type="dxa"/>
              <w:left w:w="80" w:type="dxa"/>
              <w:bottom w:w="40" w:type="dxa"/>
              <w:right w:w="80" w:type="dxa"/>
            </w:tcMar>
          </w:tcPr>
          <w:p>
            <w:pPr>
              <w:spacing w:before="20" w:after="20" w:line="240" w:lineRule="auto"/>
            </w:pPr>
            <w:r>
              <w:rPr>
                <w:color w:val="1A202C"/>
                <w:sz w:val="20"/>
              </w:rPr>
              <w:t xml:space="preserve">Personal income (provincial)</w:t>
            </w:r>
          </w:p>
        </w:tc>
        <w:tc>
          <w:tcPr>
            <w:tcW w:w="1624" w:type="dxa"/>
            <w:tcMar>
              <w:top w:w="40" w:type="dxa"/>
              <w:left w:w="80" w:type="dxa"/>
              <w:bottom w:w="40" w:type="dxa"/>
              <w:right w:w="80" w:type="dxa"/>
            </w:tcMar>
          </w:tcPr>
          <w:p>
            <w:pPr>
              <w:spacing w:before="20" w:after="20" w:line="240" w:lineRule="auto"/>
            </w:pPr>
            <w:r>
              <w:rPr>
                <w:color w:val="1A202C"/>
                <w:sz w:val="20"/>
              </w:rPr>
              <w:t xml:space="preserve">11.5% avg</w:t>
            </w:r>
          </w:p>
        </w:tc>
        <w:tc>
          <w:tcPr>
            <w:tcW w:w="2527" w:type="dxa"/>
            <w:tcMar>
              <w:top w:w="40" w:type="dxa"/>
              <w:left w:w="80" w:type="dxa"/>
              <w:bottom w:w="40" w:type="dxa"/>
              <w:right w:w="80" w:type="dxa"/>
            </w:tcMar>
          </w:tcPr>
          <w:p>
            <w:pPr>
              <w:spacing w:before="20" w:after="20" w:line="240" w:lineRule="auto"/>
            </w:pPr>
            <w:r>
              <w:rPr>
                <w:color w:val="1A202C"/>
                <w:sz w:val="20"/>
              </w:rPr>
              <w:t xml:space="preserve">$12.9B wages</w:t>
            </w:r>
          </w:p>
        </w:tc>
        <w:tc>
          <w:tcPr>
            <w:tcW w:w="2348" w:type="dxa"/>
            <w:tcMar>
              <w:top w:w="40" w:type="dxa"/>
              <w:left w:w="80" w:type="dxa"/>
              <w:bottom w:w="40" w:type="dxa"/>
              <w:right w:w="80" w:type="dxa"/>
            </w:tcMar>
          </w:tcPr>
          <w:p>
            <w:pPr>
              <w:spacing w:before="20" w:after="20" w:line="240" w:lineRule="auto"/>
            </w:pPr>
            <w:r>
              <w:rPr>
                <w:color w:val="1A202C"/>
                <w:sz w:val="20"/>
              </w:rPr>
              <w:t xml:space="preserve">$1,485M</w:t>
            </w:r>
          </w:p>
        </w:tc>
      </w:tr>
      <w:tr>
        <w:tc>
          <w:tcPr>
            <w:tcW w:w="2527" w:type="dxa"/>
            <w:tcMar>
              <w:top w:w="40" w:type="dxa"/>
              <w:left w:w="80" w:type="dxa"/>
              <w:bottom w:w="40" w:type="dxa"/>
              <w:right w:w="80" w:type="dxa"/>
            </w:tcMar>
          </w:tcPr>
          <w:p>
            <w:pPr>
              <w:spacing w:before="20" w:after="20" w:line="240" w:lineRule="auto"/>
            </w:pPr>
            <w:r>
              <w:rPr>
                <w:color w:val="1A202C"/>
                <w:sz w:val="20"/>
              </w:rPr>
              <w:t xml:space="preserve">Payroll taxes (CPP/EI)</w:t>
            </w:r>
          </w:p>
        </w:tc>
        <w:tc>
          <w:tcPr>
            <w:tcW w:w="1624" w:type="dxa"/>
            <w:tcMar>
              <w:top w:w="40" w:type="dxa"/>
              <w:left w:w="80" w:type="dxa"/>
              <w:bottom w:w="40" w:type="dxa"/>
              <w:right w:w="80" w:type="dxa"/>
            </w:tcMar>
          </w:tcPr>
          <w:p>
            <w:pPr>
              <w:spacing w:before="20" w:after="20" w:line="240" w:lineRule="auto"/>
            </w:pPr>
            <w:r>
              <w:rPr>
                <w:color w:val="1A202C"/>
                <w:sz w:val="20"/>
              </w:rPr>
              <w:t xml:space="preserve">7.5%</w:t>
            </w:r>
          </w:p>
        </w:tc>
        <w:tc>
          <w:tcPr>
            <w:tcW w:w="2527" w:type="dxa"/>
            <w:tcMar>
              <w:top w:w="40" w:type="dxa"/>
              <w:left w:w="80" w:type="dxa"/>
              <w:bottom w:w="40" w:type="dxa"/>
              <w:right w:w="80" w:type="dxa"/>
            </w:tcMar>
          </w:tcPr>
          <w:p>
            <w:pPr>
              <w:spacing w:before="20" w:after="20" w:line="240" w:lineRule="auto"/>
            </w:pPr>
            <w:r>
              <w:rPr>
                <w:color w:val="1A202C"/>
                <w:sz w:val="20"/>
              </w:rPr>
              <w:t xml:space="preserve">$12.9B wages</w:t>
            </w:r>
          </w:p>
        </w:tc>
        <w:tc>
          <w:tcPr>
            <w:tcW w:w="2348" w:type="dxa"/>
            <w:tcMar>
              <w:top w:w="40" w:type="dxa"/>
              <w:left w:w="80" w:type="dxa"/>
              <w:bottom w:w="40" w:type="dxa"/>
              <w:right w:w="80" w:type="dxa"/>
            </w:tcMar>
          </w:tcPr>
          <w:p>
            <w:pPr>
              <w:spacing w:before="20" w:after="20" w:line="240" w:lineRule="auto"/>
            </w:pPr>
            <w:r>
              <w:rPr>
                <w:color w:val="1A202C"/>
                <w:sz w:val="20"/>
              </w:rPr>
              <w:t xml:space="preserve">$970M</w:t>
            </w:r>
          </w:p>
        </w:tc>
      </w:tr>
      <w:tr>
        <w:tc>
          <w:tcPr>
            <w:tcW w:w="2527" w:type="dxa"/>
            <w:tcMar>
              <w:top w:w="40" w:type="dxa"/>
              <w:left w:w="80" w:type="dxa"/>
              <w:bottom w:w="40" w:type="dxa"/>
              <w:right w:w="80" w:type="dxa"/>
            </w:tcMar>
          </w:tcPr>
          <w:p>
            <w:pPr>
              <w:spacing w:before="20" w:after="20" w:line="240" w:lineRule="auto"/>
            </w:pPr>
            <w:r>
              <w:rPr>
                <w:color w:val="1A202C"/>
                <w:sz w:val="20"/>
              </w:rPr>
              <w:t xml:space="preserve">GST/HST on goods and services</w:t>
            </w:r>
          </w:p>
        </w:tc>
        <w:tc>
          <w:tcPr>
            <w:tcW w:w="1624" w:type="dxa"/>
            <w:tcMar>
              <w:top w:w="40" w:type="dxa"/>
              <w:left w:w="80" w:type="dxa"/>
              <w:bottom w:w="40" w:type="dxa"/>
              <w:right w:w="80" w:type="dxa"/>
            </w:tcMar>
          </w:tcPr>
          <w:p>
            <w:pPr>
              <w:spacing w:before="20" w:after="20" w:line="240" w:lineRule="auto"/>
            </w:pPr>
            <w:r>
              <w:rPr>
                <w:color w:val="1A202C"/>
                <w:sz w:val="20"/>
              </w:rPr>
              <w:t xml:space="preserve">13% blended</w:t>
            </w:r>
          </w:p>
        </w:tc>
        <w:tc>
          <w:tcPr>
            <w:tcW w:w="2527" w:type="dxa"/>
            <w:tcMar>
              <w:top w:w="40" w:type="dxa"/>
              <w:left w:w="80" w:type="dxa"/>
              <w:bottom w:w="40" w:type="dxa"/>
              <w:right w:w="80" w:type="dxa"/>
            </w:tcMar>
          </w:tcPr>
          <w:p>
            <w:pPr>
              <w:spacing w:before="20" w:after="20" w:line="240" w:lineRule="auto"/>
            </w:pPr>
            <w:r>
              <w:rPr>
                <w:color w:val="1A202C"/>
                <w:sz w:val="20"/>
              </w:rPr>
              <w:t xml:space="preserve">Taxable program spend</w:t>
            </w:r>
          </w:p>
        </w:tc>
        <w:tc>
          <w:tcPr>
            <w:tcW w:w="2348" w:type="dxa"/>
            <w:tcMar>
              <w:top w:w="40" w:type="dxa"/>
              <w:left w:w="80" w:type="dxa"/>
              <w:bottom w:w="40" w:type="dxa"/>
              <w:right w:w="80" w:type="dxa"/>
            </w:tcMar>
          </w:tcPr>
          <w:p>
            <w:pPr>
              <w:spacing w:before="20" w:after="20" w:line="240" w:lineRule="auto"/>
            </w:pPr>
            <w:r>
              <w:rPr>
                <w:color w:val="1A202C"/>
                <w:sz w:val="20"/>
              </w:rPr>
              <w:t xml:space="preserve">$830M</w:t>
            </w:r>
          </w:p>
        </w:tc>
      </w:tr>
      <w:tr>
        <w:tc>
          <w:tcPr>
            <w:tcW w:w="2527" w:type="dxa"/>
            <w:tcMar>
              <w:top w:w="40" w:type="dxa"/>
              <w:left w:w="80" w:type="dxa"/>
              <w:bottom w:w="40" w:type="dxa"/>
              <w:right w:w="80" w:type="dxa"/>
            </w:tcMar>
          </w:tcPr>
          <w:p>
            <w:pPr>
              <w:spacing w:before="20" w:after="20" w:line="240" w:lineRule="auto"/>
            </w:pPr>
            <w:r>
              <w:rPr>
                <w:b/>
                <w:color w:val="1A202C"/>
                <w:sz w:val="20"/>
              </w:rPr>
              <w:t xml:space="preserve">TOTAL TAX REVENUE</w:t>
            </w:r>
          </w:p>
        </w:tc>
        <w:tc>
          <w:tcPr>
            <w:tcW w:w="1624" w:type="dxa"/>
            <w:tcMar>
              <w:top w:w="40" w:type="dxa"/>
              <w:left w:w="80" w:type="dxa"/>
              <w:bottom w:w="40" w:type="dxa"/>
              <w:right w:w="80" w:type="dxa"/>
            </w:tcMar>
          </w:tcPr>
          <w:p>
            <w:pPr>
              <w:spacing w:before="20" w:after="20" w:line="240" w:lineRule="auto"/>
            </w:pPr>
            <w:r>
              <w:rPr>
                <w:b/>
                <w:color w:val="1A202C"/>
                <w:sz w:val="20"/>
              </w:rPr>
              <w:t xml:space="preserve">Blended</w:t>
            </w:r>
          </w:p>
        </w:tc>
        <w:tc>
          <w:tcPr>
            <w:tcW w:w="2527" w:type="dxa"/>
            <w:tcMar>
              <w:top w:w="40" w:type="dxa"/>
              <w:left w:w="80" w:type="dxa"/>
              <w:bottom w:w="40" w:type="dxa"/>
              <w:right w:w="80" w:type="dxa"/>
            </w:tcMar>
          </w:tcPr>
          <w:p>
            <w:pPr>
              <w:spacing w:before="20" w:after="20" w:line="240" w:lineRule="auto"/>
            </w:pPr>
            <w:r>
              <w:rPr>
                <w:b/>
                <w:color w:val="1A202C"/>
                <w:sz w:val="20"/>
              </w:rPr>
              <w:t xml:space="preserve">2027 to 2041</w:t>
            </w:r>
          </w:p>
        </w:tc>
        <w:tc>
          <w:tcPr>
            <w:tcW w:w="2348" w:type="dxa"/>
            <w:tcMar>
              <w:top w:w="40" w:type="dxa"/>
              <w:left w:w="80" w:type="dxa"/>
              <w:bottom w:w="40" w:type="dxa"/>
              <w:right w:w="80" w:type="dxa"/>
            </w:tcMar>
          </w:tcPr>
          <w:p>
            <w:pPr>
              <w:spacing w:before="20" w:after="20" w:line="240" w:lineRule="auto"/>
            </w:pPr>
            <w:r>
              <w:rPr>
                <w:b/>
                <w:color w:val="1A202C"/>
                <w:sz w:val="20"/>
              </w:rPr>
              <w:t xml:space="preserve">$6,980M</w:t>
            </w:r>
          </w:p>
        </w:tc>
      </w:tr>
    </w:tbl>
    <w:p>
      <w:pPr>
        <w:pStyle w:val="Heading2"/>
      </w:pPr>
      <w:r>
        <w:t>11.2 Fiscal Context</w:t>
      </w:r>
    </w:p>
    <w:p>
      <w:pPr>
        <w:spacing w:after="180" w:line="288" w:lineRule="auto"/>
      </w:pPr>
      <w:r>
        <w:rPr>
          <w:b/>
        </w:rPr>
        <w:t xml:space="preserve">Context: </w:t>
      </w:r>
      <w:r>
        <w:t xml:space="preserve">Bombardier generated $1.2 billion in federal and provincial tax revenues in 2024 alone. The program's $7.0 billion phase contribution returns roughly 17 cents of every Canadian-content dollar to federal and provincial treasuries during execution, before counting the sustainment decades and the export phase that follow. Combined with the $35.0 billion GDP contribution and $1.9 billion in technology spillovers, the program's fiscal and economic returns approach the full value of the retained Canadian spend.</w:t>
      </w:r>
    </w:p>
    <w:p>
      <w:pPr>
        <w:pStyle w:val="Heading1"/>
      </w:pPr>
      <w:r>
        <w:t>PART XII: RISK ASSESSMENT AND SENSITIVITY</w:t>
      </w:r>
    </w:p>
    <w:p>
      <w:pPr>
        <w:pStyle w:val="Heading2"/>
      </w:pPr>
      <w:r>
        <w:t>12.1 Key Risks</w:t>
      </w:r>
    </w:p>
    <w:tbl>
      <w:tblPr>
        <w:tblW w:w="5000" w:type="pct"/>
        <w:tblBorders>
          <w:top w:val="single" w:color="1A2744" w:sz="12"/>
          <w:left w:val="nil"/>
          <w:bottom w:val="single" w:color="1A2744" w:sz="12"/>
          <w:right w:val="nil"/>
          <w:insideH w:val="single" w:color="C8C4BC" w:sz="4"/>
          <w:insideV w:val="nil"/>
        </w:tblBorders>
      </w:tblPr>
      <w:tblGrid>
        <w:gridCol w:w="2707"/>
        <w:gridCol w:w="1263"/>
        <w:gridCol w:w="1083"/>
        <w:gridCol w:w="3973"/>
      </w:tblGrid>
      <w:tr>
        <w:trPr>
          <w:tblHeader/>
        </w:trPr>
        <w:tc>
          <w:tcPr>
            <w:tcW w:w="2707" w:type="dxa"/>
            <w:shd w:val="clear" w:fill="F4F2EE"/>
            <w:tcMar>
              <w:top w:w="40" w:type="dxa"/>
              <w:left w:w="80" w:type="dxa"/>
              <w:bottom w:w="40" w:type="dxa"/>
              <w:right w:w="80" w:type="dxa"/>
            </w:tcMar>
          </w:tcPr>
          <w:p>
            <w:pPr>
              <w:spacing w:before="20" w:after="20" w:line="240" w:lineRule="auto"/>
            </w:pPr>
            <w:r>
              <w:rPr>
                <w:b/>
                <w:color w:val="1A2744"/>
                <w:sz w:val="20"/>
              </w:rPr>
              <w:t xml:space="preserve">Risk</w:t>
            </w:r>
          </w:p>
        </w:tc>
        <w:tc>
          <w:tcPr>
            <w:tcW w:w="1263" w:type="dxa"/>
            <w:shd w:val="clear" w:fill="F4F2EE"/>
            <w:tcMar>
              <w:top w:w="40" w:type="dxa"/>
              <w:left w:w="80" w:type="dxa"/>
              <w:bottom w:w="40" w:type="dxa"/>
              <w:right w:w="80" w:type="dxa"/>
            </w:tcMar>
          </w:tcPr>
          <w:p>
            <w:pPr>
              <w:spacing w:before="20" w:after="20" w:line="240" w:lineRule="auto"/>
            </w:pPr>
            <w:r>
              <w:rPr>
                <w:b/>
                <w:color w:val="1A2744"/>
                <w:sz w:val="20"/>
              </w:rPr>
              <w:t xml:space="preserve">Probability</w:t>
            </w:r>
          </w:p>
        </w:tc>
        <w:tc>
          <w:tcPr>
            <w:tcW w:w="1083" w:type="dxa"/>
            <w:shd w:val="clear" w:fill="F4F2EE"/>
            <w:tcMar>
              <w:top w:w="40" w:type="dxa"/>
              <w:left w:w="80" w:type="dxa"/>
              <w:bottom w:w="40" w:type="dxa"/>
              <w:right w:w="80" w:type="dxa"/>
            </w:tcMar>
          </w:tcPr>
          <w:p>
            <w:pPr>
              <w:spacing w:before="20" w:after="20" w:line="240" w:lineRule="auto"/>
            </w:pPr>
            <w:r>
              <w:rPr>
                <w:b/>
                <w:color w:val="1A2744"/>
                <w:sz w:val="20"/>
              </w:rPr>
              <w:t xml:space="preserve">Impact</w:t>
            </w:r>
          </w:p>
        </w:tc>
        <w:tc>
          <w:tcPr>
            <w:tcW w:w="3973" w:type="dxa"/>
            <w:shd w:val="clear" w:fill="F4F2EE"/>
            <w:tcMar>
              <w:top w:w="40" w:type="dxa"/>
              <w:left w:w="80" w:type="dxa"/>
              <w:bottom w:w="40" w:type="dxa"/>
              <w:right w:w="80" w:type="dxa"/>
            </w:tcMar>
          </w:tcPr>
          <w:p>
            <w:pPr>
              <w:spacing w:before="20" w:after="20" w:line="240" w:lineRule="auto"/>
            </w:pPr>
            <w:r>
              <w:rPr>
                <w:b/>
                <w:color w:val="1A2744"/>
                <w:sz w:val="20"/>
              </w:rPr>
              <w:t xml:space="preserve">Mitigation</w:t>
            </w:r>
          </w:p>
        </w:tc>
      </w:tr>
      <w:tr>
        <w:tc>
          <w:tcPr>
            <w:tcW w:w="2707" w:type="dxa"/>
            <w:tcMar>
              <w:top w:w="40" w:type="dxa"/>
              <w:left w:w="80" w:type="dxa"/>
              <w:bottom w:w="40" w:type="dxa"/>
              <w:right w:w="80" w:type="dxa"/>
            </w:tcMar>
          </w:tcPr>
          <w:p>
            <w:pPr>
              <w:spacing w:before="20" w:after="20" w:line="240" w:lineRule="auto"/>
            </w:pPr>
            <w:r>
              <w:rPr>
                <w:color w:val="1A202C"/>
                <w:sz w:val="20"/>
              </w:rPr>
              <w:t xml:space="preserve">Development cost growth (sixth-generation precedent)</w:t>
            </w:r>
          </w:p>
        </w:tc>
        <w:tc>
          <w:tcPr>
            <w:tcW w:w="1263" w:type="dxa"/>
            <w:tcMar>
              <w:top w:w="40" w:type="dxa"/>
              <w:left w:w="80" w:type="dxa"/>
              <w:bottom w:w="40" w:type="dxa"/>
              <w:right w:w="80" w:type="dxa"/>
            </w:tcMar>
          </w:tcPr>
          <w:p>
            <w:pPr>
              <w:spacing w:before="20" w:after="20" w:line="240" w:lineRule="auto"/>
            </w:pPr>
            <w:r>
              <w:rPr>
                <w:color w:val="1A202C"/>
                <w:sz w:val="20"/>
              </w:rPr>
              <w:t xml:space="preserve">Medium</w:t>
            </w:r>
          </w:p>
        </w:tc>
        <w:tc>
          <w:tcPr>
            <w:tcW w:w="1083" w:type="dxa"/>
            <w:tcMar>
              <w:top w:w="40" w:type="dxa"/>
              <w:left w:w="80" w:type="dxa"/>
              <w:bottom w:w="40" w:type="dxa"/>
              <w:right w:w="80" w:type="dxa"/>
            </w:tcMar>
          </w:tcPr>
          <w:p>
            <w:pPr>
              <w:spacing w:before="20" w:after="20" w:line="240" w:lineRule="auto"/>
            </w:pPr>
            <w:r>
              <w:rPr>
                <w:color w:val="1A202C"/>
                <w:sz w:val="20"/>
              </w:rPr>
              <w:t xml:space="preserve">High</w:t>
            </w:r>
          </w:p>
        </w:tc>
        <w:tc>
          <w:tcPr>
            <w:tcW w:w="3973" w:type="dxa"/>
            <w:tcMar>
              <w:top w:w="40" w:type="dxa"/>
              <w:left w:w="80" w:type="dxa"/>
              <w:bottom w:w="40" w:type="dxa"/>
              <w:right w:w="80" w:type="dxa"/>
            </w:tcMar>
          </w:tcPr>
          <w:p>
            <w:pPr>
              <w:spacing w:before="20" w:after="20" w:line="240" w:lineRule="auto"/>
            </w:pPr>
            <w:r>
              <w:rPr>
                <w:color w:val="1A202C"/>
                <w:sz w:val="20"/>
              </w:rPr>
              <w:t xml:space="preserve">Honest $24B baseline per Rev 2.5.5; phased gates; export sales amortize overruns</w:t>
            </w:r>
          </w:p>
        </w:tc>
      </w:tr>
      <w:tr>
        <w:tc>
          <w:tcPr>
            <w:tcW w:w="2707" w:type="dxa"/>
            <w:tcMar>
              <w:top w:w="40" w:type="dxa"/>
              <w:left w:w="80" w:type="dxa"/>
              <w:bottom w:w="40" w:type="dxa"/>
              <w:right w:w="80" w:type="dxa"/>
            </w:tcMar>
          </w:tcPr>
          <w:p>
            <w:pPr>
              <w:spacing w:before="20" w:after="20" w:line="240" w:lineRule="auto"/>
            </w:pPr>
            <w:r>
              <w:rPr>
                <w:color w:val="1A202C"/>
                <w:sz w:val="20"/>
              </w:rPr>
              <w:t xml:space="preserve">Engine partner dependency</w:t>
            </w:r>
          </w:p>
        </w:tc>
        <w:tc>
          <w:tcPr>
            <w:tcW w:w="1263" w:type="dxa"/>
            <w:tcMar>
              <w:top w:w="40" w:type="dxa"/>
              <w:left w:w="80" w:type="dxa"/>
              <w:bottom w:w="40" w:type="dxa"/>
              <w:right w:w="80" w:type="dxa"/>
            </w:tcMar>
          </w:tcPr>
          <w:p>
            <w:pPr>
              <w:spacing w:before="20" w:after="20" w:line="240" w:lineRule="auto"/>
            </w:pPr>
            <w:r>
              <w:rPr>
                <w:color w:val="1A202C"/>
                <w:sz w:val="20"/>
              </w:rPr>
              <w:t xml:space="preserve">Medium</w:t>
            </w:r>
          </w:p>
        </w:tc>
        <w:tc>
          <w:tcPr>
            <w:tcW w:w="1083" w:type="dxa"/>
            <w:tcMar>
              <w:top w:w="40" w:type="dxa"/>
              <w:left w:w="80" w:type="dxa"/>
              <w:bottom w:w="40" w:type="dxa"/>
              <w:right w:w="80" w:type="dxa"/>
            </w:tcMar>
          </w:tcPr>
          <w:p>
            <w:pPr>
              <w:spacing w:before="20" w:after="20" w:line="240" w:lineRule="auto"/>
            </w:pPr>
            <w:r>
              <w:rPr>
                <w:color w:val="1A202C"/>
                <w:sz w:val="20"/>
              </w:rPr>
              <w:t xml:space="preserve">High</w:t>
            </w:r>
          </w:p>
        </w:tc>
        <w:tc>
          <w:tcPr>
            <w:tcW w:w="3973" w:type="dxa"/>
            <w:tcMar>
              <w:top w:w="40" w:type="dxa"/>
              <w:left w:w="80" w:type="dxa"/>
              <w:bottom w:w="40" w:type="dxa"/>
              <w:right w:w="80" w:type="dxa"/>
            </w:tcMar>
          </w:tcPr>
          <w:p>
            <w:pPr>
              <w:spacing w:before="20" w:after="20" w:line="240" w:lineRule="auto"/>
            </w:pPr>
            <w:r>
              <w:rPr>
                <w:color w:val="1A202C"/>
                <w:sz w:val="20"/>
              </w:rPr>
              <w:t xml:space="preserve">Dual-vendor strategy; P&amp;WC module work share; strategic stockpile</w:t>
            </w:r>
          </w:p>
        </w:tc>
      </w:tr>
      <w:tr>
        <w:tc>
          <w:tcPr>
            <w:tcW w:w="2707" w:type="dxa"/>
            <w:tcMar>
              <w:top w:w="40" w:type="dxa"/>
              <w:left w:w="80" w:type="dxa"/>
              <w:bottom w:w="40" w:type="dxa"/>
              <w:right w:w="80" w:type="dxa"/>
            </w:tcMar>
          </w:tcPr>
          <w:p>
            <w:pPr>
              <w:spacing w:before="20" w:after="20" w:line="240" w:lineRule="auto"/>
            </w:pPr>
            <w:r>
              <w:rPr>
                <w:color w:val="1A202C"/>
                <w:sz w:val="20"/>
              </w:rPr>
              <w:t xml:space="preserve">Technology maturation (battery density, coating durability)</w:t>
            </w:r>
          </w:p>
        </w:tc>
        <w:tc>
          <w:tcPr>
            <w:tcW w:w="1263" w:type="dxa"/>
            <w:tcMar>
              <w:top w:w="40" w:type="dxa"/>
              <w:left w:w="80" w:type="dxa"/>
              <w:bottom w:w="40" w:type="dxa"/>
              <w:right w:w="80" w:type="dxa"/>
            </w:tcMar>
          </w:tcPr>
          <w:p>
            <w:pPr>
              <w:spacing w:before="20" w:after="20" w:line="240" w:lineRule="auto"/>
            </w:pPr>
            <w:r>
              <w:rPr>
                <w:color w:val="1A202C"/>
                <w:sz w:val="20"/>
              </w:rPr>
              <w:t xml:space="preserve">Medium</w:t>
            </w:r>
          </w:p>
        </w:tc>
        <w:tc>
          <w:tcPr>
            <w:tcW w:w="1083" w:type="dxa"/>
            <w:tcMar>
              <w:top w:w="40" w:type="dxa"/>
              <w:left w:w="80" w:type="dxa"/>
              <w:bottom w:w="40" w:type="dxa"/>
              <w:right w:w="80" w:type="dxa"/>
            </w:tcMar>
          </w:tcPr>
          <w:p>
            <w:pPr>
              <w:spacing w:before="20" w:after="20" w:line="240" w:lineRule="auto"/>
            </w:pPr>
            <w:r>
              <w:rPr>
                <w:color w:val="1A202C"/>
                <w:sz w:val="20"/>
              </w:rPr>
              <w:t xml:space="preserve">Medium</w:t>
            </w:r>
          </w:p>
        </w:tc>
        <w:tc>
          <w:tcPr>
            <w:tcW w:w="3973" w:type="dxa"/>
            <w:tcMar>
              <w:top w:w="40" w:type="dxa"/>
              <w:left w:w="80" w:type="dxa"/>
              <w:bottom w:w="40" w:type="dxa"/>
              <w:right w:w="80" w:type="dxa"/>
            </w:tcMar>
          </w:tcPr>
          <w:p>
            <w:pPr>
              <w:spacing w:before="20" w:after="20" w:line="240" w:lineRule="auto"/>
            </w:pPr>
            <w:r>
              <w:rPr>
                <w:color w:val="1A202C"/>
                <w:sz w:val="20"/>
              </w:rPr>
              <w:t xml:space="preserve">Phase 1 demonstrators gate full-scale commitment</w:t>
            </w:r>
          </w:p>
        </w:tc>
      </w:tr>
      <w:tr>
        <w:tc>
          <w:tcPr>
            <w:tcW w:w="2707" w:type="dxa"/>
            <w:tcMar>
              <w:top w:w="40" w:type="dxa"/>
              <w:left w:w="80" w:type="dxa"/>
              <w:bottom w:w="40" w:type="dxa"/>
              <w:right w:w="80" w:type="dxa"/>
            </w:tcMar>
          </w:tcPr>
          <w:p>
            <w:pPr>
              <w:spacing w:before="20" w:after="20" w:line="240" w:lineRule="auto"/>
            </w:pPr>
            <w:r>
              <w:rPr>
                <w:color w:val="1A202C"/>
                <w:sz w:val="20"/>
              </w:rPr>
              <w:t xml:space="preserve">Workforce supply</w:t>
            </w:r>
          </w:p>
        </w:tc>
        <w:tc>
          <w:tcPr>
            <w:tcW w:w="1263" w:type="dxa"/>
            <w:tcMar>
              <w:top w:w="40" w:type="dxa"/>
              <w:left w:w="80" w:type="dxa"/>
              <w:bottom w:w="40" w:type="dxa"/>
              <w:right w:w="80" w:type="dxa"/>
            </w:tcMar>
          </w:tcPr>
          <w:p>
            <w:pPr>
              <w:spacing w:before="20" w:after="20" w:line="240" w:lineRule="auto"/>
            </w:pPr>
            <w:r>
              <w:rPr>
                <w:color w:val="1A202C"/>
                <w:sz w:val="20"/>
              </w:rPr>
              <w:t xml:space="preserve">Medium</w:t>
            </w:r>
          </w:p>
        </w:tc>
        <w:tc>
          <w:tcPr>
            <w:tcW w:w="1083" w:type="dxa"/>
            <w:tcMar>
              <w:top w:w="40" w:type="dxa"/>
              <w:left w:w="80" w:type="dxa"/>
              <w:bottom w:w="40" w:type="dxa"/>
              <w:right w:w="80" w:type="dxa"/>
            </w:tcMar>
          </w:tcPr>
          <w:p>
            <w:pPr>
              <w:spacing w:before="20" w:after="20" w:line="240" w:lineRule="auto"/>
            </w:pPr>
            <w:r>
              <w:rPr>
                <w:color w:val="1A202C"/>
                <w:sz w:val="20"/>
              </w:rPr>
              <w:t xml:space="preserve">Medium</w:t>
            </w:r>
          </w:p>
        </w:tc>
        <w:tc>
          <w:tcPr>
            <w:tcW w:w="3973" w:type="dxa"/>
            <w:tcMar>
              <w:top w:w="40" w:type="dxa"/>
              <w:left w:w="80" w:type="dxa"/>
              <w:bottom w:w="40" w:type="dxa"/>
              <w:right w:w="80" w:type="dxa"/>
            </w:tcMar>
          </w:tcPr>
          <w:p>
            <w:pPr>
              <w:spacing w:before="20" w:after="20" w:line="240" w:lineRule="auto"/>
            </w:pPr>
            <w:r>
              <w:rPr>
                <w:color w:val="1A202C"/>
                <w:sz w:val="20"/>
              </w:rPr>
              <w:t xml:space="preserve">$1.1B skills agenda; auto-to-aero transition pipeline</w:t>
            </w:r>
          </w:p>
        </w:tc>
      </w:tr>
      <w:tr>
        <w:tc>
          <w:tcPr>
            <w:tcW w:w="2707" w:type="dxa"/>
            <w:tcMar>
              <w:top w:w="40" w:type="dxa"/>
              <w:left w:w="80" w:type="dxa"/>
              <w:bottom w:w="40" w:type="dxa"/>
              <w:right w:w="80" w:type="dxa"/>
            </w:tcMar>
          </w:tcPr>
          <w:p>
            <w:pPr>
              <w:spacing w:before="20" w:after="20" w:line="240" w:lineRule="auto"/>
            </w:pPr>
            <w:r>
              <w:rPr>
                <w:color w:val="1A202C"/>
                <w:sz w:val="20"/>
              </w:rPr>
              <w:t xml:space="preserve">Political and program continuity</w:t>
            </w:r>
          </w:p>
        </w:tc>
        <w:tc>
          <w:tcPr>
            <w:tcW w:w="1263" w:type="dxa"/>
            <w:tcMar>
              <w:top w:w="40" w:type="dxa"/>
              <w:left w:w="80" w:type="dxa"/>
              <w:bottom w:w="40" w:type="dxa"/>
              <w:right w:w="80" w:type="dxa"/>
            </w:tcMar>
          </w:tcPr>
          <w:p>
            <w:pPr>
              <w:spacing w:before="20" w:after="20" w:line="240" w:lineRule="auto"/>
            </w:pPr>
            <w:r>
              <w:rPr>
                <w:color w:val="1A202C"/>
                <w:sz w:val="20"/>
              </w:rPr>
              <w:t xml:space="preserve">Medium</w:t>
            </w:r>
          </w:p>
        </w:tc>
        <w:tc>
          <w:tcPr>
            <w:tcW w:w="1083" w:type="dxa"/>
            <w:tcMar>
              <w:top w:w="40" w:type="dxa"/>
              <w:left w:w="80" w:type="dxa"/>
              <w:bottom w:w="40" w:type="dxa"/>
              <w:right w:w="80" w:type="dxa"/>
            </w:tcMar>
          </w:tcPr>
          <w:p>
            <w:pPr>
              <w:spacing w:before="20" w:after="20" w:line="240" w:lineRule="auto"/>
            </w:pPr>
            <w:r>
              <w:rPr>
                <w:color w:val="1A202C"/>
                <w:sz w:val="20"/>
              </w:rPr>
              <w:t xml:space="preserve">High</w:t>
            </w:r>
          </w:p>
        </w:tc>
        <w:tc>
          <w:tcPr>
            <w:tcW w:w="3973" w:type="dxa"/>
            <w:tcMar>
              <w:top w:w="40" w:type="dxa"/>
              <w:left w:w="80" w:type="dxa"/>
              <w:bottom w:w="40" w:type="dxa"/>
              <w:right w:w="80" w:type="dxa"/>
            </w:tcMar>
          </w:tcPr>
          <w:p>
            <w:pPr>
              <w:spacing w:before="20" w:after="20" w:line="240" w:lineRule="auto"/>
            </w:pPr>
            <w:r>
              <w:rPr>
                <w:color w:val="1A202C"/>
                <w:sz w:val="20"/>
              </w:rPr>
              <w:t xml:space="preserve">Industrial stakes distributed across every region; DIS policy anchoring</w:t>
            </w:r>
          </w:p>
        </w:tc>
      </w:tr>
      <w:tr>
        <w:tc>
          <w:tcPr>
            <w:tcW w:w="2707" w:type="dxa"/>
            <w:tcMar>
              <w:top w:w="40" w:type="dxa"/>
              <w:left w:w="80" w:type="dxa"/>
              <w:bottom w:w="40" w:type="dxa"/>
              <w:right w:w="80" w:type="dxa"/>
            </w:tcMar>
          </w:tcPr>
          <w:p>
            <w:pPr>
              <w:spacing w:before="20" w:after="20" w:line="240" w:lineRule="auto"/>
            </w:pPr>
            <w:r>
              <w:rPr>
                <w:color w:val="1A202C"/>
                <w:sz w:val="20"/>
              </w:rPr>
              <w:t xml:space="preserve">Exchange rate fluctuation</w:t>
            </w:r>
          </w:p>
        </w:tc>
        <w:tc>
          <w:tcPr>
            <w:tcW w:w="1263" w:type="dxa"/>
            <w:tcMar>
              <w:top w:w="40" w:type="dxa"/>
              <w:left w:w="80" w:type="dxa"/>
              <w:bottom w:w="40" w:type="dxa"/>
              <w:right w:w="80" w:type="dxa"/>
            </w:tcMar>
          </w:tcPr>
          <w:p>
            <w:pPr>
              <w:spacing w:before="20" w:after="20" w:line="240" w:lineRule="auto"/>
            </w:pPr>
            <w:r>
              <w:rPr>
                <w:color w:val="1A202C"/>
                <w:sz w:val="20"/>
              </w:rPr>
              <w:t xml:space="preserve">High</w:t>
            </w:r>
          </w:p>
        </w:tc>
        <w:tc>
          <w:tcPr>
            <w:tcW w:w="1083" w:type="dxa"/>
            <w:tcMar>
              <w:top w:w="40" w:type="dxa"/>
              <w:left w:w="80" w:type="dxa"/>
              <w:bottom w:w="40" w:type="dxa"/>
              <w:right w:w="80" w:type="dxa"/>
            </w:tcMar>
          </w:tcPr>
          <w:p>
            <w:pPr>
              <w:spacing w:before="20" w:after="20" w:line="240" w:lineRule="auto"/>
            </w:pPr>
            <w:r>
              <w:rPr>
                <w:color w:val="1A202C"/>
                <w:sz w:val="20"/>
              </w:rPr>
              <w:t xml:space="preserve">Medium</w:t>
            </w:r>
          </w:p>
        </w:tc>
        <w:tc>
          <w:tcPr>
            <w:tcW w:w="3973" w:type="dxa"/>
            <w:tcMar>
              <w:top w:w="40" w:type="dxa"/>
              <w:left w:w="80" w:type="dxa"/>
              <w:bottom w:w="40" w:type="dxa"/>
              <w:right w:w="80" w:type="dxa"/>
            </w:tcMar>
          </w:tcPr>
          <w:p>
            <w:pPr>
              <w:spacing w:before="20" w:after="20" w:line="240" w:lineRule="auto"/>
            </w:pPr>
            <w:r>
              <w:rPr>
                <w:color w:val="1A202C"/>
                <w:sz w:val="20"/>
              </w:rPr>
              <w:t xml:space="preserve">70% domestic content hedges FX exposure; formal hedging program</w:t>
            </w:r>
          </w:p>
        </w:tc>
      </w:tr>
      <w:tr>
        <w:tc>
          <w:tcPr>
            <w:tcW w:w="2707" w:type="dxa"/>
            <w:tcMar>
              <w:top w:w="40" w:type="dxa"/>
              <w:left w:w="80" w:type="dxa"/>
              <w:bottom w:w="40" w:type="dxa"/>
              <w:right w:w="80" w:type="dxa"/>
            </w:tcMar>
          </w:tcPr>
          <w:p>
            <w:pPr>
              <w:spacing w:before="20" w:after="20" w:line="240" w:lineRule="auto"/>
            </w:pPr>
            <w:r>
              <w:rPr>
                <w:color w:val="1A202C"/>
                <w:sz w:val="20"/>
              </w:rPr>
              <w:t xml:space="preserve">Export competition (GCAP, US CCAs)</w:t>
            </w:r>
          </w:p>
        </w:tc>
        <w:tc>
          <w:tcPr>
            <w:tcW w:w="1263" w:type="dxa"/>
            <w:tcMar>
              <w:top w:w="40" w:type="dxa"/>
              <w:left w:w="80" w:type="dxa"/>
              <w:bottom w:w="40" w:type="dxa"/>
              <w:right w:w="80" w:type="dxa"/>
            </w:tcMar>
          </w:tcPr>
          <w:p>
            <w:pPr>
              <w:spacing w:before="20" w:after="20" w:line="240" w:lineRule="auto"/>
            </w:pPr>
            <w:r>
              <w:rPr>
                <w:color w:val="1A202C"/>
                <w:sz w:val="20"/>
              </w:rPr>
              <w:t xml:space="preserve">Medium</w:t>
            </w:r>
          </w:p>
        </w:tc>
        <w:tc>
          <w:tcPr>
            <w:tcW w:w="1083" w:type="dxa"/>
            <w:tcMar>
              <w:top w:w="40" w:type="dxa"/>
              <w:left w:w="80" w:type="dxa"/>
              <w:bottom w:w="40" w:type="dxa"/>
              <w:right w:w="80" w:type="dxa"/>
            </w:tcMar>
          </w:tcPr>
          <w:p>
            <w:pPr>
              <w:spacing w:before="20" w:after="20" w:line="240" w:lineRule="auto"/>
            </w:pPr>
            <w:r>
              <w:rPr>
                <w:color w:val="1A202C"/>
                <w:sz w:val="20"/>
              </w:rPr>
              <w:t xml:space="preserve">Medium</w:t>
            </w:r>
          </w:p>
        </w:tc>
        <w:tc>
          <w:tcPr>
            <w:tcW w:w="3973" w:type="dxa"/>
            <w:tcMar>
              <w:top w:w="40" w:type="dxa"/>
              <w:left w:w="80" w:type="dxa"/>
              <w:bottom w:w="40" w:type="dxa"/>
              <w:right w:w="80" w:type="dxa"/>
            </w:tcMar>
          </w:tcPr>
          <w:p>
            <w:pPr>
              <w:spacing w:before="20" w:after="20" w:line="240" w:lineRule="auto"/>
            </w:pPr>
            <w:r>
              <w:rPr>
                <w:color w:val="1A202C"/>
                <w:sz w:val="20"/>
              </w:rPr>
              <w:t xml:space="preserve">ITAR-free niche; Arctic differentiation; early Mk.VI-E marketing</w:t>
            </w:r>
          </w:p>
        </w:tc>
      </w:tr>
    </w:tbl>
    <w:p>
      <w:pPr>
        <w:pStyle w:val="Heading2"/>
      </w:pPr>
      <w:r>
        <w:t>12.2 Sensitivity Analysis</w:t>
      </w:r>
    </w:p>
    <w:tbl>
      <w:tblPr>
        <w:tblW w:w="5000" w:type="pct"/>
        <w:tblBorders>
          <w:top w:val="single" w:color="1A2744" w:sz="12"/>
          <w:left w:val="nil"/>
          <w:bottom w:val="single" w:color="1A2744" w:sz="12"/>
          <w:right w:val="nil"/>
          <w:insideH w:val="single" w:color="C8C4BC" w:sz="4"/>
          <w:insideV w:val="nil"/>
        </w:tblBorders>
      </w:tblPr>
      <w:tblGrid>
        <w:gridCol w:w="2166"/>
        <w:gridCol w:w="1263"/>
        <w:gridCol w:w="1083"/>
        <w:gridCol w:w="1083"/>
        <w:gridCol w:w="1624"/>
        <w:gridCol w:w="1807"/>
      </w:tblGrid>
      <w:tr>
        <w:trPr>
          <w:tblHeader/>
        </w:trPr>
        <w:tc>
          <w:tcPr>
            <w:tcW w:w="2166" w:type="dxa"/>
            <w:shd w:val="clear" w:fill="F4F2EE"/>
            <w:tcMar>
              <w:top w:w="40" w:type="dxa"/>
              <w:left w:w="80" w:type="dxa"/>
              <w:bottom w:w="40" w:type="dxa"/>
              <w:right w:w="80" w:type="dxa"/>
            </w:tcMar>
          </w:tcPr>
          <w:p>
            <w:pPr>
              <w:spacing w:before="20" w:after="20" w:line="240" w:lineRule="auto"/>
            </w:pPr>
            <w:r>
              <w:rPr>
                <w:b/>
                <w:color w:val="1A2744"/>
                <w:sz w:val="20"/>
              </w:rPr>
              <w:t xml:space="preserve">Variable</w:t>
            </w:r>
          </w:p>
        </w:tc>
        <w:tc>
          <w:tcPr>
            <w:tcW w:w="1263" w:type="dxa"/>
            <w:shd w:val="clear" w:fill="F4F2EE"/>
            <w:tcMar>
              <w:top w:w="40" w:type="dxa"/>
              <w:left w:w="80" w:type="dxa"/>
              <w:bottom w:w="40" w:type="dxa"/>
              <w:right w:w="80" w:type="dxa"/>
            </w:tcMar>
          </w:tcPr>
          <w:p>
            <w:pPr>
              <w:spacing w:before="20" w:after="20" w:line="240" w:lineRule="auto"/>
            </w:pPr>
            <w:r>
              <w:rPr>
                <w:b/>
                <w:color w:val="1A2744"/>
                <w:sz w:val="20"/>
              </w:rPr>
              <w:t xml:space="preserve">Base Case</w:t>
            </w:r>
          </w:p>
        </w:tc>
        <w:tc>
          <w:tcPr>
            <w:tcW w:w="1083" w:type="dxa"/>
            <w:shd w:val="clear" w:fill="F4F2EE"/>
            <w:tcMar>
              <w:top w:w="40" w:type="dxa"/>
              <w:left w:w="80" w:type="dxa"/>
              <w:bottom w:w="40" w:type="dxa"/>
              <w:right w:w="80" w:type="dxa"/>
            </w:tcMar>
          </w:tcPr>
          <w:p>
            <w:pPr>
              <w:spacing w:before="20" w:after="20" w:line="240" w:lineRule="auto"/>
            </w:pPr>
            <w:r>
              <w:rPr>
                <w:b/>
                <w:color w:val="1A2744"/>
                <w:sz w:val="20"/>
              </w:rPr>
              <w:t xml:space="preserve">-10%</w:t>
            </w:r>
          </w:p>
        </w:tc>
        <w:tc>
          <w:tcPr>
            <w:tcW w:w="1083" w:type="dxa"/>
            <w:shd w:val="clear" w:fill="F4F2EE"/>
            <w:tcMar>
              <w:top w:w="40" w:type="dxa"/>
              <w:left w:w="80" w:type="dxa"/>
              <w:bottom w:w="40" w:type="dxa"/>
              <w:right w:w="80" w:type="dxa"/>
            </w:tcMar>
          </w:tcPr>
          <w:p>
            <w:pPr>
              <w:spacing w:before="20" w:after="20" w:line="240" w:lineRule="auto"/>
            </w:pPr>
            <w:r>
              <w:rPr>
                <w:b/>
                <w:color w:val="1A2744"/>
                <w:sz w:val="20"/>
              </w:rPr>
              <w:t xml:space="preserve">+10%</w:t>
            </w:r>
          </w:p>
        </w:tc>
        <w:tc>
          <w:tcPr>
            <w:tcW w:w="1624" w:type="dxa"/>
            <w:shd w:val="clear" w:fill="F4F2EE"/>
            <w:tcMar>
              <w:top w:w="40" w:type="dxa"/>
              <w:left w:w="80" w:type="dxa"/>
              <w:bottom w:w="40" w:type="dxa"/>
              <w:right w:w="80" w:type="dxa"/>
            </w:tcMar>
          </w:tcPr>
          <w:p>
            <w:pPr>
              <w:spacing w:before="20" w:after="20" w:line="240" w:lineRule="auto"/>
            </w:pPr>
            <w:r>
              <w:rPr>
                <w:b/>
                <w:color w:val="1A2744"/>
                <w:sz w:val="20"/>
              </w:rPr>
              <w:t xml:space="preserve">Jobs Impact</w:t>
            </w:r>
          </w:p>
        </w:tc>
        <w:tc>
          <w:tcPr>
            <w:tcW w:w="1807" w:type="dxa"/>
            <w:shd w:val="clear" w:fill="F4F2EE"/>
            <w:tcMar>
              <w:top w:w="40" w:type="dxa"/>
              <w:left w:w="80" w:type="dxa"/>
              <w:bottom w:w="40" w:type="dxa"/>
              <w:right w:w="80" w:type="dxa"/>
            </w:tcMar>
          </w:tcPr>
          <w:p>
            <w:pPr>
              <w:spacing w:before="20" w:after="20" w:line="240" w:lineRule="auto"/>
            </w:pPr>
            <w:r>
              <w:rPr>
                <w:b/>
                <w:color w:val="1A2744"/>
                <w:sz w:val="20"/>
              </w:rPr>
              <w:t xml:space="preserve">GDP Impact</w:t>
            </w:r>
          </w:p>
        </w:tc>
      </w:tr>
      <w:tr>
        <w:tc>
          <w:tcPr>
            <w:tcW w:w="2166" w:type="dxa"/>
            <w:tcMar>
              <w:top w:w="40" w:type="dxa"/>
              <w:left w:w="80" w:type="dxa"/>
              <w:bottom w:w="40" w:type="dxa"/>
              <w:right w:w="80" w:type="dxa"/>
            </w:tcMar>
          </w:tcPr>
          <w:p>
            <w:pPr>
              <w:spacing w:before="20" w:after="20" w:line="240" w:lineRule="auto"/>
            </w:pPr>
            <w:r>
              <w:rPr>
                <w:color w:val="1A202C"/>
                <w:sz w:val="20"/>
              </w:rPr>
              <w:t xml:space="preserve">Canadian program spend</w:t>
            </w:r>
          </w:p>
        </w:tc>
        <w:tc>
          <w:tcPr>
            <w:tcW w:w="1263" w:type="dxa"/>
            <w:tcMar>
              <w:top w:w="40" w:type="dxa"/>
              <w:left w:w="80" w:type="dxa"/>
              <w:bottom w:w="40" w:type="dxa"/>
              <w:right w:w="80" w:type="dxa"/>
            </w:tcMar>
          </w:tcPr>
          <w:p>
            <w:pPr>
              <w:spacing w:before="20" w:after="20" w:line="240" w:lineRule="auto"/>
            </w:pPr>
            <w:r>
              <w:rPr>
                <w:color w:val="1A202C"/>
                <w:sz w:val="20"/>
              </w:rPr>
              <w:t xml:space="preserve">$42.2B</w:t>
            </w:r>
          </w:p>
        </w:tc>
        <w:tc>
          <w:tcPr>
            <w:tcW w:w="1083" w:type="dxa"/>
            <w:tcMar>
              <w:top w:w="40" w:type="dxa"/>
              <w:left w:w="80" w:type="dxa"/>
              <w:bottom w:w="40" w:type="dxa"/>
              <w:right w:w="80" w:type="dxa"/>
            </w:tcMar>
          </w:tcPr>
          <w:p>
            <w:pPr>
              <w:spacing w:before="20" w:after="20" w:line="240" w:lineRule="auto"/>
            </w:pPr>
            <w:r>
              <w:rPr>
                <w:color w:val="1A202C"/>
                <w:sz w:val="20"/>
              </w:rPr>
              <w:t xml:space="preserve">$38.0B</w:t>
            </w:r>
          </w:p>
        </w:tc>
        <w:tc>
          <w:tcPr>
            <w:tcW w:w="1083" w:type="dxa"/>
            <w:tcMar>
              <w:top w:w="40" w:type="dxa"/>
              <w:left w:w="80" w:type="dxa"/>
              <w:bottom w:w="40" w:type="dxa"/>
              <w:right w:w="80" w:type="dxa"/>
            </w:tcMar>
          </w:tcPr>
          <w:p>
            <w:pPr>
              <w:spacing w:before="20" w:after="20" w:line="240" w:lineRule="auto"/>
            </w:pPr>
            <w:r>
              <w:rPr>
                <w:color w:val="1A202C"/>
                <w:sz w:val="20"/>
              </w:rPr>
              <w:t xml:space="preserve">$46.4B</w:t>
            </w:r>
          </w:p>
        </w:tc>
        <w:tc>
          <w:tcPr>
            <w:tcW w:w="1624" w:type="dxa"/>
            <w:tcMar>
              <w:top w:w="40" w:type="dxa"/>
              <w:left w:w="80" w:type="dxa"/>
              <w:bottom w:w="40" w:type="dxa"/>
              <w:right w:w="80" w:type="dxa"/>
            </w:tcMar>
          </w:tcPr>
          <w:p>
            <w:pPr>
              <w:spacing w:before="20" w:after="20" w:line="240" w:lineRule="auto"/>
            </w:pPr>
            <w:r>
              <w:rPr>
                <w:color w:val="1A202C"/>
                <w:sz w:val="20"/>
              </w:rPr>
              <w:t xml:space="preserve">+/- 1,200</w:t>
            </w:r>
          </w:p>
        </w:tc>
        <w:tc>
          <w:tcPr>
            <w:tcW w:w="1807" w:type="dxa"/>
            <w:tcMar>
              <w:top w:w="40" w:type="dxa"/>
              <w:left w:w="80" w:type="dxa"/>
              <w:bottom w:w="40" w:type="dxa"/>
              <w:right w:w="80" w:type="dxa"/>
            </w:tcMar>
          </w:tcPr>
          <w:p>
            <w:pPr>
              <w:spacing w:before="20" w:after="20" w:line="240" w:lineRule="auto"/>
            </w:pPr>
            <w:r>
              <w:rPr>
                <w:color w:val="1A202C"/>
                <w:sz w:val="20"/>
              </w:rPr>
              <w:t xml:space="preserve">+/- $3.5B</w:t>
            </w:r>
          </w:p>
        </w:tc>
      </w:tr>
      <w:tr>
        <w:tc>
          <w:tcPr>
            <w:tcW w:w="2166" w:type="dxa"/>
            <w:tcMar>
              <w:top w:w="40" w:type="dxa"/>
              <w:left w:w="80" w:type="dxa"/>
              <w:bottom w:w="40" w:type="dxa"/>
              <w:right w:w="80" w:type="dxa"/>
            </w:tcMar>
          </w:tcPr>
          <w:p>
            <w:pPr>
              <w:spacing w:before="20" w:after="20" w:line="240" w:lineRule="auto"/>
            </w:pPr>
            <w:r>
              <w:rPr>
                <w:color w:val="1A202C"/>
                <w:sz w:val="20"/>
              </w:rPr>
              <w:t xml:space="preserve">Canadian content share</w:t>
            </w:r>
          </w:p>
        </w:tc>
        <w:tc>
          <w:tcPr>
            <w:tcW w:w="1263" w:type="dxa"/>
            <w:tcMar>
              <w:top w:w="40" w:type="dxa"/>
              <w:left w:w="80" w:type="dxa"/>
              <w:bottom w:w="40" w:type="dxa"/>
              <w:right w:w="80" w:type="dxa"/>
            </w:tcMar>
          </w:tcPr>
          <w:p>
            <w:pPr>
              <w:spacing w:before="20" w:after="20" w:line="240" w:lineRule="auto"/>
            </w:pPr>
            <w:r>
              <w:rPr>
                <w:color w:val="1A202C"/>
                <w:sz w:val="20"/>
              </w:rPr>
              <w:t xml:space="preserve">70%</w:t>
            </w:r>
          </w:p>
        </w:tc>
        <w:tc>
          <w:tcPr>
            <w:tcW w:w="1083" w:type="dxa"/>
            <w:tcMar>
              <w:top w:w="40" w:type="dxa"/>
              <w:left w:w="80" w:type="dxa"/>
              <w:bottom w:w="40" w:type="dxa"/>
              <w:right w:w="80" w:type="dxa"/>
            </w:tcMar>
          </w:tcPr>
          <w:p>
            <w:pPr>
              <w:spacing w:before="20" w:after="20" w:line="240" w:lineRule="auto"/>
            </w:pPr>
            <w:r>
              <w:rPr>
                <w:color w:val="1A202C"/>
                <w:sz w:val="20"/>
              </w:rPr>
              <w:t xml:space="preserve">63%</w:t>
            </w:r>
          </w:p>
        </w:tc>
        <w:tc>
          <w:tcPr>
            <w:tcW w:w="1083" w:type="dxa"/>
            <w:tcMar>
              <w:top w:w="40" w:type="dxa"/>
              <w:left w:w="80" w:type="dxa"/>
              <w:bottom w:w="40" w:type="dxa"/>
              <w:right w:w="80" w:type="dxa"/>
            </w:tcMar>
          </w:tcPr>
          <w:p>
            <w:pPr>
              <w:spacing w:before="20" w:after="20" w:line="240" w:lineRule="auto"/>
            </w:pPr>
            <w:r>
              <w:rPr>
                <w:color w:val="1A202C"/>
                <w:sz w:val="20"/>
              </w:rPr>
              <w:t xml:space="preserve">77%</w:t>
            </w:r>
          </w:p>
        </w:tc>
        <w:tc>
          <w:tcPr>
            <w:tcW w:w="1624" w:type="dxa"/>
            <w:tcMar>
              <w:top w:w="40" w:type="dxa"/>
              <w:left w:w="80" w:type="dxa"/>
              <w:bottom w:w="40" w:type="dxa"/>
              <w:right w:w="80" w:type="dxa"/>
            </w:tcMar>
          </w:tcPr>
          <w:p>
            <w:pPr>
              <w:spacing w:before="20" w:after="20" w:line="240" w:lineRule="auto"/>
            </w:pPr>
            <w:r>
              <w:rPr>
                <w:color w:val="1A202C"/>
                <w:sz w:val="20"/>
              </w:rPr>
              <w:t xml:space="preserve">+/- 1,080</w:t>
            </w:r>
          </w:p>
        </w:tc>
        <w:tc>
          <w:tcPr>
            <w:tcW w:w="1807" w:type="dxa"/>
            <w:tcMar>
              <w:top w:w="40" w:type="dxa"/>
              <w:left w:w="80" w:type="dxa"/>
              <w:bottom w:w="40" w:type="dxa"/>
              <w:right w:w="80" w:type="dxa"/>
            </w:tcMar>
          </w:tcPr>
          <w:p>
            <w:pPr>
              <w:spacing w:before="20" w:after="20" w:line="240" w:lineRule="auto"/>
            </w:pPr>
            <w:r>
              <w:rPr>
                <w:color w:val="1A202C"/>
                <w:sz w:val="20"/>
              </w:rPr>
              <w:t xml:space="preserve">+/- $3.2B</w:t>
            </w:r>
          </w:p>
        </w:tc>
      </w:tr>
      <w:tr>
        <w:tc>
          <w:tcPr>
            <w:tcW w:w="2166" w:type="dxa"/>
            <w:tcMar>
              <w:top w:w="40" w:type="dxa"/>
              <w:left w:w="80" w:type="dxa"/>
              <w:bottom w:w="40" w:type="dxa"/>
              <w:right w:w="80" w:type="dxa"/>
            </w:tcMar>
          </w:tcPr>
          <w:p>
            <w:pPr>
              <w:spacing w:before="20" w:after="20" w:line="240" w:lineRule="auto"/>
            </w:pPr>
            <w:r>
              <w:rPr>
                <w:color w:val="1A202C"/>
                <w:sz w:val="20"/>
              </w:rPr>
              <w:t xml:space="preserve">Employment multiplier</w:t>
            </w:r>
          </w:p>
        </w:tc>
        <w:tc>
          <w:tcPr>
            <w:tcW w:w="1263" w:type="dxa"/>
            <w:tcMar>
              <w:top w:w="40" w:type="dxa"/>
              <w:left w:w="80" w:type="dxa"/>
              <w:bottom w:w="40" w:type="dxa"/>
              <w:right w:w="80" w:type="dxa"/>
            </w:tcMar>
          </w:tcPr>
          <w:p>
            <w:pPr>
              <w:spacing w:before="20" w:after="20" w:line="240" w:lineRule="auto"/>
            </w:pPr>
            <w:r>
              <w:rPr>
                <w:color w:val="1A202C"/>
                <w:sz w:val="20"/>
              </w:rPr>
              <w:t xml:space="preserve">2.43x</w:t>
            </w:r>
          </w:p>
        </w:tc>
        <w:tc>
          <w:tcPr>
            <w:tcW w:w="1083" w:type="dxa"/>
            <w:tcMar>
              <w:top w:w="40" w:type="dxa"/>
              <w:left w:w="80" w:type="dxa"/>
              <w:bottom w:w="40" w:type="dxa"/>
              <w:right w:w="80" w:type="dxa"/>
            </w:tcMar>
          </w:tcPr>
          <w:p>
            <w:pPr>
              <w:spacing w:before="20" w:after="20" w:line="240" w:lineRule="auto"/>
            </w:pPr>
            <w:r>
              <w:rPr>
                <w:color w:val="1A202C"/>
                <w:sz w:val="20"/>
              </w:rPr>
              <w:t xml:space="preserve">2.19x</w:t>
            </w:r>
          </w:p>
        </w:tc>
        <w:tc>
          <w:tcPr>
            <w:tcW w:w="1083" w:type="dxa"/>
            <w:tcMar>
              <w:top w:w="40" w:type="dxa"/>
              <w:left w:w="80" w:type="dxa"/>
              <w:bottom w:w="40" w:type="dxa"/>
              <w:right w:w="80" w:type="dxa"/>
            </w:tcMar>
          </w:tcPr>
          <w:p>
            <w:pPr>
              <w:spacing w:before="20" w:after="20" w:line="240" w:lineRule="auto"/>
            </w:pPr>
            <w:r>
              <w:rPr>
                <w:color w:val="1A202C"/>
                <w:sz w:val="20"/>
              </w:rPr>
              <w:t xml:space="preserve">2.67x</w:t>
            </w:r>
          </w:p>
        </w:tc>
        <w:tc>
          <w:tcPr>
            <w:tcW w:w="1624" w:type="dxa"/>
            <w:tcMar>
              <w:top w:w="40" w:type="dxa"/>
              <w:left w:w="80" w:type="dxa"/>
              <w:bottom w:w="40" w:type="dxa"/>
              <w:right w:w="80" w:type="dxa"/>
            </w:tcMar>
          </w:tcPr>
          <w:p>
            <w:pPr>
              <w:spacing w:before="20" w:after="20" w:line="240" w:lineRule="auto"/>
            </w:pPr>
            <w:r>
              <w:rPr>
                <w:color w:val="1A202C"/>
                <w:sz w:val="20"/>
              </w:rPr>
              <w:t xml:space="preserve">+/- 2,880</w:t>
            </w:r>
          </w:p>
        </w:tc>
        <w:tc>
          <w:tcPr>
            <w:tcW w:w="1807" w:type="dxa"/>
            <w:tcMar>
              <w:top w:w="40" w:type="dxa"/>
              <w:left w:w="80" w:type="dxa"/>
              <w:bottom w:w="40" w:type="dxa"/>
              <w:right w:w="80" w:type="dxa"/>
            </w:tcMar>
          </w:tcPr>
          <w:p>
            <w:pPr>
              <w:spacing w:before="20" w:after="20" w:line="240" w:lineRule="auto"/>
            </w:pPr>
            <w:r>
              <w:rPr>
                <w:color w:val="1A202C"/>
                <w:sz w:val="20"/>
              </w:rPr>
              <w:t xml:space="preserve">+/- $3.5B</w:t>
            </w:r>
          </w:p>
        </w:tc>
      </w:tr>
      <w:tr>
        <w:tc>
          <w:tcPr>
            <w:tcW w:w="2166" w:type="dxa"/>
            <w:tcMar>
              <w:top w:w="40" w:type="dxa"/>
              <w:left w:w="80" w:type="dxa"/>
              <w:bottom w:w="40" w:type="dxa"/>
              <w:right w:w="80" w:type="dxa"/>
            </w:tcMar>
          </w:tcPr>
          <w:p>
            <w:pPr>
              <w:spacing w:before="20" w:after="20" w:line="240" w:lineRule="auto"/>
            </w:pPr>
            <w:r>
              <w:rPr>
                <w:color w:val="1A202C"/>
                <w:sz w:val="20"/>
              </w:rPr>
              <w:t xml:space="preserve">Exchange rate (CAD/USD)</w:t>
            </w:r>
          </w:p>
        </w:tc>
        <w:tc>
          <w:tcPr>
            <w:tcW w:w="1263" w:type="dxa"/>
            <w:tcMar>
              <w:top w:w="40" w:type="dxa"/>
              <w:left w:w="80" w:type="dxa"/>
              <w:bottom w:w="40" w:type="dxa"/>
              <w:right w:w="80" w:type="dxa"/>
            </w:tcMar>
          </w:tcPr>
          <w:p>
            <w:pPr>
              <w:spacing w:before="20" w:after="20" w:line="240" w:lineRule="auto"/>
            </w:pPr>
            <w:r>
              <w:rPr>
                <w:color w:val="1A202C"/>
                <w:sz w:val="20"/>
              </w:rPr>
              <w:t xml:space="preserve">1.37</w:t>
            </w:r>
          </w:p>
        </w:tc>
        <w:tc>
          <w:tcPr>
            <w:tcW w:w="1083" w:type="dxa"/>
            <w:tcMar>
              <w:top w:w="40" w:type="dxa"/>
              <w:left w:w="80" w:type="dxa"/>
              <w:bottom w:w="40" w:type="dxa"/>
              <w:right w:w="80" w:type="dxa"/>
            </w:tcMar>
          </w:tcPr>
          <w:p>
            <w:pPr>
              <w:spacing w:before="20" w:after="20" w:line="240" w:lineRule="auto"/>
            </w:pPr>
            <w:r>
              <w:rPr>
                <w:color w:val="1A202C"/>
                <w:sz w:val="20"/>
              </w:rPr>
              <w:t xml:space="preserve">1.51</w:t>
            </w:r>
          </w:p>
        </w:tc>
        <w:tc>
          <w:tcPr>
            <w:tcW w:w="1083" w:type="dxa"/>
            <w:tcMar>
              <w:top w:w="40" w:type="dxa"/>
              <w:left w:w="80" w:type="dxa"/>
              <w:bottom w:w="40" w:type="dxa"/>
              <w:right w:w="80" w:type="dxa"/>
            </w:tcMar>
          </w:tcPr>
          <w:p>
            <w:pPr>
              <w:spacing w:before="20" w:after="20" w:line="240" w:lineRule="auto"/>
            </w:pPr>
            <w:r>
              <w:rPr>
                <w:color w:val="1A202C"/>
                <w:sz w:val="20"/>
              </w:rPr>
              <w:t xml:space="preserve">1.23</w:t>
            </w:r>
          </w:p>
        </w:tc>
        <w:tc>
          <w:tcPr>
            <w:tcW w:w="1624" w:type="dxa"/>
            <w:tcMar>
              <w:top w:w="40" w:type="dxa"/>
              <w:left w:w="80" w:type="dxa"/>
              <w:bottom w:w="40" w:type="dxa"/>
              <w:right w:w="80" w:type="dxa"/>
            </w:tcMar>
          </w:tcPr>
          <w:p>
            <w:pPr>
              <w:spacing w:before="20" w:after="20" w:line="240" w:lineRule="auto"/>
            </w:pPr>
            <w:r>
              <w:rPr>
                <w:color w:val="1A202C"/>
                <w:sz w:val="20"/>
              </w:rPr>
              <w:t xml:space="preserve">+/- 600</w:t>
            </w:r>
          </w:p>
        </w:tc>
        <w:tc>
          <w:tcPr>
            <w:tcW w:w="1807" w:type="dxa"/>
            <w:tcMar>
              <w:top w:w="40" w:type="dxa"/>
              <w:left w:w="80" w:type="dxa"/>
              <w:bottom w:w="40" w:type="dxa"/>
              <w:right w:w="80" w:type="dxa"/>
            </w:tcMar>
          </w:tcPr>
          <w:p>
            <w:pPr>
              <w:spacing w:before="20" w:after="20" w:line="240" w:lineRule="auto"/>
            </w:pPr>
            <w:r>
              <w:rPr>
                <w:color w:val="1A202C"/>
                <w:sz w:val="20"/>
              </w:rPr>
              <w:t xml:space="preserve">+/- $1.8B</w:t>
            </w:r>
          </w:p>
        </w:tc>
      </w:tr>
      <w:tr>
        <w:tc>
          <w:tcPr>
            <w:tcW w:w="2166" w:type="dxa"/>
            <w:tcMar>
              <w:top w:w="40" w:type="dxa"/>
              <w:left w:w="80" w:type="dxa"/>
              <w:bottom w:w="40" w:type="dxa"/>
              <w:right w:w="80" w:type="dxa"/>
            </w:tcMar>
          </w:tcPr>
          <w:p>
            <w:pPr>
              <w:spacing w:before="20" w:after="20" w:line="240" w:lineRule="auto"/>
            </w:pPr>
            <w:r>
              <w:rPr>
                <w:color w:val="1A202C"/>
                <w:sz w:val="20"/>
              </w:rPr>
              <w:t xml:space="preserve">Export revenue</w:t>
            </w:r>
          </w:p>
        </w:tc>
        <w:tc>
          <w:tcPr>
            <w:tcW w:w="1263" w:type="dxa"/>
            <w:tcMar>
              <w:top w:w="40" w:type="dxa"/>
              <w:left w:w="80" w:type="dxa"/>
              <w:bottom w:w="40" w:type="dxa"/>
              <w:right w:w="80" w:type="dxa"/>
            </w:tcMar>
          </w:tcPr>
          <w:p>
            <w:pPr>
              <w:spacing w:before="20" w:after="20" w:line="240" w:lineRule="auto"/>
            </w:pPr>
            <w:r>
              <w:rPr>
                <w:color w:val="1A202C"/>
                <w:sz w:val="20"/>
              </w:rPr>
              <w:t xml:space="preserve">$8.0B</w:t>
            </w:r>
          </w:p>
        </w:tc>
        <w:tc>
          <w:tcPr>
            <w:tcW w:w="1083" w:type="dxa"/>
            <w:tcMar>
              <w:top w:w="40" w:type="dxa"/>
              <w:left w:w="80" w:type="dxa"/>
              <w:bottom w:w="40" w:type="dxa"/>
              <w:right w:w="80" w:type="dxa"/>
            </w:tcMar>
          </w:tcPr>
          <w:p>
            <w:pPr>
              <w:spacing w:before="20" w:after="20" w:line="240" w:lineRule="auto"/>
            </w:pPr>
            <w:r>
              <w:rPr>
                <w:color w:val="1A202C"/>
                <w:sz w:val="20"/>
              </w:rPr>
              <w:t xml:space="preserve">$6.4B</w:t>
            </w:r>
          </w:p>
        </w:tc>
        <w:tc>
          <w:tcPr>
            <w:tcW w:w="1083" w:type="dxa"/>
            <w:tcMar>
              <w:top w:w="40" w:type="dxa"/>
              <w:left w:w="80" w:type="dxa"/>
              <w:bottom w:w="40" w:type="dxa"/>
              <w:right w:w="80" w:type="dxa"/>
            </w:tcMar>
          </w:tcPr>
          <w:p>
            <w:pPr>
              <w:spacing w:before="20" w:after="20" w:line="240" w:lineRule="auto"/>
            </w:pPr>
            <w:r>
              <w:rPr>
                <w:color w:val="1A202C"/>
                <w:sz w:val="20"/>
              </w:rPr>
              <w:t xml:space="preserve">$9.6B</w:t>
            </w:r>
          </w:p>
        </w:tc>
        <w:tc>
          <w:tcPr>
            <w:tcW w:w="1624" w:type="dxa"/>
            <w:tcMar>
              <w:top w:w="40" w:type="dxa"/>
              <w:left w:w="80" w:type="dxa"/>
              <w:bottom w:w="40" w:type="dxa"/>
              <w:right w:w="80" w:type="dxa"/>
            </w:tcMar>
          </w:tcPr>
          <w:p>
            <w:pPr>
              <w:spacing w:before="20" w:after="20" w:line="240" w:lineRule="auto"/>
            </w:pPr>
            <w:r>
              <w:rPr>
                <w:color w:val="1A202C"/>
                <w:sz w:val="20"/>
              </w:rPr>
              <w:t xml:space="preserve">+/- 380</w:t>
            </w:r>
          </w:p>
        </w:tc>
        <w:tc>
          <w:tcPr>
            <w:tcW w:w="1807" w:type="dxa"/>
            <w:tcMar>
              <w:top w:w="40" w:type="dxa"/>
              <w:left w:w="80" w:type="dxa"/>
              <w:bottom w:w="40" w:type="dxa"/>
              <w:right w:w="80" w:type="dxa"/>
            </w:tcMar>
          </w:tcPr>
          <w:p>
            <w:pPr>
              <w:spacing w:before="20" w:after="20" w:line="240" w:lineRule="auto"/>
            </w:pPr>
            <w:r>
              <w:rPr>
                <w:color w:val="1A202C"/>
                <w:sz w:val="20"/>
              </w:rPr>
              <w:t xml:space="preserve">+/- $0.8B</w:t>
            </w:r>
          </w:p>
        </w:tc>
      </w:tr>
    </w:tbl>
    <w:p>
      <w:pPr>
        <w:spacing w:after="180" w:line="288" w:lineRule="auto"/>
      </w:pPr>
      <w:r>
        <w:t xml:space="preserve">Even under a pessimistic case (adverse moves across every variable simultaneously), the program sustains more than 24,000 total jobs and $28 billion in GDP contribution, an order of magnitude beyond any import alternative. Appendix F carries the Monte Carlo confidence intervals.</w:t>
      </w:r>
    </w:p>
    <w:p>
      <w:pPr>
        <w:pStyle w:val="Heading1"/>
      </w:pPr>
      <w:r>
        <w:t>PART XIII: COMPARATIVE ANALYSIS: IMPORT AND LOCALIZATION ALTERNATIVES</w:t>
      </w:r>
    </w:p>
    <w:p>
      <w:pPr>
        <w:pStyle w:val="Heading2"/>
      </w:pPr>
      <w:r>
        <w:t>13.1 Economic Comparison Summary</w:t>
      </w:r>
    </w:p>
    <w:tbl>
      <w:tblPr>
        <w:tblW w:w="5000" w:type="pct"/>
        <w:tblBorders>
          <w:top w:val="single" w:color="1A2744" w:sz="12"/>
          <w:left w:val="nil"/>
          <w:bottom w:val="single" w:color="1A2744" w:sz="12"/>
          <w:right w:val="nil"/>
          <w:insideH w:val="single" w:color="C8C4BC" w:sz="4"/>
          <w:insideV w:val="nil"/>
        </w:tblBorders>
      </w:tblPr>
      <w:tblGrid>
        <w:gridCol w:w="2346"/>
        <w:gridCol w:w="2166"/>
        <w:gridCol w:w="2166"/>
        <w:gridCol w:w="2348"/>
      </w:tblGrid>
      <w:tr>
        <w:trPr>
          <w:tblHeader/>
        </w:trPr>
        <w:tc>
          <w:tcPr>
            <w:tcW w:w="2346" w:type="dxa"/>
            <w:shd w:val="clear" w:fill="F4F2EE"/>
            <w:tcMar>
              <w:top w:w="40" w:type="dxa"/>
              <w:left w:w="80" w:type="dxa"/>
              <w:bottom w:w="40" w:type="dxa"/>
              <w:right w:w="80" w:type="dxa"/>
            </w:tcMar>
          </w:tcPr>
          <w:p>
            <w:pPr>
              <w:spacing w:before="20" w:after="20" w:line="240" w:lineRule="auto"/>
            </w:pPr>
            <w:r>
              <w:rPr>
                <w:b/>
                <w:color w:val="1A2744"/>
                <w:sz w:val="20"/>
              </w:rPr>
              <w:t xml:space="preserve">Metric</w:t>
            </w:r>
          </w:p>
        </w:tc>
        <w:tc>
          <w:tcPr>
            <w:tcW w:w="2166" w:type="dxa"/>
            <w:shd w:val="clear" w:fill="F4F2EE"/>
            <w:tcMar>
              <w:top w:w="40" w:type="dxa"/>
              <w:left w:w="80" w:type="dxa"/>
              <w:bottom w:w="40" w:type="dxa"/>
              <w:right w:w="80" w:type="dxa"/>
            </w:tcMar>
          </w:tcPr>
          <w:p>
            <w:pPr>
              <w:spacing w:before="20" w:after="20" w:line="240" w:lineRule="auto"/>
            </w:pPr>
            <w:r>
              <w:rPr>
                <w:b/>
                <w:color w:val="1A2744"/>
                <w:sz w:val="20"/>
              </w:rPr>
              <w:t xml:space="preserve">F-35 Import (88)</w:t>
            </w:r>
          </w:p>
        </w:tc>
        <w:tc>
          <w:tcPr>
            <w:tcW w:w="2166" w:type="dxa"/>
            <w:shd w:val="clear" w:fill="F4F2EE"/>
            <w:tcMar>
              <w:top w:w="40" w:type="dxa"/>
              <w:left w:w="80" w:type="dxa"/>
              <w:bottom w:w="40" w:type="dxa"/>
              <w:right w:w="80" w:type="dxa"/>
            </w:tcMar>
          </w:tcPr>
          <w:p>
            <w:pPr>
              <w:spacing w:before="20" w:after="20" w:line="240" w:lineRule="auto"/>
            </w:pPr>
            <w:r>
              <w:rPr>
                <w:b/>
                <w:color w:val="1A2744"/>
                <w:sz w:val="20"/>
              </w:rPr>
              <w:t xml:space="preserve">Gripen Localization Offer</w:t>
            </w:r>
          </w:p>
        </w:tc>
        <w:tc>
          <w:tcPr>
            <w:tcW w:w="2348" w:type="dxa"/>
            <w:shd w:val="clear" w:fill="F4F2EE"/>
            <w:tcMar>
              <w:top w:w="40" w:type="dxa"/>
              <w:left w:w="80" w:type="dxa"/>
              <w:bottom w:w="40" w:type="dxa"/>
              <w:right w:w="80" w:type="dxa"/>
            </w:tcMar>
          </w:tcPr>
          <w:p>
            <w:pPr>
              <w:spacing w:before="20" w:after="20" w:line="240" w:lineRule="auto"/>
            </w:pPr>
            <w:r>
              <w:rPr>
                <w:b/>
                <w:color w:val="1A2744"/>
                <w:sz w:val="20"/>
              </w:rPr>
              <w:t xml:space="preserve">Aurora Arrow (204)</w:t>
            </w:r>
          </w:p>
        </w:tc>
      </w:tr>
      <w:tr>
        <w:tc>
          <w:tcPr>
            <w:tcW w:w="2346" w:type="dxa"/>
            <w:tcMar>
              <w:top w:w="40" w:type="dxa"/>
              <w:left w:w="80" w:type="dxa"/>
              <w:bottom w:w="40" w:type="dxa"/>
              <w:right w:w="80" w:type="dxa"/>
            </w:tcMar>
          </w:tcPr>
          <w:p>
            <w:pPr>
              <w:spacing w:before="20" w:after="20" w:line="240" w:lineRule="auto"/>
            </w:pPr>
            <w:r>
              <w:rPr>
                <w:color w:val="1A202C"/>
                <w:sz w:val="20"/>
              </w:rPr>
              <w:t xml:space="preserve">Program cost (CAD)</w:t>
            </w:r>
          </w:p>
        </w:tc>
        <w:tc>
          <w:tcPr>
            <w:tcW w:w="2166" w:type="dxa"/>
            <w:tcMar>
              <w:top w:w="40" w:type="dxa"/>
              <w:left w:w="80" w:type="dxa"/>
              <w:bottom w:w="40" w:type="dxa"/>
              <w:right w:w="80" w:type="dxa"/>
            </w:tcMar>
          </w:tcPr>
          <w:p>
            <w:pPr>
              <w:spacing w:before="20" w:after="20" w:line="240" w:lineRule="auto"/>
            </w:pPr>
            <w:r>
              <w:rPr>
                <w:color w:val="1A202C"/>
                <w:sz w:val="20"/>
              </w:rPr>
              <w:t xml:space="preserve">$33.2B incl. infrastructure and weapons</w:t>
            </w:r>
          </w:p>
        </w:tc>
        <w:tc>
          <w:tcPr>
            <w:tcW w:w="2166" w:type="dxa"/>
            <w:tcMar>
              <w:top w:w="40" w:type="dxa"/>
              <w:left w:w="80" w:type="dxa"/>
              <w:bottom w:w="40" w:type="dxa"/>
              <w:right w:w="80" w:type="dxa"/>
            </w:tcMar>
          </w:tcPr>
          <w:p>
            <w:pPr>
              <w:spacing w:before="20" w:after="20" w:line="240" w:lineRule="auto"/>
            </w:pPr>
            <w:r>
              <w:rPr>
                <w:color w:val="1A202C"/>
                <w:sz w:val="20"/>
              </w:rPr>
              <w:t xml:space="preserve">Not disclosed</w:t>
            </w:r>
          </w:p>
        </w:tc>
        <w:tc>
          <w:tcPr>
            <w:tcW w:w="2348" w:type="dxa"/>
            <w:tcMar>
              <w:top w:w="40" w:type="dxa"/>
              <w:left w:w="80" w:type="dxa"/>
              <w:bottom w:w="40" w:type="dxa"/>
              <w:right w:w="80" w:type="dxa"/>
            </w:tcMar>
          </w:tcPr>
          <w:p>
            <w:pPr>
              <w:spacing w:before="20" w:after="20" w:line="240" w:lineRule="auto"/>
            </w:pPr>
            <w:r>
              <w:rPr>
                <w:color w:val="1A202C"/>
                <w:sz w:val="20"/>
              </w:rPr>
              <w:t xml:space="preserve">$60.3B</w:t>
            </w:r>
          </w:p>
        </w:tc>
      </w:tr>
      <w:tr>
        <w:tc>
          <w:tcPr>
            <w:tcW w:w="2346" w:type="dxa"/>
            <w:tcMar>
              <w:top w:w="40" w:type="dxa"/>
              <w:left w:w="80" w:type="dxa"/>
              <w:bottom w:w="40" w:type="dxa"/>
              <w:right w:w="80" w:type="dxa"/>
            </w:tcMar>
          </w:tcPr>
          <w:p>
            <w:pPr>
              <w:spacing w:before="20" w:after="20" w:line="240" w:lineRule="auto"/>
            </w:pPr>
            <w:r>
              <w:rPr>
                <w:color w:val="1A202C"/>
                <w:sz w:val="20"/>
              </w:rPr>
              <w:t xml:space="preserve">Aircraft delivered</w:t>
            </w:r>
          </w:p>
        </w:tc>
        <w:tc>
          <w:tcPr>
            <w:tcW w:w="2166" w:type="dxa"/>
            <w:tcMar>
              <w:top w:w="40" w:type="dxa"/>
              <w:left w:w="80" w:type="dxa"/>
              <w:bottom w:w="40" w:type="dxa"/>
              <w:right w:w="80" w:type="dxa"/>
            </w:tcMar>
          </w:tcPr>
          <w:p>
            <w:pPr>
              <w:spacing w:before="20" w:after="20" w:line="240" w:lineRule="auto"/>
            </w:pPr>
            <w:r>
              <w:rPr>
                <w:color w:val="1A202C"/>
                <w:sz w:val="20"/>
              </w:rPr>
              <w:t xml:space="preserve">88</w:t>
            </w:r>
          </w:p>
        </w:tc>
        <w:tc>
          <w:tcPr>
            <w:tcW w:w="2166" w:type="dxa"/>
            <w:tcMar>
              <w:top w:w="40" w:type="dxa"/>
              <w:left w:w="80" w:type="dxa"/>
              <w:bottom w:w="40" w:type="dxa"/>
              <w:right w:w="80" w:type="dxa"/>
            </w:tcMar>
          </w:tcPr>
          <w:p>
            <w:pPr>
              <w:spacing w:before="20" w:after="20" w:line="240" w:lineRule="auto"/>
            </w:pPr>
            <w:r>
              <w:rPr>
                <w:color w:val="1A202C"/>
                <w:sz w:val="20"/>
              </w:rPr>
              <w:t xml:space="preserve">88-class</w:t>
            </w:r>
          </w:p>
        </w:tc>
        <w:tc>
          <w:tcPr>
            <w:tcW w:w="2348" w:type="dxa"/>
            <w:tcMar>
              <w:top w:w="40" w:type="dxa"/>
              <w:left w:w="80" w:type="dxa"/>
              <w:bottom w:w="40" w:type="dxa"/>
              <w:right w:w="80" w:type="dxa"/>
            </w:tcMar>
          </w:tcPr>
          <w:p>
            <w:pPr>
              <w:spacing w:before="20" w:after="20" w:line="240" w:lineRule="auto"/>
            </w:pPr>
            <w:r>
              <w:rPr>
                <w:color w:val="1A202C"/>
                <w:sz w:val="20"/>
              </w:rPr>
              <w:t xml:space="preserve">204</w:t>
            </w:r>
          </w:p>
        </w:tc>
      </w:tr>
      <w:tr>
        <w:tc>
          <w:tcPr>
            <w:tcW w:w="2346" w:type="dxa"/>
            <w:tcMar>
              <w:top w:w="40" w:type="dxa"/>
              <w:left w:w="80" w:type="dxa"/>
              <w:bottom w:w="40" w:type="dxa"/>
              <w:right w:w="80" w:type="dxa"/>
            </w:tcMar>
          </w:tcPr>
          <w:p>
            <w:pPr>
              <w:spacing w:before="20" w:after="20" w:line="240" w:lineRule="auto"/>
            </w:pPr>
            <w:r>
              <w:rPr>
                <w:color w:val="1A202C"/>
                <w:sz w:val="20"/>
              </w:rPr>
              <w:t xml:space="preserve">Program cost per aircraft</w:t>
            </w:r>
          </w:p>
        </w:tc>
        <w:tc>
          <w:tcPr>
            <w:tcW w:w="2166" w:type="dxa"/>
            <w:tcMar>
              <w:top w:w="40" w:type="dxa"/>
              <w:left w:w="80" w:type="dxa"/>
              <w:bottom w:w="40" w:type="dxa"/>
              <w:right w:w="80" w:type="dxa"/>
            </w:tcMar>
          </w:tcPr>
          <w:p>
            <w:pPr>
              <w:spacing w:before="20" w:after="20" w:line="240" w:lineRule="auto"/>
            </w:pPr>
            <w:r>
              <w:rPr>
                <w:color w:val="1A202C"/>
                <w:sz w:val="20"/>
              </w:rPr>
              <w:t xml:space="preserve">$377M</w:t>
            </w:r>
          </w:p>
        </w:tc>
        <w:tc>
          <w:tcPr>
            <w:tcW w:w="2166" w:type="dxa"/>
            <w:tcMar>
              <w:top w:w="40" w:type="dxa"/>
              <w:left w:w="80" w:type="dxa"/>
              <w:bottom w:w="40" w:type="dxa"/>
              <w:right w:w="80" w:type="dxa"/>
            </w:tcMar>
          </w:tcPr>
          <w:p>
            <w:pPr>
              <w:spacing w:before="20" w:after="20" w:line="240" w:lineRule="auto"/>
            </w:pPr>
            <w:r>
              <w:rPr>
                <w:color w:val="1A202C"/>
                <w:sz w:val="20"/>
              </w:rPr>
              <w:t xml:space="preserve">n/a</w:t>
            </w:r>
          </w:p>
        </w:tc>
        <w:tc>
          <w:tcPr>
            <w:tcW w:w="2348" w:type="dxa"/>
            <w:tcMar>
              <w:top w:w="40" w:type="dxa"/>
              <w:left w:w="80" w:type="dxa"/>
              <w:bottom w:w="40" w:type="dxa"/>
              <w:right w:w="80" w:type="dxa"/>
            </w:tcMar>
          </w:tcPr>
          <w:p>
            <w:pPr>
              <w:spacing w:before="20" w:after="20" w:line="240" w:lineRule="auto"/>
            </w:pPr>
            <w:r>
              <w:rPr>
                <w:color w:val="1A202C"/>
                <w:sz w:val="20"/>
              </w:rPr>
              <w:t xml:space="preserve">$296M</w:t>
            </w:r>
          </w:p>
        </w:tc>
      </w:tr>
      <w:tr>
        <w:tc>
          <w:tcPr>
            <w:tcW w:w="2346" w:type="dxa"/>
            <w:tcMar>
              <w:top w:w="40" w:type="dxa"/>
              <w:left w:w="80" w:type="dxa"/>
              <w:bottom w:w="40" w:type="dxa"/>
              <w:right w:w="80" w:type="dxa"/>
            </w:tcMar>
          </w:tcPr>
          <w:p>
            <w:pPr>
              <w:spacing w:before="20" w:after="20" w:line="240" w:lineRule="auto"/>
            </w:pPr>
            <w:r>
              <w:rPr>
                <w:color w:val="1A202C"/>
                <w:sz w:val="20"/>
              </w:rPr>
              <w:t xml:space="preserve">Canadian content</w:t>
            </w:r>
          </w:p>
        </w:tc>
        <w:tc>
          <w:tcPr>
            <w:tcW w:w="2166" w:type="dxa"/>
            <w:tcMar>
              <w:top w:w="40" w:type="dxa"/>
              <w:left w:w="80" w:type="dxa"/>
              <w:bottom w:w="40" w:type="dxa"/>
              <w:right w:w="80" w:type="dxa"/>
            </w:tcMar>
          </w:tcPr>
          <w:p>
            <w:pPr>
              <w:spacing w:before="20" w:after="20" w:line="240" w:lineRule="auto"/>
            </w:pPr>
            <w:r>
              <w:rPr>
                <w:color w:val="1A202C"/>
                <w:sz w:val="20"/>
              </w:rPr>
              <w:t xml:space="preserve">~2% direct</w:t>
            </w:r>
          </w:p>
        </w:tc>
        <w:tc>
          <w:tcPr>
            <w:tcW w:w="2166" w:type="dxa"/>
            <w:tcMar>
              <w:top w:w="40" w:type="dxa"/>
              <w:left w:w="80" w:type="dxa"/>
              <w:bottom w:w="40" w:type="dxa"/>
              <w:right w:w="80" w:type="dxa"/>
            </w:tcMar>
          </w:tcPr>
          <w:p>
            <w:pPr>
              <w:spacing w:before="20" w:after="20" w:line="240" w:lineRule="auto"/>
            </w:pPr>
            <w:r>
              <w:rPr>
                <w:color w:val="1A202C"/>
                <w:sz w:val="20"/>
              </w:rPr>
              <w:t xml:space="preserve">35 to 40% (assembly)</w:t>
            </w:r>
          </w:p>
        </w:tc>
        <w:tc>
          <w:tcPr>
            <w:tcW w:w="2348" w:type="dxa"/>
            <w:tcMar>
              <w:top w:w="40" w:type="dxa"/>
              <w:left w:w="80" w:type="dxa"/>
              <w:bottom w:w="40" w:type="dxa"/>
              <w:right w:w="80" w:type="dxa"/>
            </w:tcMar>
          </w:tcPr>
          <w:p>
            <w:pPr>
              <w:spacing w:before="20" w:after="20" w:line="240" w:lineRule="auto"/>
            </w:pPr>
            <w:r>
              <w:rPr>
                <w:color w:val="1A202C"/>
                <w:sz w:val="20"/>
              </w:rPr>
              <w:t xml:space="preserve">70%</w:t>
            </w:r>
          </w:p>
        </w:tc>
      </w:tr>
      <w:tr>
        <w:tc>
          <w:tcPr>
            <w:tcW w:w="2346" w:type="dxa"/>
            <w:tcMar>
              <w:top w:w="40" w:type="dxa"/>
              <w:left w:w="80" w:type="dxa"/>
              <w:bottom w:w="40" w:type="dxa"/>
              <w:right w:w="80" w:type="dxa"/>
            </w:tcMar>
          </w:tcPr>
          <w:p>
            <w:pPr>
              <w:spacing w:before="20" w:after="20" w:line="240" w:lineRule="auto"/>
            </w:pPr>
            <w:r>
              <w:rPr>
                <w:color w:val="1A202C"/>
                <w:sz w:val="20"/>
              </w:rPr>
              <w:t xml:space="preserve">Direct jobs</w:t>
            </w:r>
          </w:p>
        </w:tc>
        <w:tc>
          <w:tcPr>
            <w:tcW w:w="2166" w:type="dxa"/>
            <w:tcMar>
              <w:top w:w="40" w:type="dxa"/>
              <w:left w:w="80" w:type="dxa"/>
              <w:bottom w:w="40" w:type="dxa"/>
              <w:right w:w="80" w:type="dxa"/>
            </w:tcMar>
          </w:tcPr>
          <w:p>
            <w:pPr>
              <w:spacing w:before="20" w:after="20" w:line="240" w:lineRule="auto"/>
            </w:pPr>
            <w:r>
              <w:rPr>
                <w:color w:val="1A202C"/>
                <w:sz w:val="20"/>
              </w:rPr>
              <w:t xml:space="preserve">~200 sustainment plus ITB</w:t>
            </w:r>
          </w:p>
        </w:tc>
        <w:tc>
          <w:tcPr>
            <w:tcW w:w="2166" w:type="dxa"/>
            <w:tcMar>
              <w:top w:w="40" w:type="dxa"/>
              <w:left w:w="80" w:type="dxa"/>
              <w:bottom w:w="40" w:type="dxa"/>
              <w:right w:w="80" w:type="dxa"/>
            </w:tcMar>
          </w:tcPr>
          <w:p>
            <w:pPr>
              <w:spacing w:before="20" w:after="20" w:line="240" w:lineRule="auto"/>
            </w:pPr>
            <w:r>
              <w:rPr>
                <w:color w:val="1A202C"/>
                <w:sz w:val="20"/>
              </w:rPr>
              <w:t xml:space="preserve">~5,200</w:t>
            </w:r>
          </w:p>
        </w:tc>
        <w:tc>
          <w:tcPr>
            <w:tcW w:w="2348" w:type="dxa"/>
            <w:tcMar>
              <w:top w:w="40" w:type="dxa"/>
              <w:left w:w="80" w:type="dxa"/>
              <w:bottom w:w="40" w:type="dxa"/>
              <w:right w:w="80" w:type="dxa"/>
            </w:tcMar>
          </w:tcPr>
          <w:p>
            <w:pPr>
              <w:spacing w:before="20" w:after="20" w:line="240" w:lineRule="auto"/>
            </w:pPr>
            <w:r>
              <w:rPr>
                <w:color w:val="1A202C"/>
                <w:sz w:val="20"/>
              </w:rPr>
              <w:t xml:space="preserve">12,000</w:t>
            </w:r>
          </w:p>
        </w:tc>
      </w:tr>
      <w:tr>
        <w:tc>
          <w:tcPr>
            <w:tcW w:w="2346" w:type="dxa"/>
            <w:tcMar>
              <w:top w:w="40" w:type="dxa"/>
              <w:left w:w="80" w:type="dxa"/>
              <w:bottom w:w="40" w:type="dxa"/>
              <w:right w:w="80" w:type="dxa"/>
            </w:tcMar>
          </w:tcPr>
          <w:p>
            <w:pPr>
              <w:spacing w:before="20" w:after="20" w:line="240" w:lineRule="auto"/>
            </w:pPr>
            <w:r>
              <w:rPr>
                <w:color w:val="1A202C"/>
                <w:sz w:val="20"/>
              </w:rPr>
              <w:t xml:space="preserve">Total jobs</w:t>
            </w:r>
          </w:p>
        </w:tc>
        <w:tc>
          <w:tcPr>
            <w:tcW w:w="2166" w:type="dxa"/>
            <w:tcMar>
              <w:top w:w="40" w:type="dxa"/>
              <w:left w:w="80" w:type="dxa"/>
              <w:bottom w:w="40" w:type="dxa"/>
              <w:right w:w="80" w:type="dxa"/>
            </w:tcMar>
          </w:tcPr>
          <w:p>
            <w:pPr>
              <w:spacing w:before="20" w:after="20" w:line="240" w:lineRule="auto"/>
            </w:pPr>
            <w:r>
              <w:rPr>
                <w:color w:val="1A202C"/>
                <w:sz w:val="20"/>
              </w:rPr>
              <w:t xml:space="preserve">Limited</w:t>
            </w:r>
          </w:p>
        </w:tc>
        <w:tc>
          <w:tcPr>
            <w:tcW w:w="2166" w:type="dxa"/>
            <w:tcMar>
              <w:top w:w="40" w:type="dxa"/>
              <w:left w:w="80" w:type="dxa"/>
              <w:bottom w:w="40" w:type="dxa"/>
              <w:right w:w="80" w:type="dxa"/>
            </w:tcMar>
          </w:tcPr>
          <w:p>
            <w:pPr>
              <w:spacing w:before="20" w:after="20" w:line="240" w:lineRule="auto"/>
            </w:pPr>
            <w:r>
              <w:rPr>
                <w:color w:val="1A202C"/>
                <w:sz w:val="20"/>
              </w:rPr>
              <w:t xml:space="preserve">Up to 12,600 (claimed)</w:t>
            </w:r>
          </w:p>
        </w:tc>
        <w:tc>
          <w:tcPr>
            <w:tcW w:w="2348" w:type="dxa"/>
            <w:tcMar>
              <w:top w:w="40" w:type="dxa"/>
              <w:left w:w="80" w:type="dxa"/>
              <w:bottom w:w="40" w:type="dxa"/>
              <w:right w:w="80" w:type="dxa"/>
            </w:tcMar>
          </w:tcPr>
          <w:p>
            <w:pPr>
              <w:spacing w:before="20" w:after="20" w:line="240" w:lineRule="auto"/>
            </w:pPr>
            <w:r>
              <w:rPr>
                <w:color w:val="1A202C"/>
                <w:sz w:val="20"/>
              </w:rPr>
              <w:t xml:space="preserve">29,161</w:t>
            </w:r>
          </w:p>
        </w:tc>
      </w:tr>
      <w:tr>
        <w:tc>
          <w:tcPr>
            <w:tcW w:w="2346" w:type="dxa"/>
            <w:tcMar>
              <w:top w:w="40" w:type="dxa"/>
              <w:left w:w="80" w:type="dxa"/>
              <w:bottom w:w="40" w:type="dxa"/>
              <w:right w:w="80" w:type="dxa"/>
            </w:tcMar>
          </w:tcPr>
          <w:p>
            <w:pPr>
              <w:spacing w:before="20" w:after="20" w:line="240" w:lineRule="auto"/>
            </w:pPr>
            <w:r>
              <w:rPr>
                <w:color w:val="1A202C"/>
                <w:sz w:val="20"/>
              </w:rPr>
              <w:t xml:space="preserve">GDP contribution</w:t>
            </w:r>
          </w:p>
        </w:tc>
        <w:tc>
          <w:tcPr>
            <w:tcW w:w="2166" w:type="dxa"/>
            <w:tcMar>
              <w:top w:w="40" w:type="dxa"/>
              <w:left w:w="80" w:type="dxa"/>
              <w:bottom w:w="40" w:type="dxa"/>
              <w:right w:w="80" w:type="dxa"/>
            </w:tcMar>
          </w:tcPr>
          <w:p>
            <w:pPr>
              <w:spacing w:before="20" w:after="20" w:line="240" w:lineRule="auto"/>
            </w:pPr>
            <w:r>
              <w:rPr>
                <w:color w:val="1A202C"/>
                <w:sz w:val="20"/>
              </w:rPr>
              <w:t xml:space="preserve">$1B to $3B (ITB-driven)</w:t>
            </w:r>
          </w:p>
        </w:tc>
        <w:tc>
          <w:tcPr>
            <w:tcW w:w="2166" w:type="dxa"/>
            <w:tcMar>
              <w:top w:w="40" w:type="dxa"/>
              <w:left w:w="80" w:type="dxa"/>
              <w:bottom w:w="40" w:type="dxa"/>
              <w:right w:w="80" w:type="dxa"/>
            </w:tcMar>
          </w:tcPr>
          <w:p>
            <w:pPr>
              <w:spacing w:before="20" w:after="20" w:line="240" w:lineRule="auto"/>
            </w:pPr>
            <w:r>
              <w:rPr>
                <w:color w:val="1A202C"/>
                <w:sz w:val="20"/>
              </w:rPr>
              <w:t xml:space="preserve">$8B to $14B class</w:t>
            </w:r>
          </w:p>
        </w:tc>
        <w:tc>
          <w:tcPr>
            <w:tcW w:w="2348" w:type="dxa"/>
            <w:tcMar>
              <w:top w:w="40" w:type="dxa"/>
              <w:left w:w="80" w:type="dxa"/>
              <w:bottom w:w="40" w:type="dxa"/>
              <w:right w:w="80" w:type="dxa"/>
            </w:tcMar>
          </w:tcPr>
          <w:p>
            <w:pPr>
              <w:spacing w:before="20" w:after="20" w:line="240" w:lineRule="auto"/>
            </w:pPr>
            <w:r>
              <w:rPr>
                <w:color w:val="1A202C"/>
                <w:sz w:val="20"/>
              </w:rPr>
              <w:t xml:space="preserve">$35.0B</w:t>
            </w:r>
          </w:p>
        </w:tc>
      </w:tr>
      <w:tr>
        <w:tc>
          <w:tcPr>
            <w:tcW w:w="2346" w:type="dxa"/>
            <w:tcMar>
              <w:top w:w="40" w:type="dxa"/>
              <w:left w:w="80" w:type="dxa"/>
              <w:bottom w:w="40" w:type="dxa"/>
              <w:right w:w="80" w:type="dxa"/>
            </w:tcMar>
          </w:tcPr>
          <w:p>
            <w:pPr>
              <w:spacing w:before="20" w:after="20" w:line="240" w:lineRule="auto"/>
            </w:pPr>
            <w:r>
              <w:rPr>
                <w:color w:val="1A202C"/>
                <w:sz w:val="20"/>
              </w:rPr>
              <w:t xml:space="preserve">Sovereign IP and source code</w:t>
            </w:r>
          </w:p>
        </w:tc>
        <w:tc>
          <w:tcPr>
            <w:tcW w:w="2166" w:type="dxa"/>
            <w:tcMar>
              <w:top w:w="40" w:type="dxa"/>
              <w:left w:w="80" w:type="dxa"/>
              <w:bottom w:w="40" w:type="dxa"/>
              <w:right w:w="80" w:type="dxa"/>
            </w:tcMar>
          </w:tcPr>
          <w:p>
            <w:pPr>
              <w:spacing w:before="20" w:after="20" w:line="240" w:lineRule="auto"/>
            </w:pPr>
            <w:r>
              <w:rPr>
                <w:color w:val="1A202C"/>
                <w:sz w:val="20"/>
              </w:rPr>
              <w:t xml:space="preserve">None</w:t>
            </w:r>
          </w:p>
        </w:tc>
        <w:tc>
          <w:tcPr>
            <w:tcW w:w="2166" w:type="dxa"/>
            <w:tcMar>
              <w:top w:w="40" w:type="dxa"/>
              <w:left w:w="80" w:type="dxa"/>
              <w:bottom w:w="40" w:type="dxa"/>
              <w:right w:w="80" w:type="dxa"/>
            </w:tcMar>
          </w:tcPr>
          <w:p>
            <w:pPr>
              <w:spacing w:before="20" w:after="20" w:line="240" w:lineRule="auto"/>
            </w:pPr>
            <w:r>
              <w:rPr>
                <w:color w:val="1A202C"/>
                <w:sz w:val="20"/>
              </w:rPr>
              <w:t xml:space="preserve">Partial (Saab-controlled)</w:t>
            </w:r>
          </w:p>
        </w:tc>
        <w:tc>
          <w:tcPr>
            <w:tcW w:w="2348" w:type="dxa"/>
            <w:tcMar>
              <w:top w:w="40" w:type="dxa"/>
              <w:left w:w="80" w:type="dxa"/>
              <w:bottom w:w="40" w:type="dxa"/>
              <w:right w:w="80" w:type="dxa"/>
            </w:tcMar>
          </w:tcPr>
          <w:p>
            <w:pPr>
              <w:spacing w:before="20" w:after="20" w:line="240" w:lineRule="auto"/>
            </w:pPr>
            <w:r>
              <w:rPr>
                <w:color w:val="1A202C"/>
                <w:sz w:val="20"/>
              </w:rPr>
              <w:t xml:space="preserve">Full Canadian ownership</w:t>
            </w:r>
          </w:p>
        </w:tc>
      </w:tr>
      <w:tr>
        <w:tc>
          <w:tcPr>
            <w:tcW w:w="2346" w:type="dxa"/>
            <w:tcMar>
              <w:top w:w="40" w:type="dxa"/>
              <w:left w:w="80" w:type="dxa"/>
              <w:bottom w:w="40" w:type="dxa"/>
              <w:right w:w="80" w:type="dxa"/>
            </w:tcMar>
          </w:tcPr>
          <w:p>
            <w:pPr>
              <w:spacing w:before="20" w:after="20" w:line="240" w:lineRule="auto"/>
            </w:pPr>
            <w:r>
              <w:rPr>
                <w:color w:val="1A202C"/>
                <w:sz w:val="20"/>
              </w:rPr>
              <w:t xml:space="preserve">Export authority</w:t>
            </w:r>
          </w:p>
        </w:tc>
        <w:tc>
          <w:tcPr>
            <w:tcW w:w="2166" w:type="dxa"/>
            <w:tcMar>
              <w:top w:w="40" w:type="dxa"/>
              <w:left w:w="80" w:type="dxa"/>
              <w:bottom w:w="40" w:type="dxa"/>
              <w:right w:w="80" w:type="dxa"/>
            </w:tcMar>
          </w:tcPr>
          <w:p>
            <w:pPr>
              <w:spacing w:before="20" w:after="20" w:line="240" w:lineRule="auto"/>
            </w:pPr>
            <w:r>
              <w:rPr>
                <w:color w:val="1A202C"/>
                <w:sz w:val="20"/>
              </w:rPr>
              <w:t xml:space="preserve">US veto</w:t>
            </w:r>
          </w:p>
        </w:tc>
        <w:tc>
          <w:tcPr>
            <w:tcW w:w="2166" w:type="dxa"/>
            <w:tcMar>
              <w:top w:w="40" w:type="dxa"/>
              <w:left w:w="80" w:type="dxa"/>
              <w:bottom w:w="40" w:type="dxa"/>
              <w:right w:w="80" w:type="dxa"/>
            </w:tcMar>
          </w:tcPr>
          <w:p>
            <w:pPr>
              <w:spacing w:before="20" w:after="20" w:line="240" w:lineRule="auto"/>
            </w:pPr>
            <w:r>
              <w:rPr>
                <w:color w:val="1A202C"/>
                <w:sz w:val="20"/>
              </w:rPr>
              <w:t xml:space="preserve">Swedish veto</w:t>
            </w:r>
          </w:p>
        </w:tc>
        <w:tc>
          <w:tcPr>
            <w:tcW w:w="2348" w:type="dxa"/>
            <w:tcMar>
              <w:top w:w="40" w:type="dxa"/>
              <w:left w:w="80" w:type="dxa"/>
              <w:bottom w:w="40" w:type="dxa"/>
              <w:right w:w="80" w:type="dxa"/>
            </w:tcMar>
          </w:tcPr>
          <w:p>
            <w:pPr>
              <w:spacing w:before="20" w:after="20" w:line="240" w:lineRule="auto"/>
            </w:pPr>
            <w:r>
              <w:rPr>
                <w:color w:val="1A202C"/>
                <w:sz w:val="20"/>
              </w:rPr>
              <w:t xml:space="preserve">Canadian authority</w:t>
            </w:r>
          </w:p>
        </w:tc>
      </w:tr>
      <w:tr>
        <w:tc>
          <w:tcPr>
            <w:tcW w:w="2346" w:type="dxa"/>
            <w:tcMar>
              <w:top w:w="40" w:type="dxa"/>
              <w:left w:w="80" w:type="dxa"/>
              <w:bottom w:w="40" w:type="dxa"/>
              <w:right w:w="80" w:type="dxa"/>
            </w:tcMar>
          </w:tcPr>
          <w:p>
            <w:pPr>
              <w:spacing w:before="20" w:after="20" w:line="240" w:lineRule="auto"/>
            </w:pPr>
            <w:r>
              <w:rPr>
                <w:color w:val="1A202C"/>
                <w:sz w:val="20"/>
              </w:rPr>
              <w:t xml:space="preserve">Sixth-generation pathway</w:t>
            </w:r>
          </w:p>
        </w:tc>
        <w:tc>
          <w:tcPr>
            <w:tcW w:w="2166" w:type="dxa"/>
            <w:tcMar>
              <w:top w:w="40" w:type="dxa"/>
              <w:left w:w="80" w:type="dxa"/>
              <w:bottom w:w="40" w:type="dxa"/>
              <w:right w:w="80" w:type="dxa"/>
            </w:tcMar>
          </w:tcPr>
          <w:p>
            <w:pPr>
              <w:spacing w:before="20" w:after="20" w:line="240" w:lineRule="auto"/>
            </w:pPr>
            <w:r>
              <w:rPr>
                <w:color w:val="1A202C"/>
                <w:sz w:val="20"/>
              </w:rPr>
              <w:t xml:space="preserve">None</w:t>
            </w:r>
          </w:p>
        </w:tc>
        <w:tc>
          <w:tcPr>
            <w:tcW w:w="2166" w:type="dxa"/>
            <w:tcMar>
              <w:top w:w="40" w:type="dxa"/>
              <w:left w:w="80" w:type="dxa"/>
              <w:bottom w:w="40" w:type="dxa"/>
              <w:right w:w="80" w:type="dxa"/>
            </w:tcMar>
          </w:tcPr>
          <w:p>
            <w:pPr>
              <w:spacing w:before="20" w:after="20" w:line="240" w:lineRule="auto"/>
            </w:pPr>
            <w:r>
              <w:rPr>
                <w:color w:val="1A202C"/>
                <w:sz w:val="20"/>
              </w:rPr>
              <w:t xml:space="preserve">None</w:t>
            </w:r>
          </w:p>
        </w:tc>
        <w:tc>
          <w:tcPr>
            <w:tcW w:w="2348" w:type="dxa"/>
            <w:tcMar>
              <w:top w:w="40" w:type="dxa"/>
              <w:left w:w="80" w:type="dxa"/>
              <w:bottom w:w="40" w:type="dxa"/>
              <w:right w:w="80" w:type="dxa"/>
            </w:tcMar>
          </w:tcPr>
          <w:p>
            <w:pPr>
              <w:spacing w:before="20" w:after="20" w:line="240" w:lineRule="auto"/>
            </w:pPr>
            <w:r>
              <w:rPr>
                <w:color w:val="1A202C"/>
                <w:sz w:val="20"/>
              </w:rPr>
              <w:t xml:space="preserve">Organic plus GCAP</w:t>
            </w:r>
          </w:p>
        </w:tc>
      </w:tr>
    </w:tbl>
    <w:p>
      <w:pPr>
        <w:spacing w:after="180" w:line="288" w:lineRule="auto"/>
      </w:pPr>
      <w:r>
        <w:t xml:space="preserve">The import option delivers aircraft but exports the economic value. The localization offer, the strongest foreign industrial package on the table, still caps Canadian participation at assembly-level work under foreign IP control. Only the national build combines full-spectrum employment, GDP retention, sovereign authority, and a sixth-generation trajectory. On a per-aircraft basis the Aurora Arrow delivers 204 aircraft at a $296M program-average cost, below the $377M all-in figure for the 88-aircraft import, while fielding greater numbers for continental defence.</w:t>
      </w:r>
    </w:p>
    <w:p>
      <w:pPr>
        <w:pStyle w:val="Heading2"/>
      </w:pPr>
      <w:r>
        <w:t>13.2 The Opportunity Cost of the Import Path</w:t>
      </w:r>
    </w:p>
    <w:p>
      <w:pPr>
        <w:spacing w:after="180" w:line="288" w:lineRule="auto"/>
      </w:pPr>
      <w:r>
        <w:t xml:space="preserve">Proceeding with a pure import procurement forecloses:</w:t>
      </w:r>
    </w:p>
    <w:p>
      <w:pPr>
        <w:numPr>
          <w:ilvl w:val="0"/>
          <w:numId w:val="1"/>
        </w:numPr>
        <w:spacing w:after="180" w:line="288" w:lineRule="auto"/>
      </w:pPr>
      <w:r>
        <w:t xml:space="preserve">12,000 direct jobs not created in Canadian aerospace development and manufacturing</w:t>
      </w:r>
    </w:p>
    <w:p>
      <w:pPr>
        <w:numPr>
          <w:ilvl w:val="0"/>
          <w:numId w:val="1"/>
        </w:numPr>
        <w:spacing w:after="180" w:line="288" w:lineRule="auto"/>
      </w:pPr>
      <w:r>
        <w:t xml:space="preserve">$35.0 billion in GDP not generated across the Canadian economy</w:t>
      </w:r>
    </w:p>
    <w:p>
      <w:pPr>
        <w:numPr>
          <w:ilvl w:val="0"/>
          <w:numId w:val="1"/>
        </w:numPr>
        <w:spacing w:after="180" w:line="288" w:lineRule="auto"/>
      </w:pPr>
      <w:r>
        <w:t xml:space="preserve">$7.0 billion in federal and provincial tax revenue not collected</w:t>
      </w:r>
    </w:p>
    <w:p>
      <w:pPr>
        <w:numPr>
          <w:ilvl w:val="0"/>
          <w:numId w:val="1"/>
        </w:numPr>
        <w:spacing w:after="180" w:line="288" w:lineRule="auto"/>
      </w:pPr>
      <w:r>
        <w:t xml:space="preserve">$6.0 to $10.0 billion in export revenue not earned from sixth-generation markets</w:t>
      </w:r>
    </w:p>
    <w:p>
      <w:pPr>
        <w:numPr>
          <w:ilvl w:val="0"/>
          <w:numId w:val="1"/>
        </w:numPr>
        <w:spacing w:after="180" w:line="288" w:lineRule="auto"/>
      </w:pPr>
      <w:r>
        <w:t xml:space="preserve">Sovereign control over source code, upgrades, sustainment, and mission data</w:t>
      </w:r>
    </w:p>
    <w:p>
      <w:pPr>
        <w:numPr>
          <w:ilvl w:val="0"/>
          <w:numId w:val="1"/>
        </w:numPr>
        <w:spacing w:after="180" w:line="288" w:lineRule="auto"/>
      </w:pPr>
      <w:r>
        <w:t xml:space="preserve">The GCAP partnership leverage that only an organic program provides</w:t>
      </w:r>
    </w:p>
    <w:p>
      <w:pPr>
        <w:numPr>
          <w:ilvl w:val="0"/>
          <w:numId w:val="1"/>
        </w:numPr>
        <w:spacing w:after="180" w:line="288" w:lineRule="auto"/>
      </w:pPr>
      <w:r>
        <w:t xml:space="preserve">The absorption of displaced automotive workers into aerospace careers</w:t>
      </w:r>
    </w:p>
    <w:p>
      <w:pPr>
        <w:spacing w:after="180" w:line="288" w:lineRule="auto"/>
      </w:pPr>
      <w:r>
        <w:t xml:space="preserve">The cumulative opportunity cost exceeds $48 billion in foregone economic activity over the program phase, before weighing the strategic cost of another half-century of dependence on foreign combat-aircraft supply.</w:t>
      </w:r>
    </w:p>
    <w:p>
      <w:r>
        <w:br w:type="page"/>
      </w:r>
    </w:p>
    <w:p>
      <w:pPr>
        <w:pStyle w:val="Heading1"/>
      </w:pPr>
      <w:r>
        <w:t>PART XIV: INTERNATIONAL PARTNERSHIP AND COST-SHARING</w:t>
      </w:r>
    </w:p>
    <w:p>
      <w:pPr>
        <w:spacing w:after="180" w:line="288" w:lineRule="auto"/>
      </w:pPr>
      <w:r>
        <w:t xml:space="preserve">The v1.1 baseline assesses the Aurora Arrow as a national program. This part examines the alternative that changes the political and fiscal equation entirely: Canada leads a coalition of like-minded nations that share development costs, manufacturing work, and export sales, on the model the United Kingdom, Japan, and Italy created for the Global Combat Air Programme. The coalition option reframes the program from a $60.3 billion national undertaking into a shared allied investment in which Canada holds design authority, retains the sovereign work packages, and funds roughly half of the development bill.</w:t>
      </w:r>
    </w:p>
    <w:p>
      <w:pPr>
        <w:pStyle w:val="Heading2"/>
      </w:pPr>
      <w:r>
        <w:t>14.1 Multilateral Defence Financing Mechanisms</w:t>
      </w:r>
    </w:p>
    <w:p>
      <w:pPr>
        <w:spacing w:after="180" w:line="288" w:lineRule="auto"/>
      </w:pPr>
      <w:r>
        <w:t xml:space="preserve">Four standing mechanisms define the 2026 landscape for shared defence financing. Each offers Canada a proven template, and Canada already participates in three of the four.</w:t>
      </w:r>
    </w:p>
    <w:tbl>
      <w:tblPr>
        <w:tblW w:w="5000" w:type="pct"/>
        <w:tblBorders>
          <w:top w:val="single" w:color="1A2744" w:sz="12"/>
          <w:left w:val="nil"/>
          <w:bottom w:val="single" w:color="1A2744" w:sz="12"/>
          <w:right w:val="nil"/>
          <w:insideH w:val="single" w:color="C8C4BC" w:sz="4"/>
          <w:insideV w:val="nil"/>
        </w:tblBorders>
      </w:tblPr>
      <w:tblGrid>
        <w:gridCol w:w="1985"/>
        <w:gridCol w:w="2707"/>
        <w:gridCol w:w="4334"/>
      </w:tblGrid>
      <w:tr>
        <w:trPr>
          <w:tblHeader/>
        </w:trPr>
        <w:tc>
          <w:tcPr>
            <w:tcW w:w="1985" w:type="dxa"/>
            <w:shd w:val="clear" w:fill="F4F2EE"/>
            <w:tcMar>
              <w:top w:w="40" w:type="dxa"/>
              <w:left w:w="80" w:type="dxa"/>
              <w:bottom w:w="40" w:type="dxa"/>
              <w:right w:w="80" w:type="dxa"/>
            </w:tcMar>
          </w:tcPr>
          <w:p>
            <w:pPr>
              <w:spacing w:before="20" w:after="20" w:line="240" w:lineRule="auto"/>
            </w:pPr>
            <w:r>
              <w:rPr>
                <w:b/>
                <w:color w:val="1A2744"/>
                <w:sz w:val="20"/>
              </w:rPr>
              <w:t xml:space="preserve">Mechanism</w:t>
            </w:r>
          </w:p>
        </w:tc>
        <w:tc>
          <w:tcPr>
            <w:tcW w:w="2707" w:type="dxa"/>
            <w:shd w:val="clear" w:fill="F4F2EE"/>
            <w:tcMar>
              <w:top w:w="40" w:type="dxa"/>
              <w:left w:w="80" w:type="dxa"/>
              <w:bottom w:w="40" w:type="dxa"/>
              <w:right w:w="80" w:type="dxa"/>
            </w:tcMar>
          </w:tcPr>
          <w:p>
            <w:pPr>
              <w:spacing w:before="20" w:after="20" w:line="240" w:lineRule="auto"/>
            </w:pPr>
            <w:r>
              <w:rPr>
                <w:b/>
                <w:color w:val="1A2744"/>
                <w:sz w:val="20"/>
              </w:rPr>
              <w:t xml:space="preserve">Partners</w:t>
            </w:r>
          </w:p>
        </w:tc>
        <w:tc>
          <w:tcPr>
            <w:tcW w:w="4334" w:type="dxa"/>
            <w:shd w:val="clear" w:fill="F4F2EE"/>
            <w:tcMar>
              <w:top w:w="40" w:type="dxa"/>
              <w:left w:w="80" w:type="dxa"/>
              <w:bottom w:w="40" w:type="dxa"/>
              <w:right w:w="80" w:type="dxa"/>
            </w:tcMar>
          </w:tcPr>
          <w:p>
            <w:pPr>
              <w:spacing w:before="20" w:after="20" w:line="240" w:lineRule="auto"/>
            </w:pPr>
            <w:r>
              <w:rPr>
                <w:b/>
                <w:color w:val="1A2744"/>
                <w:sz w:val="20"/>
              </w:rPr>
              <w:t xml:space="preserve">Structure and Canada's Entry Point</w:t>
            </w:r>
          </w:p>
        </w:tc>
      </w:tr>
      <w:tr>
        <w:tc>
          <w:tcPr>
            <w:tcW w:w="1985" w:type="dxa"/>
            <w:tcMar>
              <w:top w:w="40" w:type="dxa"/>
              <w:left w:w="80" w:type="dxa"/>
              <w:bottom w:w="40" w:type="dxa"/>
              <w:right w:w="80" w:type="dxa"/>
            </w:tcMar>
          </w:tcPr>
          <w:p>
            <w:pPr>
              <w:spacing w:before="20" w:after="20" w:line="240" w:lineRule="auto"/>
            </w:pPr>
            <w:r>
              <w:rPr>
                <w:color w:val="1A202C"/>
                <w:sz w:val="20"/>
              </w:rPr>
              <w:t xml:space="preserve">GCAP / GIGO</w:t>
            </w:r>
          </w:p>
        </w:tc>
        <w:tc>
          <w:tcPr>
            <w:tcW w:w="2707" w:type="dxa"/>
            <w:tcMar>
              <w:top w:w="40" w:type="dxa"/>
              <w:left w:w="80" w:type="dxa"/>
              <w:bottom w:w="40" w:type="dxa"/>
              <w:right w:w="80" w:type="dxa"/>
            </w:tcMar>
          </w:tcPr>
          <w:p>
            <w:pPr>
              <w:spacing w:before="20" w:after="20" w:line="240" w:lineRule="auto"/>
            </w:pPr>
            <w:r>
              <w:rPr>
                <w:color w:val="1A202C"/>
                <w:sz w:val="20"/>
              </w:rPr>
              <w:t xml:space="preserve">UK, Japan, Italy</w:t>
            </w:r>
          </w:p>
        </w:tc>
        <w:tc>
          <w:tcPr>
            <w:tcW w:w="4334" w:type="dxa"/>
            <w:tcMar>
              <w:top w:w="40" w:type="dxa"/>
              <w:left w:w="80" w:type="dxa"/>
              <w:bottom w:w="40" w:type="dxa"/>
              <w:right w:w="80" w:type="dxa"/>
            </w:tcMar>
          </w:tcPr>
          <w:p>
            <w:pPr>
              <w:spacing w:before="20" w:after="20" w:line="240" w:lineRule="auto"/>
            </w:pPr>
            <w:r>
              <w:rPr>
                <w:color w:val="1A202C"/>
                <w:sz w:val="20"/>
              </w:rPr>
              <w:t xml:space="preserve">Treaty-based international organisation with a single empowered customer agency (GCAP Agency, Reading) and a single industrial prime (Edgewing). Canada holds first observer nation status since July 2026.</w:t>
            </w:r>
          </w:p>
        </w:tc>
      </w:tr>
      <w:tr>
        <w:tc>
          <w:tcPr>
            <w:tcW w:w="1985" w:type="dxa"/>
            <w:tcMar>
              <w:top w:w="40" w:type="dxa"/>
              <w:left w:w="80" w:type="dxa"/>
              <w:bottom w:w="40" w:type="dxa"/>
              <w:right w:w="80" w:type="dxa"/>
            </w:tcMar>
          </w:tcPr>
          <w:p>
            <w:pPr>
              <w:spacing w:before="20" w:after="20" w:line="240" w:lineRule="auto"/>
            </w:pPr>
            <w:r>
              <w:rPr>
                <w:color w:val="1A202C"/>
                <w:sz w:val="20"/>
              </w:rPr>
              <w:t xml:space="preserve">Edgewing joint venture</w:t>
            </w:r>
          </w:p>
        </w:tc>
        <w:tc>
          <w:tcPr>
            <w:tcW w:w="2707" w:type="dxa"/>
            <w:tcMar>
              <w:top w:w="40" w:type="dxa"/>
              <w:left w:w="80" w:type="dxa"/>
              <w:bottom w:w="40" w:type="dxa"/>
              <w:right w:w="80" w:type="dxa"/>
            </w:tcMar>
          </w:tcPr>
          <w:p>
            <w:pPr>
              <w:spacing w:before="20" w:after="20" w:line="240" w:lineRule="auto"/>
            </w:pPr>
            <w:r>
              <w:rPr>
                <w:color w:val="1A202C"/>
                <w:sz w:val="20"/>
              </w:rPr>
              <w:t xml:space="preserve">BAE Systems, Leonardo, JAIEC</w:t>
            </w:r>
          </w:p>
        </w:tc>
        <w:tc>
          <w:tcPr>
            <w:tcW w:w="4334" w:type="dxa"/>
            <w:tcMar>
              <w:top w:w="40" w:type="dxa"/>
              <w:left w:w="80" w:type="dxa"/>
              <w:bottom w:w="40" w:type="dxa"/>
              <w:right w:w="80" w:type="dxa"/>
            </w:tcMar>
          </w:tcPr>
          <w:p>
            <w:pPr>
              <w:spacing w:before="20" w:after="20" w:line="240" w:lineRule="auto"/>
            </w:pPr>
            <w:r>
              <w:rPr>
                <w:color w:val="1A202C"/>
                <w:sz w:val="20"/>
              </w:rPr>
              <w:t xml:space="preserve">Equal 33.3% shareholdings across the three national champions; first international contract £686M (April 2026), followed by a £4.6B 18-month design contract (July 2026). Template for an Aurora coalition prime.</w:t>
            </w:r>
          </w:p>
        </w:tc>
      </w:tr>
      <w:tr>
        <w:tc>
          <w:tcPr>
            <w:tcW w:w="1985" w:type="dxa"/>
            <w:tcMar>
              <w:top w:w="40" w:type="dxa"/>
              <w:left w:w="80" w:type="dxa"/>
              <w:bottom w:w="40" w:type="dxa"/>
              <w:right w:w="80" w:type="dxa"/>
            </w:tcMar>
          </w:tcPr>
          <w:p>
            <w:pPr>
              <w:spacing w:before="20" w:after="20" w:line="240" w:lineRule="auto"/>
            </w:pPr>
            <w:r>
              <w:rPr>
                <w:color w:val="1A202C"/>
                <w:sz w:val="20"/>
              </w:rPr>
              <w:t xml:space="preserve">Multilateral Defence Mechanism (MDM)</w:t>
            </w:r>
          </w:p>
        </w:tc>
        <w:tc>
          <w:tcPr>
            <w:tcW w:w="2707" w:type="dxa"/>
            <w:tcMar>
              <w:top w:w="40" w:type="dxa"/>
              <w:left w:w="80" w:type="dxa"/>
              <w:bottom w:w="40" w:type="dxa"/>
              <w:right w:w="80" w:type="dxa"/>
            </w:tcMar>
          </w:tcPr>
          <w:p>
            <w:pPr>
              <w:spacing w:before="20" w:after="20" w:line="240" w:lineRule="auto"/>
            </w:pPr>
            <w:r>
              <w:rPr>
                <w:color w:val="1A202C"/>
                <w:sz w:val="20"/>
              </w:rPr>
              <w:t xml:space="preserve">UK, Netherlands, Finland, Poland</w:t>
            </w:r>
          </w:p>
        </w:tc>
        <w:tc>
          <w:tcPr>
            <w:tcW w:w="4334" w:type="dxa"/>
            <w:tcMar>
              <w:top w:w="40" w:type="dxa"/>
              <w:left w:w="80" w:type="dxa"/>
              <w:bottom w:w="40" w:type="dxa"/>
              <w:right w:w="80" w:type="dxa"/>
            </w:tcMar>
          </w:tcPr>
          <w:p>
            <w:pPr>
              <w:spacing w:before="20" w:after="20" w:line="240" w:lineRule="auto"/>
            </w:pPr>
            <w:r>
              <w:rPr>
                <w:color w:val="1A202C"/>
                <w:sz w:val="20"/>
              </w:rPr>
              <w:t xml:space="preserve">Treaty-based financing model to accelerate defence investment, stimulate joint procurement, and aggregate demand; treaty negotiations target 2027. Canada gains entry through existing NATO and bilateral ties with all four founders.</w:t>
            </w:r>
          </w:p>
        </w:tc>
      </w:tr>
      <w:tr>
        <w:tc>
          <w:tcPr>
            <w:tcW w:w="1985" w:type="dxa"/>
            <w:tcMar>
              <w:top w:w="40" w:type="dxa"/>
              <w:left w:w="80" w:type="dxa"/>
              <w:bottom w:w="40" w:type="dxa"/>
              <w:right w:w="80" w:type="dxa"/>
            </w:tcMar>
          </w:tcPr>
          <w:p>
            <w:pPr>
              <w:spacing w:before="20" w:after="20" w:line="240" w:lineRule="auto"/>
            </w:pPr>
            <w:r>
              <w:rPr>
                <w:color w:val="1A202C"/>
                <w:sz w:val="20"/>
              </w:rPr>
              <w:t xml:space="preserve">EU SAFE instrument</w:t>
            </w:r>
          </w:p>
        </w:tc>
        <w:tc>
          <w:tcPr>
            <w:tcW w:w="2707" w:type="dxa"/>
            <w:tcMar>
              <w:top w:w="40" w:type="dxa"/>
              <w:left w:w="80" w:type="dxa"/>
              <w:bottom w:w="40" w:type="dxa"/>
              <w:right w:w="80" w:type="dxa"/>
            </w:tcMar>
          </w:tcPr>
          <w:p>
            <w:pPr>
              <w:spacing w:before="20" w:after="20" w:line="240" w:lineRule="auto"/>
            </w:pPr>
            <w:r>
              <w:rPr>
                <w:color w:val="1A202C"/>
                <w:sz w:val="20"/>
              </w:rPr>
              <w:t xml:space="preserve">EU members plus Canada</w:t>
            </w:r>
          </w:p>
        </w:tc>
        <w:tc>
          <w:tcPr>
            <w:tcW w:w="4334" w:type="dxa"/>
            <w:tcMar>
              <w:top w:w="40" w:type="dxa"/>
              <w:left w:w="80" w:type="dxa"/>
              <w:bottom w:w="40" w:type="dxa"/>
              <w:right w:w="80" w:type="dxa"/>
            </w:tcMar>
          </w:tcPr>
          <w:p>
            <w:pPr>
              <w:spacing w:before="20" w:after="20" w:line="240" w:lineRule="auto"/>
            </w:pPr>
            <w:r>
              <w:rPr>
                <w:color w:val="1A202C"/>
                <w:sz w:val="20"/>
              </w:rPr>
              <w:t xml:space="preserve">Procurement participation agreement signed February 2026; Canadian legal entities compete in SAFE award procedures, opening EU-funded demand to Aurora Arrow work packages.</w:t>
            </w:r>
          </w:p>
        </w:tc>
      </w:tr>
      <w:tr>
        <w:tc>
          <w:tcPr>
            <w:tcW w:w="1985" w:type="dxa"/>
            <w:tcMar>
              <w:top w:w="40" w:type="dxa"/>
              <w:left w:w="80" w:type="dxa"/>
              <w:bottom w:w="40" w:type="dxa"/>
              <w:right w:w="80" w:type="dxa"/>
            </w:tcMar>
          </w:tcPr>
          <w:p>
            <w:pPr>
              <w:spacing w:before="20" w:after="20" w:line="240" w:lineRule="auto"/>
            </w:pPr>
            <w:r>
              <w:rPr>
                <w:color w:val="1A202C"/>
                <w:sz w:val="20"/>
              </w:rPr>
              <w:t xml:space="preserve">Defence, Security and Resilience Bank (DSRB)</w:t>
            </w:r>
          </w:p>
        </w:tc>
        <w:tc>
          <w:tcPr>
            <w:tcW w:w="2707" w:type="dxa"/>
            <w:tcMar>
              <w:top w:w="40" w:type="dxa"/>
              <w:left w:w="80" w:type="dxa"/>
              <w:bottom w:w="40" w:type="dxa"/>
              <w:right w:w="80" w:type="dxa"/>
            </w:tcMar>
          </w:tcPr>
          <w:p>
            <w:pPr>
              <w:spacing w:before="20" w:after="20" w:line="240" w:lineRule="auto"/>
            </w:pPr>
            <w:r>
              <w:rPr>
                <w:color w:val="1A202C"/>
                <w:sz w:val="20"/>
              </w:rPr>
              <w:t xml:space="preserve">19 founding members, Canada-led</w:t>
            </w:r>
          </w:p>
        </w:tc>
        <w:tc>
          <w:tcPr>
            <w:tcW w:w="4334" w:type="dxa"/>
            <w:tcMar>
              <w:top w:w="40" w:type="dxa"/>
              <w:left w:w="80" w:type="dxa"/>
              <w:bottom w:w="40" w:type="dxa"/>
              <w:right w:w="80" w:type="dxa"/>
            </w:tcMar>
          </w:tcPr>
          <w:p>
            <w:pPr>
              <w:spacing w:before="20" w:after="20" w:line="240" w:lineRule="auto"/>
            </w:pPr>
            <w:r>
              <w:rPr>
                <w:color w:val="1A202C"/>
                <w:sz w:val="20"/>
              </w:rPr>
              <w:t xml:space="preserve">Multilateral lender on the World Bank template: 20% paid-in, 80% callable capital, initial balance sheet near £100B, AAA rating target. Charter negotiated in Montréal, April 2026; Canada hosts the headquarters.</w:t>
            </w:r>
          </w:p>
        </w:tc>
      </w:tr>
      <w:tr>
        <w:tc>
          <w:tcPr>
            <w:tcW w:w="1985" w:type="dxa"/>
            <w:tcMar>
              <w:top w:w="40" w:type="dxa"/>
              <w:left w:w="80" w:type="dxa"/>
              <w:bottom w:w="40" w:type="dxa"/>
              <w:right w:w="80" w:type="dxa"/>
            </w:tcMar>
          </w:tcPr>
          <w:p>
            <w:pPr>
              <w:spacing w:before="20" w:after="20" w:line="240" w:lineRule="auto"/>
            </w:pPr>
            <w:r>
              <w:rPr>
                <w:color w:val="1A202C"/>
                <w:sz w:val="20"/>
              </w:rPr>
              <w:t xml:space="preserve">US FMS cost-sharing</w:t>
            </w:r>
          </w:p>
        </w:tc>
        <w:tc>
          <w:tcPr>
            <w:tcW w:w="2707" w:type="dxa"/>
            <w:tcMar>
              <w:top w:w="40" w:type="dxa"/>
              <w:left w:w="80" w:type="dxa"/>
              <w:bottom w:w="40" w:type="dxa"/>
              <w:right w:w="80" w:type="dxa"/>
            </w:tcMar>
          </w:tcPr>
          <w:p>
            <w:pPr>
              <w:spacing w:before="20" w:after="20" w:line="240" w:lineRule="auto"/>
            </w:pPr>
            <w:r>
              <w:rPr>
                <w:color w:val="1A202C"/>
                <w:sz w:val="20"/>
              </w:rPr>
              <w:t xml:space="preserve">US plus partner nations</w:t>
            </w:r>
          </w:p>
        </w:tc>
        <w:tc>
          <w:tcPr>
            <w:tcW w:w="4334" w:type="dxa"/>
            <w:tcMar>
              <w:top w:w="40" w:type="dxa"/>
              <w:left w:w="80" w:type="dxa"/>
              <w:bottom w:w="40" w:type="dxa"/>
              <w:right w:w="80" w:type="dxa"/>
            </w:tcMar>
          </w:tcPr>
          <w:p>
            <w:pPr>
              <w:spacing w:before="20" w:after="20" w:line="240" w:lineRule="auto"/>
            </w:pPr>
            <w:r>
              <w:rPr>
                <w:color w:val="1A202C"/>
                <w:sz w:val="20"/>
              </w:rPr>
              <w:t xml:space="preserve">Pro rata cost allocation through individual Letters of Offer and Acceptance; overruns divide proportionally, and remaining partners absorb a departing partner's share. Precedent for Aurora Arrow overrun and exit rules.</w:t>
            </w:r>
          </w:p>
        </w:tc>
      </w:tr>
    </w:tbl>
    <w:p>
      <w:pPr>
        <w:spacing w:after="180" w:line="288" w:lineRule="auto"/>
      </w:pPr>
      <w:r>
        <w:rPr>
          <w:b/>
        </w:rPr>
        <w:t xml:space="preserve">GCAP governance: </w:t>
      </w:r>
      <w:r>
        <w:t xml:space="preserve">The GIGO treaty, signed in Tokyo in December 2023 and ratified by all three nations during 2024, delegates real decision-making power to the GCAP Agency. A Steering Committee with equal national representation and rotating leadership provides oversight; the Agency chief executive rotates among the founding nations every three years, with Japan's Oka Masami serving first. The treaty structure deliberately rejects the Eurofighter juste retour model, in which rigid work shares tied to initial orders produced delays and fragmentation, in favour of flexible allocation under the responsibility-to-agree principle.</w:t>
      </w:r>
    </w:p>
    <w:p>
      <w:pPr>
        <w:spacing w:after="180" w:line="288" w:lineRule="auto"/>
      </w:pPr>
      <w:r>
        <w:rPr>
          <w:b/>
        </w:rPr>
        <w:t xml:space="preserve">Partner funding evidence: </w:t>
      </w:r>
      <w:r>
        <w:t xml:space="preserve">The UK Defence Investment Plan of June 2026 commits £8.6 billion to GCAP over four years. Italy approved €8.8 billion in further funding to 2037 against an early-development estimate of €18.6 billion. Japan allocated ¥160.2 billion to next-generation fighter development in its FY2026 budget, on top of a ¥206.6 billion request the prior August. Each partner funds a roughly equal third of a program whose single-nation cost none of the three chose to carry alone.</w:t>
      </w:r>
    </w:p>
    <w:p>
      <w:pPr>
        <w:spacing w:after="180" w:line="288" w:lineRule="auto"/>
      </w:pPr>
      <w:r>
        <w:rPr>
          <w:b/>
        </w:rPr>
        <w:t xml:space="preserve">DSRB relevance: </w:t>
      </w:r>
      <w:r>
        <w:t xml:space="preserve">The Canada-led DSRB gives the Aurora coalition a financing channel no previous fighter program enjoyed. Eight additional countries (Albania, Belgium, Greece, Latvia, Luxembourg, Romania, Türkiye, and Ukraine) endorsed the bank at the July 2026 Ankara summit. AAA-rated sovereign loans and supply-chain guarantees from an institution headquartered in Canada lower the cost of capital for every partner's Aurora Arrow contribution and for the SME suppliers underneath them.</w:t>
      </w:r>
    </w:p>
    <w:p>
      <w:pPr>
        <w:pStyle w:val="Heading2"/>
      </w:pPr>
      <w:r>
        <w:t>14.2 Bilateral Cooperation Frameworks</w:t>
      </w:r>
    </w:p>
    <w:p>
      <w:pPr>
        <w:spacing w:after="180" w:line="288" w:lineRule="auto"/>
      </w:pPr>
      <w:r>
        <w:t xml:space="preserve">Two bilateral agreements signed within the past year give Canada ready-made legal channels for coalition technology exchange.</w:t>
      </w:r>
    </w:p>
    <w:tbl>
      <w:tblPr>
        <w:tblW w:w="5000" w:type="pct"/>
        <w:tblBorders>
          <w:top w:val="single" w:color="1A2744" w:sz="12"/>
          <w:left w:val="nil"/>
          <w:bottom w:val="single" w:color="1A2744" w:sz="12"/>
          <w:right w:val="nil"/>
          <w:insideH w:val="single" w:color="C8C4BC" w:sz="4"/>
          <w:insideV w:val="nil"/>
        </w:tblBorders>
      </w:tblPr>
      <w:tblGrid>
        <w:gridCol w:w="1624"/>
        <w:gridCol w:w="2707"/>
        <w:gridCol w:w="4695"/>
      </w:tblGrid>
      <w:tr>
        <w:trPr>
          <w:tblHeader/>
        </w:trPr>
        <w:tc>
          <w:tcPr>
            <w:tcW w:w="1624" w:type="dxa"/>
            <w:shd w:val="clear" w:fill="F4F2EE"/>
            <w:tcMar>
              <w:top w:w="40" w:type="dxa"/>
              <w:left w:w="80" w:type="dxa"/>
              <w:bottom w:w="40" w:type="dxa"/>
              <w:right w:w="80" w:type="dxa"/>
            </w:tcMar>
          </w:tcPr>
          <w:p>
            <w:pPr>
              <w:spacing w:before="20" w:after="20" w:line="240" w:lineRule="auto"/>
            </w:pPr>
            <w:r>
              <w:rPr>
                <w:b/>
                <w:color w:val="1A2744"/>
                <w:sz w:val="20"/>
              </w:rPr>
              <w:t xml:space="preserve">Framework</w:t>
            </w:r>
          </w:p>
        </w:tc>
        <w:tc>
          <w:tcPr>
            <w:tcW w:w="2707" w:type="dxa"/>
            <w:shd w:val="clear" w:fill="F4F2EE"/>
            <w:tcMar>
              <w:top w:w="40" w:type="dxa"/>
              <w:left w:w="80" w:type="dxa"/>
              <w:bottom w:w="40" w:type="dxa"/>
              <w:right w:w="80" w:type="dxa"/>
            </w:tcMar>
          </w:tcPr>
          <w:p>
            <w:pPr>
              <w:spacing w:before="20" w:after="20" w:line="240" w:lineRule="auto"/>
            </w:pPr>
            <w:r>
              <w:rPr>
                <w:b/>
                <w:color w:val="1A2744"/>
                <w:sz w:val="20"/>
              </w:rPr>
              <w:t xml:space="preserve">Counterpart</w:t>
            </w:r>
          </w:p>
        </w:tc>
        <w:tc>
          <w:tcPr>
            <w:tcW w:w="4695" w:type="dxa"/>
            <w:shd w:val="clear" w:fill="F4F2EE"/>
            <w:tcMar>
              <w:top w:w="40" w:type="dxa"/>
              <w:left w:w="80" w:type="dxa"/>
              <w:bottom w:w="40" w:type="dxa"/>
              <w:right w:w="80" w:type="dxa"/>
            </w:tcMar>
          </w:tcPr>
          <w:p>
            <w:pPr>
              <w:spacing w:before="20" w:after="20" w:line="240" w:lineRule="auto"/>
            </w:pPr>
            <w:r>
              <w:rPr>
                <w:b/>
                <w:color w:val="1A2744"/>
                <w:sz w:val="20"/>
              </w:rPr>
              <w:t xml:space="preserve">Content and Aurora Arrow Relevance</w:t>
            </w:r>
          </w:p>
        </w:tc>
      </w:tr>
      <w:tr>
        <w:tc>
          <w:tcPr>
            <w:tcW w:w="1624" w:type="dxa"/>
            <w:tcMar>
              <w:top w:w="40" w:type="dxa"/>
              <w:left w:w="80" w:type="dxa"/>
              <w:bottom w:w="40" w:type="dxa"/>
              <w:right w:w="80" w:type="dxa"/>
            </w:tcMar>
          </w:tcPr>
          <w:p>
            <w:pPr>
              <w:spacing w:before="20" w:after="20" w:line="240" w:lineRule="auto"/>
            </w:pPr>
            <w:r>
              <w:rPr>
                <w:color w:val="1A202C"/>
                <w:sz w:val="20"/>
              </w:rPr>
              <w:t xml:space="preserve">Equipment and Technology Transfer Agreement (ETTA)</w:t>
            </w:r>
          </w:p>
        </w:tc>
        <w:tc>
          <w:tcPr>
            <w:tcW w:w="2707" w:type="dxa"/>
            <w:tcMar>
              <w:top w:w="40" w:type="dxa"/>
              <w:left w:w="80" w:type="dxa"/>
              <w:bottom w:w="40" w:type="dxa"/>
              <w:right w:w="80" w:type="dxa"/>
            </w:tcMar>
          </w:tcPr>
          <w:p>
            <w:pPr>
              <w:spacing w:before="20" w:after="20" w:line="240" w:lineRule="auto"/>
            </w:pPr>
            <w:r>
              <w:rPr>
                <w:color w:val="1A202C"/>
                <w:sz w:val="20"/>
              </w:rPr>
              <w:t xml:space="preserve">Japan (January 2026)</w:t>
            </w:r>
          </w:p>
        </w:tc>
        <w:tc>
          <w:tcPr>
            <w:tcW w:w="4695" w:type="dxa"/>
            <w:tcMar>
              <w:top w:w="40" w:type="dxa"/>
              <w:left w:w="80" w:type="dxa"/>
              <w:bottom w:w="40" w:type="dxa"/>
              <w:right w:w="80" w:type="dxa"/>
            </w:tcMar>
          </w:tcPr>
          <w:p>
            <w:pPr>
              <w:spacing w:before="20" w:after="20" w:line="240" w:lineRule="auto"/>
            </w:pPr>
            <w:r>
              <w:rPr>
                <w:color w:val="1A202C"/>
                <w:sz w:val="20"/>
              </w:rPr>
              <w:t xml:space="preserve">Legal channel for defence equipment and technology transfers; pairs with the Security of Information Agreement for classified exchange and the Comprehensive Strategic Partnership emphasis on AI, autonomous systems, cybersecurity, and space. Direct enabler for Japanese engine and sensor work share.</w:t>
            </w:r>
          </w:p>
        </w:tc>
      </w:tr>
      <w:tr>
        <w:tc>
          <w:tcPr>
            <w:tcW w:w="1624" w:type="dxa"/>
            <w:tcMar>
              <w:top w:w="40" w:type="dxa"/>
              <w:left w:w="80" w:type="dxa"/>
              <w:bottom w:w="40" w:type="dxa"/>
              <w:right w:w="80" w:type="dxa"/>
            </w:tcMar>
          </w:tcPr>
          <w:p>
            <w:pPr>
              <w:spacing w:before="20" w:after="20" w:line="240" w:lineRule="auto"/>
            </w:pPr>
            <w:r>
              <w:rPr>
                <w:color w:val="1A202C"/>
                <w:sz w:val="20"/>
              </w:rPr>
              <w:t xml:space="preserve">Security and Defence Cooperation Partnership</w:t>
            </w:r>
          </w:p>
        </w:tc>
        <w:tc>
          <w:tcPr>
            <w:tcW w:w="2707" w:type="dxa"/>
            <w:tcMar>
              <w:top w:w="40" w:type="dxa"/>
              <w:left w:w="80" w:type="dxa"/>
              <w:bottom w:w="40" w:type="dxa"/>
              <w:right w:w="80" w:type="dxa"/>
            </w:tcMar>
          </w:tcPr>
          <w:p>
            <w:pPr>
              <w:spacing w:before="20" w:after="20" w:line="240" w:lineRule="auto"/>
            </w:pPr>
            <w:r>
              <w:rPr>
                <w:color w:val="1A202C"/>
                <w:sz w:val="20"/>
              </w:rPr>
              <w:t xml:space="preserve">Republic of Korea (October 2025)</w:t>
            </w:r>
          </w:p>
        </w:tc>
        <w:tc>
          <w:tcPr>
            <w:tcW w:w="4695" w:type="dxa"/>
            <w:tcMar>
              <w:top w:w="40" w:type="dxa"/>
              <w:left w:w="80" w:type="dxa"/>
              <w:bottom w:w="40" w:type="dxa"/>
              <w:right w:w="80" w:type="dxa"/>
            </w:tcMar>
          </w:tcPr>
          <w:p>
            <w:pPr>
              <w:spacing w:before="20" w:after="20" w:line="240" w:lineRule="auto"/>
            </w:pPr>
            <w:r>
              <w:rPr>
                <w:color w:val="1A202C"/>
                <w:sz w:val="20"/>
              </w:rPr>
              <w:t xml:space="preserve">Defence procurement and industrial security cooperation framework with a classified-information protection agreement. Supports Korean participation in aerostructures and munitions packages and Korean purchase of the Mk.VI-E.</w:t>
            </w:r>
          </w:p>
        </w:tc>
      </w:tr>
    </w:tbl>
    <w:p>
      <w:pPr>
        <w:spacing w:after="180" w:line="288" w:lineRule="auto"/>
      </w:pPr>
      <w:r>
        <w:t xml:space="preserve">These frameworks matter because coalition cost-sharing fails without legal plumbing. The ETTA and the Korea partnership remove the two most common blockers, technology release authority and classified information handling, before formal negotiations begin.</w:t>
      </w:r>
    </w:p>
    <w:p>
      <w:pPr>
        <w:pStyle w:val="Heading2"/>
      </w:pPr>
      <w:r>
        <w:t>14.3 Partner Nation Assessment</w:t>
      </w:r>
    </w:p>
    <w:p>
      <w:pPr>
        <w:spacing w:after="180" w:line="288" w:lineRule="auto"/>
      </w:pPr>
      <w:r>
        <w:t xml:space="preserve">The assessment scores eight potential partners on strategic interest, fleet replacement pressure, industrial contribution, financial capacity, and relationship depth with Canada.</w:t>
      </w:r>
    </w:p>
    <w:tbl>
      <w:tblPr>
        <w:tblW w:w="5000" w:type="pct"/>
        <w:tblBorders>
          <w:top w:val="single" w:color="1A2744" w:sz="12"/>
          <w:left w:val="nil"/>
          <w:bottom w:val="single" w:color="1A2744" w:sz="12"/>
          <w:right w:val="nil"/>
          <w:insideH w:val="single" w:color="C8C4BC" w:sz="4"/>
          <w:insideV w:val="nil"/>
        </w:tblBorders>
      </w:tblPr>
      <w:tblGrid>
        <w:gridCol w:w="1263"/>
        <w:gridCol w:w="2707"/>
        <w:gridCol w:w="2527"/>
        <w:gridCol w:w="2529"/>
      </w:tblGrid>
      <w:tr>
        <w:trPr>
          <w:tblHeader/>
        </w:trPr>
        <w:tc>
          <w:tcPr>
            <w:tcW w:w="1263" w:type="dxa"/>
            <w:shd w:val="clear" w:fill="F4F2EE"/>
            <w:tcMar>
              <w:top w:w="40" w:type="dxa"/>
              <w:left w:w="80" w:type="dxa"/>
              <w:bottom w:w="40" w:type="dxa"/>
              <w:right w:w="80" w:type="dxa"/>
            </w:tcMar>
          </w:tcPr>
          <w:p>
            <w:pPr>
              <w:spacing w:before="20" w:after="20" w:line="240" w:lineRule="auto"/>
            </w:pPr>
            <w:r>
              <w:rPr>
                <w:b/>
                <w:color w:val="1A2744"/>
                <w:sz w:val="20"/>
              </w:rPr>
              <w:t xml:space="preserve">Partner</w:t>
            </w:r>
          </w:p>
        </w:tc>
        <w:tc>
          <w:tcPr>
            <w:tcW w:w="2707" w:type="dxa"/>
            <w:shd w:val="clear" w:fill="F4F2EE"/>
            <w:tcMar>
              <w:top w:w="40" w:type="dxa"/>
              <w:left w:w="80" w:type="dxa"/>
              <w:bottom w:w="40" w:type="dxa"/>
              <w:right w:w="80" w:type="dxa"/>
            </w:tcMar>
          </w:tcPr>
          <w:p>
            <w:pPr>
              <w:spacing w:before="20" w:after="20" w:line="240" w:lineRule="auto"/>
            </w:pPr>
            <w:r>
              <w:rPr>
                <w:b/>
                <w:color w:val="1A2744"/>
                <w:sz w:val="20"/>
              </w:rPr>
              <w:t xml:space="preserve">Strategic Interest and Fleet Situation</w:t>
            </w:r>
          </w:p>
        </w:tc>
        <w:tc>
          <w:tcPr>
            <w:tcW w:w="2527" w:type="dxa"/>
            <w:shd w:val="clear" w:fill="F4F2EE"/>
            <w:tcMar>
              <w:top w:w="40" w:type="dxa"/>
              <w:left w:w="80" w:type="dxa"/>
              <w:bottom w:w="40" w:type="dxa"/>
              <w:right w:w="80" w:type="dxa"/>
            </w:tcMar>
          </w:tcPr>
          <w:p>
            <w:pPr>
              <w:spacing w:before="20" w:after="20" w:line="240" w:lineRule="auto"/>
            </w:pPr>
            <w:r>
              <w:rPr>
                <w:b/>
                <w:color w:val="1A2744"/>
                <w:sz w:val="20"/>
              </w:rPr>
              <w:t xml:space="preserve">Industrial Contribution</w:t>
            </w:r>
          </w:p>
        </w:tc>
        <w:tc>
          <w:tcPr>
            <w:tcW w:w="2529" w:type="dxa"/>
            <w:shd w:val="clear" w:fill="F4F2EE"/>
            <w:tcMar>
              <w:top w:w="40" w:type="dxa"/>
              <w:left w:w="80" w:type="dxa"/>
              <w:bottom w:w="40" w:type="dxa"/>
              <w:right w:w="80" w:type="dxa"/>
            </w:tcMar>
          </w:tcPr>
          <w:p>
            <w:pPr>
              <w:spacing w:before="20" w:after="20" w:line="240" w:lineRule="auto"/>
            </w:pPr>
            <w:r>
              <w:rPr>
                <w:b/>
                <w:color w:val="1A2744"/>
                <w:sz w:val="20"/>
              </w:rPr>
              <w:t xml:space="preserve">Assessment</w:t>
            </w:r>
          </w:p>
        </w:tc>
      </w:tr>
      <w:tr>
        <w:tc>
          <w:tcPr>
            <w:tcW w:w="1263" w:type="dxa"/>
            <w:tcMar>
              <w:top w:w="40" w:type="dxa"/>
              <w:left w:w="80" w:type="dxa"/>
              <w:bottom w:w="40" w:type="dxa"/>
              <w:right w:w="80" w:type="dxa"/>
            </w:tcMar>
          </w:tcPr>
          <w:p>
            <w:pPr>
              <w:spacing w:before="20" w:after="20" w:line="240" w:lineRule="auto"/>
            </w:pPr>
            <w:r>
              <w:rPr>
                <w:color w:val="1A202C"/>
                <w:sz w:val="20"/>
              </w:rPr>
              <w:t xml:space="preserve">Australia</w:t>
            </w:r>
          </w:p>
        </w:tc>
        <w:tc>
          <w:tcPr>
            <w:tcW w:w="2707" w:type="dxa"/>
            <w:tcMar>
              <w:top w:w="40" w:type="dxa"/>
              <w:left w:w="80" w:type="dxa"/>
              <w:bottom w:w="40" w:type="dxa"/>
              <w:right w:w="80" w:type="dxa"/>
            </w:tcMar>
          </w:tcPr>
          <w:p>
            <w:pPr>
              <w:spacing w:before="20" w:after="20" w:line="240" w:lineRule="auto"/>
            </w:pPr>
            <w:r>
              <w:rPr>
                <w:color w:val="1A202C"/>
                <w:sz w:val="20"/>
              </w:rPr>
              <w:t xml:space="preserve">F-35A and F/A-18F fleet; MQ-28 Ghost Bat is the most mature allied CCA, proven at Valiant Shield 2026; expects foreign orders</w:t>
            </w:r>
          </w:p>
        </w:tc>
        <w:tc>
          <w:tcPr>
            <w:tcW w:w="2527" w:type="dxa"/>
            <w:tcMar>
              <w:top w:w="40" w:type="dxa"/>
              <w:left w:w="80" w:type="dxa"/>
              <w:bottom w:w="40" w:type="dxa"/>
              <w:right w:w="80" w:type="dxa"/>
            </w:tcMar>
          </w:tcPr>
          <w:p>
            <w:pPr>
              <w:spacing w:before="20" w:after="20" w:line="240" w:lineRule="auto"/>
            </w:pPr>
            <w:r>
              <w:rPr>
                <w:color w:val="1A202C"/>
                <w:sz w:val="20"/>
              </w:rPr>
              <w:t xml:space="preserve">CCA autonomy, composite manufacturing, test ranges</w:t>
            </w:r>
          </w:p>
        </w:tc>
        <w:tc>
          <w:tcPr>
            <w:tcW w:w="2529" w:type="dxa"/>
            <w:tcMar>
              <w:top w:w="40" w:type="dxa"/>
              <w:left w:w="80" w:type="dxa"/>
              <w:bottom w:w="40" w:type="dxa"/>
              <w:right w:w="80" w:type="dxa"/>
            </w:tcMar>
          </w:tcPr>
          <w:p>
            <w:pPr>
              <w:spacing w:before="20" w:after="20" w:line="240" w:lineRule="auto"/>
            </w:pPr>
            <w:r>
              <w:rPr>
                <w:color w:val="1A202C"/>
                <w:sz w:val="20"/>
              </w:rPr>
              <w:t xml:space="preserve">High priority. MQ-28 family synergy creates a natural loyal-wingman package; 24 to 48 aircraft demand.</w:t>
            </w:r>
          </w:p>
        </w:tc>
      </w:tr>
      <w:tr>
        <w:tc>
          <w:tcPr>
            <w:tcW w:w="1263" w:type="dxa"/>
            <w:tcMar>
              <w:top w:w="40" w:type="dxa"/>
              <w:left w:w="80" w:type="dxa"/>
              <w:bottom w:w="40" w:type="dxa"/>
              <w:right w:w="80" w:type="dxa"/>
            </w:tcMar>
          </w:tcPr>
          <w:p>
            <w:pPr>
              <w:spacing w:before="20" w:after="20" w:line="240" w:lineRule="auto"/>
            </w:pPr>
            <w:r>
              <w:rPr>
                <w:color w:val="1A202C"/>
                <w:sz w:val="20"/>
              </w:rPr>
              <w:t xml:space="preserve">Finland</w:t>
            </w:r>
          </w:p>
        </w:tc>
        <w:tc>
          <w:tcPr>
            <w:tcW w:w="2707" w:type="dxa"/>
            <w:tcMar>
              <w:top w:w="40" w:type="dxa"/>
              <w:left w:w="80" w:type="dxa"/>
              <w:bottom w:w="40" w:type="dxa"/>
              <w:right w:w="80" w:type="dxa"/>
            </w:tcMar>
          </w:tcPr>
          <w:p>
            <w:pPr>
              <w:spacing w:before="20" w:after="20" w:line="240" w:lineRule="auto"/>
            </w:pPr>
            <w:r>
              <w:rPr>
                <w:color w:val="1A202C"/>
                <w:sz w:val="20"/>
              </w:rPr>
              <w:t xml:space="preserve">64 F-35A Block 4 delivering 2026 to 2030; Rovaniemi basing in Lapland; MDM founding member</w:t>
            </w:r>
          </w:p>
        </w:tc>
        <w:tc>
          <w:tcPr>
            <w:tcW w:w="2527" w:type="dxa"/>
            <w:tcMar>
              <w:top w:w="40" w:type="dxa"/>
              <w:left w:w="80" w:type="dxa"/>
              <w:bottom w:w="40" w:type="dxa"/>
              <w:right w:w="80" w:type="dxa"/>
            </w:tcMar>
          </w:tcPr>
          <w:p>
            <w:pPr>
              <w:spacing w:before="20" w:after="20" w:line="240" w:lineRule="auto"/>
            </w:pPr>
            <w:r>
              <w:rPr>
                <w:color w:val="1A202C"/>
                <w:sz w:val="20"/>
              </w:rPr>
              <w:t xml:space="preserve">Arctic operations expertise, dispersed operations, Patria-class aerostructures</w:t>
            </w:r>
          </w:p>
        </w:tc>
        <w:tc>
          <w:tcPr>
            <w:tcW w:w="2529" w:type="dxa"/>
            <w:tcMar>
              <w:top w:w="40" w:type="dxa"/>
              <w:left w:w="80" w:type="dxa"/>
              <w:bottom w:w="40" w:type="dxa"/>
              <w:right w:w="80" w:type="dxa"/>
            </w:tcMar>
          </w:tcPr>
          <w:p>
            <w:pPr>
              <w:spacing w:before="20" w:after="20" w:line="240" w:lineRule="auto"/>
            </w:pPr>
            <w:r>
              <w:rPr>
                <w:color w:val="1A202C"/>
                <w:sz w:val="20"/>
              </w:rPr>
              <w:t xml:space="preserve">High priority. Shares Canada's Arctic problem set; 20 to 36 aircraft as a 2037 follow-on complement.</w:t>
            </w:r>
          </w:p>
        </w:tc>
      </w:tr>
      <w:tr>
        <w:tc>
          <w:tcPr>
            <w:tcW w:w="1263" w:type="dxa"/>
            <w:tcMar>
              <w:top w:w="40" w:type="dxa"/>
              <w:left w:w="80" w:type="dxa"/>
              <w:bottom w:w="40" w:type="dxa"/>
              <w:right w:w="80" w:type="dxa"/>
            </w:tcMar>
          </w:tcPr>
          <w:p>
            <w:pPr>
              <w:spacing w:before="20" w:after="20" w:line="240" w:lineRule="auto"/>
            </w:pPr>
            <w:r>
              <w:rPr>
                <w:color w:val="1A202C"/>
                <w:sz w:val="20"/>
              </w:rPr>
              <w:t xml:space="preserve">Poland</w:t>
            </w:r>
          </w:p>
        </w:tc>
        <w:tc>
          <w:tcPr>
            <w:tcW w:w="2707" w:type="dxa"/>
            <w:tcMar>
              <w:top w:w="40" w:type="dxa"/>
              <w:left w:w="80" w:type="dxa"/>
              <w:bottom w:w="40" w:type="dxa"/>
              <w:right w:w="80" w:type="dxa"/>
            </w:tcMar>
          </w:tcPr>
          <w:p>
            <w:pPr>
              <w:spacing w:before="20" w:after="20" w:line="240" w:lineRule="auto"/>
            </w:pPr>
            <w:r>
              <w:rPr>
                <w:color w:val="1A202C"/>
                <w:sz w:val="20"/>
              </w:rPr>
              <w:t xml:space="preserve">32 F-35A with deliveries underway since spring 2026; 48 F-16 upgrading to F-16V; FA-50PL light fleet; MDM member; declared GCAP interest</w:t>
            </w:r>
          </w:p>
        </w:tc>
        <w:tc>
          <w:tcPr>
            <w:tcW w:w="2527" w:type="dxa"/>
            <w:tcMar>
              <w:top w:w="40" w:type="dxa"/>
              <w:left w:w="80" w:type="dxa"/>
              <w:bottom w:w="40" w:type="dxa"/>
              <w:right w:w="80" w:type="dxa"/>
            </w:tcMar>
          </w:tcPr>
          <w:p>
            <w:pPr>
              <w:spacing w:before="20" w:after="20" w:line="240" w:lineRule="auto"/>
            </w:pPr>
            <w:r>
              <w:rPr>
                <w:color w:val="1A202C"/>
                <w:sz w:val="20"/>
              </w:rPr>
              <w:t xml:space="preserve">Aerostructures, MRO, eastern-flank basing</w:t>
            </w:r>
          </w:p>
        </w:tc>
        <w:tc>
          <w:tcPr>
            <w:tcW w:w="2529" w:type="dxa"/>
            <w:tcMar>
              <w:top w:w="40" w:type="dxa"/>
              <w:left w:w="80" w:type="dxa"/>
              <w:bottom w:w="40" w:type="dxa"/>
              <w:right w:w="80" w:type="dxa"/>
            </w:tcMar>
          </w:tcPr>
          <w:p>
            <w:pPr>
              <w:spacing w:before="20" w:after="20" w:line="240" w:lineRule="auto"/>
            </w:pPr>
            <w:r>
              <w:rPr>
                <w:color w:val="1A202C"/>
                <w:sz w:val="20"/>
              </w:rPr>
              <w:t xml:space="preserve">High priority. Largest eastern-flank air power investor; 24 to 48 aircraft demand.</w:t>
            </w:r>
          </w:p>
        </w:tc>
      </w:tr>
      <w:tr>
        <w:tc>
          <w:tcPr>
            <w:tcW w:w="1263" w:type="dxa"/>
            <w:tcMar>
              <w:top w:w="40" w:type="dxa"/>
              <w:left w:w="80" w:type="dxa"/>
              <w:bottom w:w="40" w:type="dxa"/>
              <w:right w:w="80" w:type="dxa"/>
            </w:tcMar>
          </w:tcPr>
          <w:p>
            <w:pPr>
              <w:spacing w:before="20" w:after="20" w:line="240" w:lineRule="auto"/>
            </w:pPr>
            <w:r>
              <w:rPr>
                <w:color w:val="1A202C"/>
                <w:sz w:val="20"/>
              </w:rPr>
              <w:t xml:space="preserve">United Kingdom</w:t>
            </w:r>
          </w:p>
        </w:tc>
        <w:tc>
          <w:tcPr>
            <w:tcW w:w="2707" w:type="dxa"/>
            <w:tcMar>
              <w:top w:w="40" w:type="dxa"/>
              <w:left w:w="80" w:type="dxa"/>
              <w:bottom w:w="40" w:type="dxa"/>
              <w:right w:w="80" w:type="dxa"/>
            </w:tcMar>
          </w:tcPr>
          <w:p>
            <w:pPr>
              <w:spacing w:before="20" w:after="20" w:line="240" w:lineRule="auto"/>
            </w:pPr>
            <w:r>
              <w:rPr>
                <w:color w:val="1A202C"/>
                <w:sz w:val="20"/>
              </w:rPr>
              <w:t xml:space="preserve">GCAP lead nation; £8.6B committed; MDM lead; Tempest industrial base at Warton</w:t>
            </w:r>
          </w:p>
        </w:tc>
        <w:tc>
          <w:tcPr>
            <w:tcW w:w="2527" w:type="dxa"/>
            <w:tcMar>
              <w:top w:w="40" w:type="dxa"/>
              <w:left w:w="80" w:type="dxa"/>
              <w:bottom w:w="40" w:type="dxa"/>
              <w:right w:w="80" w:type="dxa"/>
            </w:tcMar>
          </w:tcPr>
          <w:p>
            <w:pPr>
              <w:spacing w:before="20" w:after="20" w:line="240" w:lineRule="auto"/>
            </w:pPr>
            <w:r>
              <w:rPr>
                <w:color w:val="1A202C"/>
                <w:sz w:val="20"/>
              </w:rPr>
              <w:t xml:space="preserve">Combat air design authority, Rolls-Royce adaptive engines, Team Tempest sensor stack</w:t>
            </w:r>
          </w:p>
        </w:tc>
        <w:tc>
          <w:tcPr>
            <w:tcW w:w="2529" w:type="dxa"/>
            <w:tcMar>
              <w:top w:w="40" w:type="dxa"/>
              <w:left w:w="80" w:type="dxa"/>
              <w:bottom w:w="40" w:type="dxa"/>
              <w:right w:w="80" w:type="dxa"/>
            </w:tcMar>
          </w:tcPr>
          <w:p>
            <w:pPr>
              <w:spacing w:before="20" w:after="20" w:line="240" w:lineRule="auto"/>
            </w:pPr>
            <w:r>
              <w:rPr>
                <w:color w:val="1A202C"/>
                <w:sz w:val="20"/>
              </w:rPr>
              <w:t xml:space="preserve">Anchor partner. Brings the deepest sixth-generation expertise and the governance template.</w:t>
            </w:r>
          </w:p>
        </w:tc>
      </w:tr>
      <w:tr>
        <w:tc>
          <w:tcPr>
            <w:tcW w:w="1263" w:type="dxa"/>
            <w:tcMar>
              <w:top w:w="40" w:type="dxa"/>
              <w:left w:w="80" w:type="dxa"/>
              <w:bottom w:w="40" w:type="dxa"/>
              <w:right w:w="80" w:type="dxa"/>
            </w:tcMar>
          </w:tcPr>
          <w:p>
            <w:pPr>
              <w:spacing w:before="20" w:after="20" w:line="240" w:lineRule="auto"/>
            </w:pPr>
            <w:r>
              <w:rPr>
                <w:color w:val="1A202C"/>
                <w:sz w:val="20"/>
              </w:rPr>
              <w:t xml:space="preserve">Japan</w:t>
            </w:r>
          </w:p>
        </w:tc>
        <w:tc>
          <w:tcPr>
            <w:tcW w:w="2707" w:type="dxa"/>
            <w:tcMar>
              <w:top w:w="40" w:type="dxa"/>
              <w:left w:w="80" w:type="dxa"/>
              <w:bottom w:w="40" w:type="dxa"/>
              <w:right w:w="80" w:type="dxa"/>
            </w:tcMar>
          </w:tcPr>
          <w:p>
            <w:pPr>
              <w:spacing w:before="20" w:after="20" w:line="240" w:lineRule="auto"/>
            </w:pPr>
            <w:r>
              <w:rPr>
                <w:color w:val="1A202C"/>
                <w:sz w:val="20"/>
              </w:rPr>
              <w:t xml:space="preserve">GCAP partner; first GIGO chief executive; ¥160.2B FY2026 fighter budget; ETTA with Canada</w:t>
            </w:r>
          </w:p>
        </w:tc>
        <w:tc>
          <w:tcPr>
            <w:tcW w:w="2527" w:type="dxa"/>
            <w:tcMar>
              <w:top w:w="40" w:type="dxa"/>
              <w:left w:w="80" w:type="dxa"/>
              <w:bottom w:w="40" w:type="dxa"/>
              <w:right w:w="80" w:type="dxa"/>
            </w:tcMar>
          </w:tcPr>
          <w:p>
            <w:pPr>
              <w:spacing w:before="20" w:after="20" w:line="240" w:lineRule="auto"/>
            </w:pPr>
            <w:r>
              <w:rPr>
                <w:color w:val="1A202C"/>
                <w:sz w:val="20"/>
              </w:rPr>
              <w:t xml:space="preserve">IHI adaptive engines, Mitsubishi Electric sensors, precision manufacturing</w:t>
            </w:r>
          </w:p>
        </w:tc>
        <w:tc>
          <w:tcPr>
            <w:tcW w:w="2529" w:type="dxa"/>
            <w:tcMar>
              <w:top w:w="40" w:type="dxa"/>
              <w:left w:w="80" w:type="dxa"/>
              <w:bottom w:w="40" w:type="dxa"/>
              <w:right w:w="80" w:type="dxa"/>
            </w:tcMar>
          </w:tcPr>
          <w:p>
            <w:pPr>
              <w:spacing w:before="20" w:after="20" w:line="240" w:lineRule="auto"/>
            </w:pPr>
            <w:r>
              <w:rPr>
                <w:color w:val="1A202C"/>
                <w:sz w:val="20"/>
              </w:rPr>
              <w:t xml:space="preserve">Anchor partner. Technology leader with proven equal-share funding behaviour.</w:t>
            </w:r>
          </w:p>
        </w:tc>
      </w:tr>
      <w:tr>
        <w:tc>
          <w:tcPr>
            <w:tcW w:w="1263" w:type="dxa"/>
            <w:tcMar>
              <w:top w:w="40" w:type="dxa"/>
              <w:left w:w="80" w:type="dxa"/>
              <w:bottom w:w="40" w:type="dxa"/>
              <w:right w:w="80" w:type="dxa"/>
            </w:tcMar>
          </w:tcPr>
          <w:p>
            <w:pPr>
              <w:spacing w:before="20" w:after="20" w:line="240" w:lineRule="auto"/>
            </w:pPr>
            <w:r>
              <w:rPr>
                <w:color w:val="1A202C"/>
                <w:sz w:val="20"/>
              </w:rPr>
              <w:t xml:space="preserve">Italy</w:t>
            </w:r>
          </w:p>
        </w:tc>
        <w:tc>
          <w:tcPr>
            <w:tcW w:w="2707" w:type="dxa"/>
            <w:tcMar>
              <w:top w:w="40" w:type="dxa"/>
              <w:left w:w="80" w:type="dxa"/>
              <w:bottom w:w="40" w:type="dxa"/>
              <w:right w:w="80" w:type="dxa"/>
            </w:tcMar>
          </w:tcPr>
          <w:p>
            <w:pPr>
              <w:spacing w:before="20" w:after="20" w:line="240" w:lineRule="auto"/>
            </w:pPr>
            <w:r>
              <w:rPr>
                <w:color w:val="1A202C"/>
                <w:sz w:val="20"/>
              </w:rPr>
              <w:t xml:space="preserve">GCAP partner; €8.8B to 2037; Leonardo and Avio Aero</w:t>
            </w:r>
          </w:p>
        </w:tc>
        <w:tc>
          <w:tcPr>
            <w:tcW w:w="2527" w:type="dxa"/>
            <w:tcMar>
              <w:top w:w="40" w:type="dxa"/>
              <w:left w:w="80" w:type="dxa"/>
              <w:bottom w:w="40" w:type="dxa"/>
              <w:right w:w="80" w:type="dxa"/>
            </w:tcMar>
          </w:tcPr>
          <w:p>
            <w:pPr>
              <w:spacing w:before="20" w:after="20" w:line="240" w:lineRule="auto"/>
            </w:pPr>
            <w:r>
              <w:rPr>
                <w:color w:val="1A202C"/>
                <w:sz w:val="20"/>
              </w:rPr>
              <w:t xml:space="preserve">Electronics, engines, aerostructures</w:t>
            </w:r>
          </w:p>
        </w:tc>
        <w:tc>
          <w:tcPr>
            <w:tcW w:w="2529" w:type="dxa"/>
            <w:tcMar>
              <w:top w:w="40" w:type="dxa"/>
              <w:left w:w="80" w:type="dxa"/>
              <w:bottom w:w="40" w:type="dxa"/>
              <w:right w:w="80" w:type="dxa"/>
            </w:tcMar>
          </w:tcPr>
          <w:p>
            <w:pPr>
              <w:spacing w:before="20" w:after="20" w:line="240" w:lineRule="auto"/>
            </w:pPr>
            <w:r>
              <w:rPr>
                <w:color w:val="1A202C"/>
                <w:sz w:val="20"/>
              </w:rPr>
              <w:t xml:space="preserve">Engage through the GCAP track rather than bilaterally.</w:t>
            </w:r>
          </w:p>
        </w:tc>
      </w:tr>
      <w:tr>
        <w:tc>
          <w:tcPr>
            <w:tcW w:w="1263" w:type="dxa"/>
            <w:tcMar>
              <w:top w:w="40" w:type="dxa"/>
              <w:left w:w="80" w:type="dxa"/>
              <w:bottom w:w="40" w:type="dxa"/>
              <w:right w:w="80" w:type="dxa"/>
            </w:tcMar>
          </w:tcPr>
          <w:p>
            <w:pPr>
              <w:spacing w:before="20" w:after="20" w:line="240" w:lineRule="auto"/>
            </w:pPr>
            <w:r>
              <w:rPr>
                <w:color w:val="1A202C"/>
                <w:sz w:val="20"/>
              </w:rPr>
              <w:t xml:space="preserve">Netherlands</w:t>
            </w:r>
          </w:p>
        </w:tc>
        <w:tc>
          <w:tcPr>
            <w:tcW w:w="2707" w:type="dxa"/>
            <w:tcMar>
              <w:top w:w="40" w:type="dxa"/>
              <w:left w:w="80" w:type="dxa"/>
              <w:bottom w:w="40" w:type="dxa"/>
              <w:right w:w="80" w:type="dxa"/>
            </w:tcMar>
          </w:tcPr>
          <w:p>
            <w:pPr>
              <w:spacing w:before="20" w:after="20" w:line="240" w:lineRule="auto"/>
            </w:pPr>
            <w:r>
              <w:rPr>
                <w:color w:val="1A202C"/>
                <w:sz w:val="20"/>
              </w:rPr>
              <w:t xml:space="preserve">F-35 operator; MDM founding member; defence innovation focus</w:t>
            </w:r>
          </w:p>
        </w:tc>
        <w:tc>
          <w:tcPr>
            <w:tcW w:w="2527" w:type="dxa"/>
            <w:tcMar>
              <w:top w:w="40" w:type="dxa"/>
              <w:left w:w="80" w:type="dxa"/>
              <w:bottom w:w="40" w:type="dxa"/>
              <w:right w:w="80" w:type="dxa"/>
            </w:tcMar>
          </w:tcPr>
          <w:p>
            <w:pPr>
              <w:spacing w:before="20" w:after="20" w:line="240" w:lineRule="auto"/>
            </w:pPr>
            <w:r>
              <w:rPr>
                <w:color w:val="1A202C"/>
                <w:sz w:val="20"/>
              </w:rPr>
              <w:t xml:space="preserve">Components, MRO, high-value supply chain</w:t>
            </w:r>
          </w:p>
        </w:tc>
        <w:tc>
          <w:tcPr>
            <w:tcW w:w="2529" w:type="dxa"/>
            <w:tcMar>
              <w:top w:w="40" w:type="dxa"/>
              <w:left w:w="80" w:type="dxa"/>
              <w:bottom w:w="40" w:type="dxa"/>
              <w:right w:w="80" w:type="dxa"/>
            </w:tcMar>
          </w:tcPr>
          <w:p>
            <w:pPr>
              <w:spacing w:before="20" w:after="20" w:line="240" w:lineRule="auto"/>
            </w:pPr>
            <w:r>
              <w:rPr>
                <w:color w:val="1A202C"/>
                <w:sz w:val="20"/>
              </w:rPr>
              <w:t xml:space="preserve">Second tier. MDM membership gives a financing entry point.</w:t>
            </w:r>
          </w:p>
        </w:tc>
      </w:tr>
      <w:tr>
        <w:tc>
          <w:tcPr>
            <w:tcW w:w="1263" w:type="dxa"/>
            <w:tcMar>
              <w:top w:w="40" w:type="dxa"/>
              <w:left w:w="80" w:type="dxa"/>
              <w:bottom w:w="40" w:type="dxa"/>
              <w:right w:w="80" w:type="dxa"/>
            </w:tcMar>
          </w:tcPr>
          <w:p>
            <w:pPr>
              <w:spacing w:before="20" w:after="20" w:line="240" w:lineRule="auto"/>
            </w:pPr>
            <w:r>
              <w:rPr>
                <w:color w:val="1A202C"/>
                <w:sz w:val="20"/>
              </w:rPr>
              <w:t xml:space="preserve">Germany</w:t>
            </w:r>
          </w:p>
        </w:tc>
        <w:tc>
          <w:tcPr>
            <w:tcW w:w="2707" w:type="dxa"/>
            <w:tcMar>
              <w:top w:w="40" w:type="dxa"/>
              <w:left w:w="80" w:type="dxa"/>
              <w:bottom w:w="40" w:type="dxa"/>
              <w:right w:w="80" w:type="dxa"/>
            </w:tcMar>
          </w:tcPr>
          <w:p>
            <w:pPr>
              <w:spacing w:before="20" w:after="20" w:line="240" w:lineRule="auto"/>
            </w:pPr>
            <w:r>
              <w:rPr>
                <w:color w:val="1A202C"/>
                <w:sz w:val="20"/>
              </w:rPr>
              <w:t xml:space="preserve">FCAS-committed; largest European defence industrial base</w:t>
            </w:r>
          </w:p>
        </w:tc>
        <w:tc>
          <w:tcPr>
            <w:tcW w:w="2527" w:type="dxa"/>
            <w:tcMar>
              <w:top w:w="40" w:type="dxa"/>
              <w:left w:w="80" w:type="dxa"/>
              <w:bottom w:w="40" w:type="dxa"/>
              <w:right w:w="80" w:type="dxa"/>
            </w:tcMar>
          </w:tcPr>
          <w:p>
            <w:pPr>
              <w:spacing w:before="20" w:after="20" w:line="240" w:lineRule="auto"/>
            </w:pPr>
            <w:r>
              <w:rPr>
                <w:color w:val="1A202C"/>
                <w:sz w:val="20"/>
              </w:rPr>
              <w:t xml:space="preserve">Full-spectrum capability</w:t>
            </w:r>
          </w:p>
        </w:tc>
        <w:tc>
          <w:tcPr>
            <w:tcW w:w="2529" w:type="dxa"/>
            <w:tcMar>
              <w:top w:w="40" w:type="dxa"/>
              <w:left w:w="80" w:type="dxa"/>
              <w:bottom w:w="40" w:type="dxa"/>
              <w:right w:w="80" w:type="dxa"/>
            </w:tcMar>
          </w:tcPr>
          <w:p>
            <w:pPr>
              <w:spacing w:before="20" w:after="20" w:line="240" w:lineRule="auto"/>
            </w:pPr>
            <w:r>
              <w:rPr>
                <w:color w:val="1A202C"/>
                <w:sz w:val="20"/>
              </w:rPr>
              <w:t xml:space="preserve">Low priority for the core coalition; FCAS competes for the same funding line.</w:t>
            </w:r>
          </w:p>
        </w:tc>
      </w:tr>
    </w:tbl>
    <w:p>
      <w:pPr>
        <w:spacing w:after="180" w:line="288" w:lineRule="auto"/>
      </w:pPr>
      <w:r>
        <w:rPr>
          <w:b/>
        </w:rPr>
        <w:t xml:space="preserve">Selection logic: </w:t>
      </w:r>
      <w:r>
        <w:t xml:space="preserve">The recommended coalition pairs two anchor partners with deep sixth-generation programs (United Kingdom, Japan) and two capability partners whose requirements match the aircraft's design point (Australia for CCA teaming, Finland for Arctic operations). Poland joins as a production and MRO partner in Phase 2. This structure keeps the core group at four, small enough for GIGO-style speed, large enough to halve Canada's development bill.</w:t>
      </w:r>
    </w:p>
    <w:p>
      <w:r>
        <w:br w:type="page"/>
      </w:r>
    </w:p>
    <w:p>
      <w:pPr>
        <w:pStyle w:val="Heading1"/>
      </w:pPr>
      <w:r>
        <w:t>PART XV: COALITION ARCHITECTURE AND FUNDING SCENARIOS</w:t>
      </w:r>
    </w:p>
    <w:p>
      <w:pPr>
        <w:pStyle w:val="Heading2"/>
      </w:pPr>
      <w:r>
        <w:t>15.1 Work Share Allocation Models</w:t>
      </w:r>
    </w:p>
    <w:tbl>
      <w:tblPr>
        <w:tblW w:w="5000" w:type="pct"/>
        <w:tblBorders>
          <w:top w:val="single" w:color="1A2744" w:sz="12"/>
          <w:left w:val="nil"/>
          <w:bottom w:val="single" w:color="1A2744" w:sz="12"/>
          <w:right w:val="nil"/>
          <w:insideH w:val="single" w:color="C8C4BC" w:sz="4"/>
          <w:insideV w:val="nil"/>
        </w:tblBorders>
      </w:tblPr>
      <w:tblGrid>
        <w:gridCol w:w="1805"/>
        <w:gridCol w:w="3610"/>
        <w:gridCol w:w="3611"/>
      </w:tblGrid>
      <w:tr>
        <w:trPr>
          <w:tblHeader/>
        </w:trPr>
        <w:tc>
          <w:tcPr>
            <w:tcW w:w="1805" w:type="dxa"/>
            <w:shd w:val="clear" w:fill="F4F2EE"/>
            <w:tcMar>
              <w:top w:w="40" w:type="dxa"/>
              <w:left w:w="80" w:type="dxa"/>
              <w:bottom w:w="40" w:type="dxa"/>
              <w:right w:w="80" w:type="dxa"/>
            </w:tcMar>
          </w:tcPr>
          <w:p>
            <w:pPr>
              <w:spacing w:before="20" w:after="20" w:line="240" w:lineRule="auto"/>
            </w:pPr>
            <w:r>
              <w:rPr>
                <w:b/>
                <w:color w:val="1A2744"/>
                <w:sz w:val="20"/>
              </w:rPr>
              <w:t xml:space="preserve">Model</w:t>
            </w:r>
          </w:p>
        </w:tc>
        <w:tc>
          <w:tcPr>
            <w:tcW w:w="3610" w:type="dxa"/>
            <w:shd w:val="clear" w:fill="F4F2EE"/>
            <w:tcMar>
              <w:top w:w="40" w:type="dxa"/>
              <w:left w:w="80" w:type="dxa"/>
              <w:bottom w:w="40" w:type="dxa"/>
              <w:right w:w="80" w:type="dxa"/>
            </w:tcMar>
          </w:tcPr>
          <w:p>
            <w:pPr>
              <w:spacing w:before="20" w:after="20" w:line="240" w:lineRule="auto"/>
            </w:pPr>
            <w:r>
              <w:rPr>
                <w:b/>
                <w:color w:val="1A2744"/>
                <w:sz w:val="20"/>
              </w:rPr>
              <w:t xml:space="preserve">Mechanics</w:t>
            </w:r>
          </w:p>
        </w:tc>
        <w:tc>
          <w:tcPr>
            <w:tcW w:w="3611" w:type="dxa"/>
            <w:shd w:val="clear" w:fill="F4F2EE"/>
            <w:tcMar>
              <w:top w:w="40" w:type="dxa"/>
              <w:left w:w="80" w:type="dxa"/>
              <w:bottom w:w="40" w:type="dxa"/>
              <w:right w:w="80" w:type="dxa"/>
            </w:tcMar>
          </w:tcPr>
          <w:p>
            <w:pPr>
              <w:spacing w:before="20" w:after="20" w:line="240" w:lineRule="auto"/>
            </w:pPr>
            <w:r>
              <w:rPr>
                <w:b/>
                <w:color w:val="1A2744"/>
                <w:sz w:val="20"/>
              </w:rPr>
              <w:t xml:space="preserve">Verdict for the Aurora Coalition</w:t>
            </w:r>
          </w:p>
        </w:tc>
      </w:tr>
      <w:tr>
        <w:tc>
          <w:tcPr>
            <w:tcW w:w="1805" w:type="dxa"/>
            <w:tcMar>
              <w:top w:w="40" w:type="dxa"/>
              <w:left w:w="80" w:type="dxa"/>
              <w:bottom w:w="40" w:type="dxa"/>
              <w:right w:w="80" w:type="dxa"/>
            </w:tcMar>
          </w:tcPr>
          <w:p>
            <w:pPr>
              <w:spacing w:before="20" w:after="20" w:line="240" w:lineRule="auto"/>
            </w:pPr>
            <w:r>
              <w:rPr>
                <w:color w:val="1A202C"/>
                <w:sz w:val="20"/>
              </w:rPr>
              <w:t xml:space="preserve">Proportional</w:t>
            </w:r>
          </w:p>
        </w:tc>
        <w:tc>
          <w:tcPr>
            <w:tcW w:w="3610" w:type="dxa"/>
            <w:tcMar>
              <w:top w:w="40" w:type="dxa"/>
              <w:left w:w="80" w:type="dxa"/>
              <w:bottom w:w="40" w:type="dxa"/>
              <w:right w:w="80" w:type="dxa"/>
            </w:tcMar>
          </w:tcPr>
          <w:p>
            <w:pPr>
              <w:spacing w:before="20" w:after="20" w:line="240" w:lineRule="auto"/>
            </w:pPr>
            <w:r>
              <w:rPr>
                <w:color w:val="1A202C"/>
                <w:sz w:val="20"/>
              </w:rPr>
              <w:t xml:space="preserve">Funding and work share match procurement quantity; partner funding 30% receives 30% of work</w:t>
            </w:r>
          </w:p>
        </w:tc>
        <w:tc>
          <w:tcPr>
            <w:tcW w:w="3611" w:type="dxa"/>
            <w:tcMar>
              <w:top w:w="40" w:type="dxa"/>
              <w:left w:w="80" w:type="dxa"/>
              <w:bottom w:w="40" w:type="dxa"/>
              <w:right w:w="80" w:type="dxa"/>
            </w:tcMar>
          </w:tcPr>
          <w:p>
            <w:pPr>
              <w:spacing w:before="20" w:after="20" w:line="240" w:lineRule="auto"/>
            </w:pPr>
            <w:r>
              <w:rPr>
                <w:color w:val="1A202C"/>
                <w:sz w:val="20"/>
              </w:rPr>
              <w:t xml:space="preserve">Simple to negotiate but repeats the Eurofighter juste retour failure: rigid shares drift from actual orders over a 40-year program.</w:t>
            </w:r>
          </w:p>
        </w:tc>
      </w:tr>
      <w:tr>
        <w:tc>
          <w:tcPr>
            <w:tcW w:w="1805" w:type="dxa"/>
            <w:tcMar>
              <w:top w:w="40" w:type="dxa"/>
              <w:left w:w="80" w:type="dxa"/>
              <w:bottom w:w="40" w:type="dxa"/>
              <w:right w:w="80" w:type="dxa"/>
            </w:tcMar>
          </w:tcPr>
          <w:p>
            <w:pPr>
              <w:spacing w:before="20" w:after="20" w:line="240" w:lineRule="auto"/>
            </w:pPr>
            <w:r>
              <w:rPr>
                <w:color w:val="1A202C"/>
                <w:sz w:val="20"/>
              </w:rPr>
              <w:t xml:space="preserve">Specialization</w:t>
            </w:r>
          </w:p>
        </w:tc>
        <w:tc>
          <w:tcPr>
            <w:tcW w:w="3610" w:type="dxa"/>
            <w:tcMar>
              <w:top w:w="40" w:type="dxa"/>
              <w:left w:w="80" w:type="dxa"/>
              <w:bottom w:w="40" w:type="dxa"/>
              <w:right w:w="80" w:type="dxa"/>
            </w:tcMar>
          </w:tcPr>
          <w:p>
            <w:pPr>
              <w:spacing w:before="20" w:after="20" w:line="240" w:lineRule="auto"/>
            </w:pPr>
            <w:r>
              <w:rPr>
                <w:color w:val="1A202C"/>
                <w:sz w:val="20"/>
              </w:rPr>
              <w:t xml:space="preserve">Each partner leads packages matching its industrial strengths: UK propulsion, Japan sensors, Canada avionics and Arctic integration</w:t>
            </w:r>
          </w:p>
        </w:tc>
        <w:tc>
          <w:tcPr>
            <w:tcW w:w="3611" w:type="dxa"/>
            <w:tcMar>
              <w:top w:w="40" w:type="dxa"/>
              <w:left w:w="80" w:type="dxa"/>
              <w:bottom w:w="40" w:type="dxa"/>
              <w:right w:w="80" w:type="dxa"/>
            </w:tcMar>
          </w:tcPr>
          <w:p>
            <w:pPr>
              <w:spacing w:before="20" w:after="20" w:line="240" w:lineRule="auto"/>
            </w:pPr>
            <w:r>
              <w:rPr>
                <w:color w:val="1A202C"/>
                <w:sz w:val="20"/>
              </w:rPr>
              <w:t xml:space="preserve">Maximizes quality and speed; risks domestic political friction where a partner's funding exceeds its visible work.</w:t>
            </w:r>
          </w:p>
        </w:tc>
      </w:tr>
      <w:tr>
        <w:tc>
          <w:tcPr>
            <w:tcW w:w="1805" w:type="dxa"/>
            <w:tcMar>
              <w:top w:w="40" w:type="dxa"/>
              <w:left w:w="80" w:type="dxa"/>
              <w:bottom w:w="40" w:type="dxa"/>
              <w:right w:w="80" w:type="dxa"/>
            </w:tcMar>
          </w:tcPr>
          <w:p>
            <w:pPr>
              <w:spacing w:before="20" w:after="20" w:line="240" w:lineRule="auto"/>
            </w:pPr>
            <w:r>
              <w:rPr>
                <w:color w:val="1A202C"/>
                <w:sz w:val="20"/>
              </w:rPr>
              <w:t xml:space="preserve">Hybrid (recommended)</w:t>
            </w:r>
          </w:p>
        </w:tc>
        <w:tc>
          <w:tcPr>
            <w:tcW w:w="3610" w:type="dxa"/>
            <w:tcMar>
              <w:top w:w="40" w:type="dxa"/>
              <w:left w:w="80" w:type="dxa"/>
              <w:bottom w:w="40" w:type="dxa"/>
              <w:right w:w="80" w:type="dxa"/>
            </w:tcMar>
          </w:tcPr>
          <w:p>
            <w:pPr>
              <w:spacing w:before="20" w:after="20" w:line="240" w:lineRule="auto"/>
            </w:pPr>
            <w:r>
              <w:rPr>
                <w:color w:val="1A202C"/>
                <w:sz w:val="20"/>
              </w:rPr>
              <w:t xml:space="preserve">Funding proportional to procurement; work share optimized by strength inside agreed bands (90% to 110% of funding share), with SME offsets for smaller partners</w:t>
            </w:r>
          </w:p>
        </w:tc>
        <w:tc>
          <w:tcPr>
            <w:tcW w:w="3611" w:type="dxa"/>
            <w:tcMar>
              <w:top w:w="40" w:type="dxa"/>
              <w:left w:w="80" w:type="dxa"/>
              <w:bottom w:w="40" w:type="dxa"/>
              <w:right w:w="80" w:type="dxa"/>
            </w:tcMar>
          </w:tcPr>
          <w:p>
            <w:pPr>
              <w:spacing w:before="20" w:after="20" w:line="240" w:lineRule="auto"/>
            </w:pPr>
            <w:r>
              <w:rPr>
                <w:color w:val="1A202C"/>
                <w:sz w:val="20"/>
              </w:rPr>
              <w:t xml:space="preserve">Mirrors the GCAP flexible-workshare approach endorsed by the UK Defence Committee; balances efficiency with juste retour politics.</w:t>
            </w:r>
          </w:p>
        </w:tc>
      </w:tr>
    </w:tbl>
    <w:p>
      <w:pPr>
        <w:spacing w:after="180" w:line="288" w:lineRule="auto"/>
      </w:pPr>
      <w:r>
        <w:t xml:space="preserve">Under the hybrid model, Canada funds 50% of development in the four-partner scenario and holds a 55% to 60% work share, the premium reflecting Canada's role as design authority and final-assembly host, balanced by partner premiums in propulsion and sensors.</w:t>
      </w:r>
    </w:p>
    <w:p>
      <w:pPr>
        <w:pStyle w:val="Heading2"/>
      </w:pPr>
      <w:r>
        <w:t>15.2 Production, Sustainment, and Export Revenue Sharing</w:t>
      </w:r>
    </w:p>
    <w:p>
      <w:pPr>
        <w:spacing w:after="180" w:line="288" w:lineRule="auto"/>
      </w:pPr>
      <w:r>
        <w:rPr>
          <w:b/>
        </w:rPr>
        <w:t xml:space="preserve">Production: </w:t>
      </w:r>
      <w:r>
        <w:t xml:space="preserve">The coalition fleet of 384 aircraft (204 RCAF, 180 partner) assembles on two lines. Mirabel serves as the primary final-assembly line at peak rate 24 per year; a partner line (Warton or Nagoya, following the GCAP co-location precedent) opens in 2035 at rate 12 per year for partner aircraft. Dual lines cost roughly $1.8 billion in duplicated tooling, recovered through a 6% learning-curve improvement on the combined run and through supply-chain resilience that the Ukraine experience proved essential.</w:t>
      </w:r>
    </w:p>
    <w:p>
      <w:pPr>
        <w:spacing w:after="180" w:line="288" w:lineRule="auto"/>
      </w:pPr>
      <w:r>
        <w:rPr>
          <w:b/>
        </w:rPr>
        <w:t xml:space="preserve">Sustainment: </w:t>
      </w:r>
      <w:r>
        <w:t xml:space="preserve">Three regional hubs share fleet support: Mirabel for North America and the Arctic, a European hub (Poland or Finland) for NATO-flank operators, and an Indo-Pacific hub (Australia or Japan). Common spares pool under a pro rata formula; each operator funds its own flying hours, and the hub nations capture the associated MRO employment, worth approximately 40% of the $1.9 billion annual sustainment economy to Canada.</w:t>
      </w:r>
    </w:p>
    <w:p>
      <w:pPr>
        <w:spacing w:after="180" w:line="288" w:lineRule="auto"/>
      </w:pPr>
      <w:r>
        <w:rPr>
          <w:b/>
        </w:rPr>
        <w:t xml:space="preserve">Export revenue: </w:t>
      </w:r>
      <w:r>
        <w:t xml:space="preserve">Mk.VI-E export sales distribute revenue pro rata to work share, with a 5-point design-authority premium to Canada and a 3-point marketing credit to the partner that secures the customer. Export receipts credit against each partner's development contribution, so every export aircraft lowers every partner's net program cost. At the moderate export scenario ($8.0 billion), Canada nets approximately $4.4 billion against its $16.5 billion development share.</w:t>
      </w:r>
    </w:p>
    <w:p>
      <w:pPr>
        <w:pStyle w:val="Heading2"/>
      </w:pPr>
      <w:r>
        <w:t>15.3 Governance, IP, and Risk Management</w:t>
      </w:r>
    </w:p>
    <w:p>
      <w:pPr>
        <w:spacing w:after="180" w:line="288" w:lineRule="auto"/>
      </w:pPr>
      <w:r>
        <w:rPr>
          <w:b/>
        </w:rPr>
        <w:t xml:space="preserve">Recommended structure: </w:t>
      </w:r>
      <w:r>
        <w:t xml:space="preserve">A GIGO-style treaty organization, the Aurora International Programme Office (AIPO), pairs with an Edgewing-style industrial joint venture, Arrow Coalition Industries, owned by the national champions. The AIPO Steering Committee seats one delegation per partner with rotating leadership; decisions on the technical baseline take consensus, while production and sustainment decisions take weighted voting by funding share. Canada holds the veto on changes to mission systems, autonomy, and Arctic integration, the sovereignty core.</w:t>
      </w:r>
    </w:p>
    <w:tbl>
      <w:tblPr>
        <w:tblW w:w="5000" w:type="pct"/>
        <w:tblBorders>
          <w:top w:val="single" w:color="1A2744" w:sz="12"/>
          <w:left w:val="nil"/>
          <w:bottom w:val="single" w:color="1A2744" w:sz="12"/>
          <w:right w:val="nil"/>
          <w:insideH w:val="single" w:color="C8C4BC" w:sz="4"/>
          <w:insideV w:val="nil"/>
        </w:tblBorders>
      </w:tblPr>
      <w:tblGrid>
        <w:gridCol w:w="2346"/>
        <w:gridCol w:w="6680"/>
      </w:tblGrid>
      <w:tr>
        <w:trPr>
          <w:tblHeader/>
        </w:trPr>
        <w:tc>
          <w:tcPr>
            <w:tcW w:w="2346" w:type="dxa"/>
            <w:shd w:val="clear" w:fill="F4F2EE"/>
            <w:tcMar>
              <w:top w:w="40" w:type="dxa"/>
              <w:left w:w="80" w:type="dxa"/>
              <w:bottom w:w="40" w:type="dxa"/>
              <w:right w:w="80" w:type="dxa"/>
            </w:tcMar>
          </w:tcPr>
          <w:p>
            <w:pPr>
              <w:spacing w:before="20" w:after="20" w:line="240" w:lineRule="auto"/>
            </w:pPr>
            <w:r>
              <w:rPr>
                <w:b/>
                <w:color w:val="1A2744"/>
                <w:sz w:val="20"/>
              </w:rPr>
              <w:t xml:space="preserve">Governance Element</w:t>
            </w:r>
          </w:p>
        </w:tc>
        <w:tc>
          <w:tcPr>
            <w:tcW w:w="6680" w:type="dxa"/>
            <w:shd w:val="clear" w:fill="F4F2EE"/>
            <w:tcMar>
              <w:top w:w="40" w:type="dxa"/>
              <w:left w:w="80" w:type="dxa"/>
              <w:bottom w:w="40" w:type="dxa"/>
              <w:right w:w="80" w:type="dxa"/>
            </w:tcMar>
          </w:tcPr>
          <w:p>
            <w:pPr>
              <w:spacing w:before="20" w:after="20" w:line="240" w:lineRule="auto"/>
            </w:pPr>
            <w:r>
              <w:rPr>
                <w:b/>
                <w:color w:val="1A2744"/>
                <w:sz w:val="20"/>
              </w:rPr>
              <w:t xml:space="preserve">Recommended Rule</w:t>
            </w:r>
          </w:p>
        </w:tc>
      </w:tr>
      <w:tr>
        <w:tc>
          <w:tcPr>
            <w:tcW w:w="2346" w:type="dxa"/>
            <w:tcMar>
              <w:top w:w="40" w:type="dxa"/>
              <w:left w:w="80" w:type="dxa"/>
              <w:bottom w:w="40" w:type="dxa"/>
              <w:right w:w="80" w:type="dxa"/>
            </w:tcMar>
          </w:tcPr>
          <w:p>
            <w:pPr>
              <w:spacing w:before="20" w:after="20" w:line="240" w:lineRule="auto"/>
            </w:pPr>
            <w:r>
              <w:rPr>
                <w:color w:val="1A202C"/>
                <w:sz w:val="20"/>
              </w:rPr>
              <w:t xml:space="preserve">Design authority</w:t>
            </w:r>
          </w:p>
        </w:tc>
        <w:tc>
          <w:tcPr>
            <w:tcW w:w="6680" w:type="dxa"/>
            <w:tcMar>
              <w:top w:w="40" w:type="dxa"/>
              <w:left w:w="80" w:type="dxa"/>
              <w:bottom w:w="40" w:type="dxa"/>
              <w:right w:w="80" w:type="dxa"/>
            </w:tcMar>
          </w:tcPr>
          <w:p>
            <w:pPr>
              <w:spacing w:before="20" w:after="20" w:line="240" w:lineRule="auto"/>
            </w:pPr>
            <w:r>
              <w:rPr>
                <w:color w:val="1A202C"/>
                <w:sz w:val="20"/>
              </w:rPr>
              <w:t xml:space="preserve">Canada retains design authority for the air vehicle, mission systems, and ECHO autonomy; partners hold package-level authority for their specializations</w:t>
            </w:r>
          </w:p>
        </w:tc>
      </w:tr>
      <w:tr>
        <w:tc>
          <w:tcPr>
            <w:tcW w:w="2346" w:type="dxa"/>
            <w:tcMar>
              <w:top w:w="40" w:type="dxa"/>
              <w:left w:w="80" w:type="dxa"/>
              <w:bottom w:w="40" w:type="dxa"/>
              <w:right w:w="80" w:type="dxa"/>
            </w:tcMar>
          </w:tcPr>
          <w:p>
            <w:pPr>
              <w:spacing w:before="20" w:after="20" w:line="240" w:lineRule="auto"/>
            </w:pPr>
            <w:r>
              <w:rPr>
                <w:color w:val="1A202C"/>
                <w:sz w:val="20"/>
              </w:rPr>
              <w:t xml:space="preserve">Intellectual property</w:t>
            </w:r>
          </w:p>
        </w:tc>
        <w:tc>
          <w:tcPr>
            <w:tcW w:w="6680" w:type="dxa"/>
            <w:tcMar>
              <w:top w:w="40" w:type="dxa"/>
              <w:left w:w="80" w:type="dxa"/>
              <w:bottom w:w="40" w:type="dxa"/>
              <w:right w:w="80" w:type="dxa"/>
            </w:tcMar>
          </w:tcPr>
          <w:p>
            <w:pPr>
              <w:spacing w:before="20" w:after="20" w:line="240" w:lineRule="auto"/>
            </w:pPr>
            <w:r>
              <w:rPr>
                <w:color w:val="1A202C"/>
                <w:sz w:val="20"/>
              </w:rPr>
              <w:t xml:space="preserve">Foreground IP pools inside the coalition; background IP stays with its owner; export licensing of pooled IP takes Steering Committee consensus</w:t>
            </w:r>
          </w:p>
        </w:tc>
      </w:tr>
      <w:tr>
        <w:tc>
          <w:tcPr>
            <w:tcW w:w="2346" w:type="dxa"/>
            <w:tcMar>
              <w:top w:w="40" w:type="dxa"/>
              <w:left w:w="80" w:type="dxa"/>
              <w:bottom w:w="40" w:type="dxa"/>
              <w:right w:w="80" w:type="dxa"/>
            </w:tcMar>
          </w:tcPr>
          <w:p>
            <w:pPr>
              <w:spacing w:before="20" w:after="20" w:line="240" w:lineRule="auto"/>
            </w:pPr>
            <w:r>
              <w:rPr>
                <w:color w:val="1A202C"/>
                <w:sz w:val="20"/>
              </w:rPr>
              <w:t xml:space="preserve">Cost overruns</w:t>
            </w:r>
          </w:p>
        </w:tc>
        <w:tc>
          <w:tcPr>
            <w:tcW w:w="6680" w:type="dxa"/>
            <w:tcMar>
              <w:top w:w="40" w:type="dxa"/>
              <w:left w:w="80" w:type="dxa"/>
              <w:bottom w:w="40" w:type="dxa"/>
              <w:right w:w="80" w:type="dxa"/>
            </w:tcMar>
          </w:tcPr>
          <w:p>
            <w:pPr>
              <w:spacing w:before="20" w:after="20" w:line="240" w:lineRule="auto"/>
            </w:pPr>
            <w:r>
              <w:rPr>
                <w:color w:val="1A202C"/>
                <w:sz w:val="20"/>
              </w:rPr>
              <w:t xml:space="preserve">FMS-style pro rata sharing: overruns divide by funding share, with a 10% threshold triggering gate review before any partner funds more</w:t>
            </w:r>
          </w:p>
        </w:tc>
      </w:tr>
      <w:tr>
        <w:tc>
          <w:tcPr>
            <w:tcW w:w="2346" w:type="dxa"/>
            <w:tcMar>
              <w:top w:w="40" w:type="dxa"/>
              <w:left w:w="80" w:type="dxa"/>
              <w:bottom w:w="40" w:type="dxa"/>
              <w:right w:w="80" w:type="dxa"/>
            </w:tcMar>
          </w:tcPr>
          <w:p>
            <w:pPr>
              <w:spacing w:before="20" w:after="20" w:line="240" w:lineRule="auto"/>
            </w:pPr>
            <w:r>
              <w:rPr>
                <w:color w:val="1A202C"/>
                <w:sz w:val="20"/>
              </w:rPr>
              <w:t xml:space="preserve">Technology shortfall</w:t>
            </w:r>
          </w:p>
        </w:tc>
        <w:tc>
          <w:tcPr>
            <w:tcW w:w="6680" w:type="dxa"/>
            <w:tcMar>
              <w:top w:w="40" w:type="dxa"/>
              <w:left w:w="80" w:type="dxa"/>
              <w:bottom w:w="40" w:type="dxa"/>
              <w:right w:w="80" w:type="dxa"/>
            </w:tcMar>
          </w:tcPr>
          <w:p>
            <w:pPr>
              <w:spacing w:before="20" w:after="20" w:line="240" w:lineRule="auto"/>
            </w:pPr>
            <w:r>
              <w:rPr>
                <w:color w:val="1A202C"/>
                <w:sz w:val="20"/>
              </w:rPr>
              <w:t xml:space="preserve">Package lead bears first responsibility; coalition reallocation with compensating work share if a package fails to mature</w:t>
            </w:r>
          </w:p>
        </w:tc>
      </w:tr>
      <w:tr>
        <w:tc>
          <w:tcPr>
            <w:tcW w:w="2346" w:type="dxa"/>
            <w:tcMar>
              <w:top w:w="40" w:type="dxa"/>
              <w:left w:w="80" w:type="dxa"/>
              <w:bottom w:w="40" w:type="dxa"/>
              <w:right w:w="80" w:type="dxa"/>
            </w:tcMar>
          </w:tcPr>
          <w:p>
            <w:pPr>
              <w:spacing w:before="20" w:after="20" w:line="240" w:lineRule="auto"/>
            </w:pPr>
            <w:r>
              <w:rPr>
                <w:color w:val="1A202C"/>
                <w:sz w:val="20"/>
              </w:rPr>
              <w:t xml:space="preserve">Partner exit</w:t>
            </w:r>
          </w:p>
        </w:tc>
        <w:tc>
          <w:tcPr>
            <w:tcW w:w="6680" w:type="dxa"/>
            <w:tcMar>
              <w:top w:w="40" w:type="dxa"/>
              <w:left w:w="80" w:type="dxa"/>
              <w:bottom w:w="40" w:type="dxa"/>
              <w:right w:w="80" w:type="dxa"/>
            </w:tcMar>
          </w:tcPr>
          <w:p>
            <w:pPr>
              <w:spacing w:before="20" w:after="20" w:line="240" w:lineRule="auto"/>
            </w:pPr>
            <w:r>
              <w:rPr>
                <w:color w:val="1A202C"/>
                <w:sz w:val="20"/>
              </w:rPr>
              <w:t xml:space="preserve">Departing partner forfeits sunk development contributions, retains production rights for aircraft already ordered, and loses pooled-IP access for future blocks</w:t>
            </w:r>
          </w:p>
        </w:tc>
      </w:tr>
      <w:tr>
        <w:tc>
          <w:tcPr>
            <w:tcW w:w="2346" w:type="dxa"/>
            <w:tcMar>
              <w:top w:w="40" w:type="dxa"/>
              <w:left w:w="80" w:type="dxa"/>
              <w:bottom w:w="40" w:type="dxa"/>
              <w:right w:w="80" w:type="dxa"/>
            </w:tcMar>
          </w:tcPr>
          <w:p>
            <w:pPr>
              <w:spacing w:before="20" w:after="20" w:line="240" w:lineRule="auto"/>
            </w:pPr>
            <w:r>
              <w:rPr>
                <w:color w:val="1A202C"/>
                <w:sz w:val="20"/>
              </w:rPr>
              <w:t xml:space="preserve">Partner entry</w:t>
            </w:r>
          </w:p>
        </w:tc>
        <w:tc>
          <w:tcPr>
            <w:tcW w:w="6680" w:type="dxa"/>
            <w:tcMar>
              <w:top w:w="40" w:type="dxa"/>
              <w:left w:w="80" w:type="dxa"/>
              <w:bottom w:w="40" w:type="dxa"/>
              <w:right w:w="80" w:type="dxa"/>
            </w:tcMar>
          </w:tcPr>
          <w:p>
            <w:pPr>
              <w:spacing w:before="20" w:after="20" w:line="240" w:lineRule="auto"/>
            </w:pPr>
            <w:r>
              <w:rPr>
                <w:color w:val="1A202C"/>
                <w:sz w:val="20"/>
              </w:rPr>
              <w:t xml:space="preserve">New members enter as junior partners with unanimous Steering Committee approval, following the GCAP accession model; entry fee credits incumbents pro rata</w:t>
            </w:r>
          </w:p>
        </w:tc>
      </w:tr>
      <w:tr>
        <w:tc>
          <w:tcPr>
            <w:tcW w:w="2346" w:type="dxa"/>
            <w:tcMar>
              <w:top w:w="40" w:type="dxa"/>
              <w:left w:w="80" w:type="dxa"/>
              <w:bottom w:w="40" w:type="dxa"/>
              <w:right w:w="80" w:type="dxa"/>
            </w:tcMar>
          </w:tcPr>
          <w:p>
            <w:pPr>
              <w:spacing w:before="20" w:after="20" w:line="240" w:lineRule="auto"/>
            </w:pPr>
            <w:r>
              <w:rPr>
                <w:color w:val="1A202C"/>
                <w:sz w:val="20"/>
              </w:rPr>
              <w:t xml:space="preserve">Currency risk</w:t>
            </w:r>
          </w:p>
        </w:tc>
        <w:tc>
          <w:tcPr>
            <w:tcW w:w="6680" w:type="dxa"/>
            <w:tcMar>
              <w:top w:w="40" w:type="dxa"/>
              <w:left w:w="80" w:type="dxa"/>
              <w:bottom w:w="40" w:type="dxa"/>
              <w:right w:w="80" w:type="dxa"/>
            </w:tcMar>
          </w:tcPr>
          <w:p>
            <w:pPr>
              <w:spacing w:before="20" w:after="20" w:line="240" w:lineRule="auto"/>
            </w:pPr>
            <w:r>
              <w:rPr>
                <w:color w:val="1A202C"/>
                <w:sz w:val="20"/>
              </w:rPr>
              <w:t xml:space="preserve">Development accounts denominated in a currency basket weighted to funding shares; production contracts hedge at each lot</w:t>
            </w:r>
          </w:p>
        </w:tc>
      </w:tr>
    </w:tbl>
    <w:p>
      <w:pPr>
        <w:spacing w:after="180" w:line="288" w:lineRule="auto"/>
      </w:pPr>
      <w:r>
        <w:t xml:space="preserve">The exit rule follows the FMS principle that remaining partners absorb a departing partner's share, but adds the GCAP treaty's political friction: treaty ratification by every member makes withdrawal a parliamentary act in each country, the same mechanism that stabilizes the trilateral program.</w:t>
      </w:r>
    </w:p>
    <w:p>
      <w:pPr>
        <w:pStyle w:val="Heading2"/>
      </w:pPr>
      <w:r>
        <w:t>15.4 Jobs and Industrial Impact Across the Coalition</w:t>
      </w:r>
    </w:p>
    <w:tbl>
      <w:tblPr>
        <w:tblW w:w="5000" w:type="pct"/>
        <w:tblBorders>
          <w:top w:val="single" w:color="1A2744" w:sz="12"/>
          <w:left w:val="nil"/>
          <w:bottom w:val="single" w:color="1A2744" w:sz="12"/>
          <w:right w:val="nil"/>
          <w:insideH w:val="single" w:color="C8C4BC" w:sz="4"/>
          <w:insideV w:val="nil"/>
        </w:tblBorders>
      </w:tblPr>
      <w:tblGrid>
        <w:gridCol w:w="1805"/>
        <w:gridCol w:w="1444"/>
        <w:gridCol w:w="1805"/>
        <w:gridCol w:w="3972"/>
      </w:tblGrid>
      <w:tr>
        <w:trPr>
          <w:tblHeader/>
        </w:trPr>
        <w:tc>
          <w:tcPr>
            <w:tcW w:w="1805" w:type="dxa"/>
            <w:shd w:val="clear" w:fill="F4F2EE"/>
            <w:tcMar>
              <w:top w:w="40" w:type="dxa"/>
              <w:left w:w="80" w:type="dxa"/>
              <w:bottom w:w="40" w:type="dxa"/>
              <w:right w:w="80" w:type="dxa"/>
            </w:tcMar>
          </w:tcPr>
          <w:p>
            <w:pPr>
              <w:spacing w:before="20" w:after="20" w:line="240" w:lineRule="auto"/>
            </w:pPr>
            <w:r>
              <w:rPr>
                <w:b/>
                <w:color w:val="1A2744"/>
                <w:sz w:val="20"/>
              </w:rPr>
              <w:t xml:space="preserve">Partner</w:t>
            </w:r>
          </w:p>
        </w:tc>
        <w:tc>
          <w:tcPr>
            <w:tcW w:w="1444" w:type="dxa"/>
            <w:shd w:val="clear" w:fill="F4F2EE"/>
            <w:tcMar>
              <w:top w:w="40" w:type="dxa"/>
              <w:left w:w="80" w:type="dxa"/>
              <w:bottom w:w="40" w:type="dxa"/>
              <w:right w:w="80" w:type="dxa"/>
            </w:tcMar>
          </w:tcPr>
          <w:p>
            <w:pPr>
              <w:spacing w:before="20" w:after="20" w:line="240" w:lineRule="auto"/>
            </w:pPr>
            <w:r>
              <w:rPr>
                <w:b/>
                <w:color w:val="1A2744"/>
                <w:sz w:val="20"/>
              </w:rPr>
              <w:t xml:space="preserve">Peak Direct Jobs</w:t>
            </w:r>
          </w:p>
        </w:tc>
        <w:tc>
          <w:tcPr>
            <w:tcW w:w="1805" w:type="dxa"/>
            <w:shd w:val="clear" w:fill="F4F2EE"/>
            <w:tcMar>
              <w:top w:w="40" w:type="dxa"/>
              <w:left w:w="80" w:type="dxa"/>
              <w:bottom w:w="40" w:type="dxa"/>
              <w:right w:w="80" w:type="dxa"/>
            </w:tcMar>
          </w:tcPr>
          <w:p>
            <w:pPr>
              <w:spacing w:before="20" w:after="20" w:line="240" w:lineRule="auto"/>
            </w:pPr>
            <w:r>
              <w:rPr>
                <w:b/>
                <w:color w:val="1A2744"/>
                <w:sz w:val="20"/>
              </w:rPr>
              <w:t xml:space="preserve">Aircraft</w:t>
            </w:r>
          </w:p>
        </w:tc>
        <w:tc>
          <w:tcPr>
            <w:tcW w:w="3972" w:type="dxa"/>
            <w:shd w:val="clear" w:fill="F4F2EE"/>
            <w:tcMar>
              <w:top w:w="40" w:type="dxa"/>
              <w:left w:w="80" w:type="dxa"/>
              <w:bottom w:w="40" w:type="dxa"/>
              <w:right w:w="80" w:type="dxa"/>
            </w:tcMar>
          </w:tcPr>
          <w:p>
            <w:pPr>
              <w:spacing w:before="20" w:after="20" w:line="240" w:lineRule="auto"/>
            </w:pPr>
            <w:r>
              <w:rPr>
                <w:b/>
                <w:color w:val="1A2744"/>
                <w:sz w:val="20"/>
              </w:rPr>
              <w:t xml:space="preserve">Primary Work Packages</w:t>
            </w:r>
          </w:p>
        </w:tc>
      </w:tr>
      <w:tr>
        <w:tc>
          <w:tcPr>
            <w:tcW w:w="1805" w:type="dxa"/>
            <w:tcMar>
              <w:top w:w="40" w:type="dxa"/>
              <w:left w:w="80" w:type="dxa"/>
              <w:bottom w:w="40" w:type="dxa"/>
              <w:right w:w="80" w:type="dxa"/>
            </w:tcMar>
          </w:tcPr>
          <w:p>
            <w:pPr>
              <w:spacing w:before="20" w:after="20" w:line="240" w:lineRule="auto"/>
            </w:pPr>
            <w:r>
              <w:rPr>
                <w:color w:val="1A202C"/>
                <w:sz w:val="20"/>
              </w:rPr>
              <w:t xml:space="preserve">Canada</w:t>
            </w:r>
          </w:p>
        </w:tc>
        <w:tc>
          <w:tcPr>
            <w:tcW w:w="1444" w:type="dxa"/>
            <w:tcMar>
              <w:top w:w="40" w:type="dxa"/>
              <w:left w:w="80" w:type="dxa"/>
              <w:bottom w:w="40" w:type="dxa"/>
              <w:right w:w="80" w:type="dxa"/>
            </w:tcMar>
          </w:tcPr>
          <w:p>
            <w:pPr>
              <w:spacing w:before="20" w:after="20" w:line="240" w:lineRule="auto"/>
            </w:pPr>
            <w:r>
              <w:rPr>
                <w:color w:val="1A202C"/>
                <w:sz w:val="20"/>
              </w:rPr>
              <w:t xml:space="preserve">14,600</w:t>
            </w:r>
          </w:p>
        </w:tc>
        <w:tc>
          <w:tcPr>
            <w:tcW w:w="1805" w:type="dxa"/>
            <w:tcMar>
              <w:top w:w="40" w:type="dxa"/>
              <w:left w:w="80" w:type="dxa"/>
              <w:bottom w:w="40" w:type="dxa"/>
              <w:right w:w="80" w:type="dxa"/>
            </w:tcMar>
          </w:tcPr>
          <w:p>
            <w:pPr>
              <w:spacing w:before="20" w:after="20" w:line="240" w:lineRule="auto"/>
            </w:pPr>
            <w:r>
              <w:rPr>
                <w:color w:val="1A202C"/>
                <w:sz w:val="20"/>
              </w:rPr>
              <w:t xml:space="preserve">204</w:t>
            </w:r>
          </w:p>
        </w:tc>
        <w:tc>
          <w:tcPr>
            <w:tcW w:w="3972" w:type="dxa"/>
            <w:tcMar>
              <w:top w:w="40" w:type="dxa"/>
              <w:left w:w="80" w:type="dxa"/>
              <w:bottom w:w="40" w:type="dxa"/>
              <w:right w:w="80" w:type="dxa"/>
            </w:tcMar>
          </w:tcPr>
          <w:p>
            <w:pPr>
              <w:spacing w:before="20" w:after="20" w:line="240" w:lineRule="auto"/>
            </w:pPr>
            <w:r>
              <w:rPr>
                <w:color w:val="1A202C"/>
                <w:sz w:val="20"/>
              </w:rPr>
              <w:t xml:space="preserve">Final assembly, mission systems, ECHO autonomy, Arctic integration, coating, battery and power electronics</w:t>
            </w:r>
          </w:p>
        </w:tc>
      </w:tr>
      <w:tr>
        <w:tc>
          <w:tcPr>
            <w:tcW w:w="1805" w:type="dxa"/>
            <w:tcMar>
              <w:top w:w="40" w:type="dxa"/>
              <w:left w:w="80" w:type="dxa"/>
              <w:bottom w:w="40" w:type="dxa"/>
              <w:right w:w="80" w:type="dxa"/>
            </w:tcMar>
          </w:tcPr>
          <w:p>
            <w:pPr>
              <w:spacing w:before="20" w:after="20" w:line="240" w:lineRule="auto"/>
            </w:pPr>
            <w:r>
              <w:rPr>
                <w:color w:val="1A202C"/>
                <w:sz w:val="20"/>
              </w:rPr>
              <w:t xml:space="preserve">United Kingdom</w:t>
            </w:r>
          </w:p>
        </w:tc>
        <w:tc>
          <w:tcPr>
            <w:tcW w:w="1444" w:type="dxa"/>
            <w:tcMar>
              <w:top w:w="40" w:type="dxa"/>
              <w:left w:w="80" w:type="dxa"/>
              <w:bottom w:w="40" w:type="dxa"/>
              <w:right w:w="80" w:type="dxa"/>
            </w:tcMar>
          </w:tcPr>
          <w:p>
            <w:pPr>
              <w:spacing w:before="20" w:after="20" w:line="240" w:lineRule="auto"/>
            </w:pPr>
            <w:r>
              <w:rPr>
                <w:color w:val="1A202C"/>
                <w:sz w:val="20"/>
              </w:rPr>
              <w:t xml:space="preserve">2,400</w:t>
            </w:r>
          </w:p>
        </w:tc>
        <w:tc>
          <w:tcPr>
            <w:tcW w:w="1805" w:type="dxa"/>
            <w:tcMar>
              <w:top w:w="40" w:type="dxa"/>
              <w:left w:w="80" w:type="dxa"/>
              <w:bottom w:w="40" w:type="dxa"/>
              <w:right w:w="80" w:type="dxa"/>
            </w:tcMar>
          </w:tcPr>
          <w:p>
            <w:pPr>
              <w:spacing w:before="20" w:after="20" w:line="240" w:lineRule="auto"/>
            </w:pPr>
            <w:r>
              <w:rPr>
                <w:color w:val="1A202C"/>
                <w:sz w:val="20"/>
              </w:rPr>
              <w:t xml:space="preserve">60</w:t>
            </w:r>
          </w:p>
        </w:tc>
        <w:tc>
          <w:tcPr>
            <w:tcW w:w="3972" w:type="dxa"/>
            <w:tcMar>
              <w:top w:w="40" w:type="dxa"/>
              <w:left w:w="80" w:type="dxa"/>
              <w:bottom w:w="40" w:type="dxa"/>
              <w:right w:w="80" w:type="dxa"/>
            </w:tcMar>
          </w:tcPr>
          <w:p>
            <w:pPr>
              <w:spacing w:before="20" w:after="20" w:line="240" w:lineRule="auto"/>
            </w:pPr>
            <w:r>
              <w:rPr>
                <w:color w:val="1A202C"/>
                <w:sz w:val="20"/>
              </w:rPr>
              <w:t xml:space="preserve">Adaptive engine core (Rolls-Royce), second final-assembly line (Warton), Team Tempest sensor linkages</w:t>
            </w:r>
          </w:p>
        </w:tc>
      </w:tr>
      <w:tr>
        <w:tc>
          <w:tcPr>
            <w:tcW w:w="1805" w:type="dxa"/>
            <w:tcMar>
              <w:top w:w="40" w:type="dxa"/>
              <w:left w:w="80" w:type="dxa"/>
              <w:bottom w:w="40" w:type="dxa"/>
              <w:right w:w="80" w:type="dxa"/>
            </w:tcMar>
          </w:tcPr>
          <w:p>
            <w:pPr>
              <w:spacing w:before="20" w:after="20" w:line="240" w:lineRule="auto"/>
            </w:pPr>
            <w:r>
              <w:rPr>
                <w:color w:val="1A202C"/>
                <w:sz w:val="20"/>
              </w:rPr>
              <w:t xml:space="preserve">Japan</w:t>
            </w:r>
          </w:p>
        </w:tc>
        <w:tc>
          <w:tcPr>
            <w:tcW w:w="1444" w:type="dxa"/>
            <w:tcMar>
              <w:top w:w="40" w:type="dxa"/>
              <w:left w:w="80" w:type="dxa"/>
              <w:bottom w:w="40" w:type="dxa"/>
              <w:right w:w="80" w:type="dxa"/>
            </w:tcMar>
          </w:tcPr>
          <w:p>
            <w:pPr>
              <w:spacing w:before="20" w:after="20" w:line="240" w:lineRule="auto"/>
            </w:pPr>
            <w:r>
              <w:rPr>
                <w:color w:val="1A202C"/>
                <w:sz w:val="20"/>
              </w:rPr>
              <w:t xml:space="preserve">2,100</w:t>
            </w:r>
          </w:p>
        </w:tc>
        <w:tc>
          <w:tcPr>
            <w:tcW w:w="1805" w:type="dxa"/>
            <w:tcMar>
              <w:top w:w="40" w:type="dxa"/>
              <w:left w:w="80" w:type="dxa"/>
              <w:bottom w:w="40" w:type="dxa"/>
              <w:right w:w="80" w:type="dxa"/>
            </w:tcMar>
          </w:tcPr>
          <w:p>
            <w:pPr>
              <w:spacing w:before="20" w:after="20" w:line="240" w:lineRule="auto"/>
            </w:pPr>
            <w:r>
              <w:rPr>
                <w:color w:val="1A202C"/>
                <w:sz w:val="20"/>
              </w:rPr>
              <w:t xml:space="preserve">48</w:t>
            </w:r>
          </w:p>
        </w:tc>
        <w:tc>
          <w:tcPr>
            <w:tcW w:w="3972" w:type="dxa"/>
            <w:tcMar>
              <w:top w:w="40" w:type="dxa"/>
              <w:left w:w="80" w:type="dxa"/>
              <w:bottom w:w="40" w:type="dxa"/>
              <w:right w:w="80" w:type="dxa"/>
            </w:tcMar>
          </w:tcPr>
          <w:p>
            <w:pPr>
              <w:spacing w:before="20" w:after="20" w:line="240" w:lineRule="auto"/>
            </w:pPr>
            <w:r>
              <w:rPr>
                <w:color w:val="1A202C"/>
                <w:sz w:val="20"/>
              </w:rPr>
              <w:t xml:space="preserve">IHI engine modules, Mitsubishi Electric sensor production, precision structures</w:t>
            </w:r>
          </w:p>
        </w:tc>
      </w:tr>
      <w:tr>
        <w:tc>
          <w:tcPr>
            <w:tcW w:w="1805" w:type="dxa"/>
            <w:tcMar>
              <w:top w:w="40" w:type="dxa"/>
              <w:left w:w="80" w:type="dxa"/>
              <w:bottom w:w="40" w:type="dxa"/>
              <w:right w:w="80" w:type="dxa"/>
            </w:tcMar>
          </w:tcPr>
          <w:p>
            <w:pPr>
              <w:spacing w:before="20" w:after="20" w:line="240" w:lineRule="auto"/>
            </w:pPr>
            <w:r>
              <w:rPr>
                <w:color w:val="1A202C"/>
                <w:sz w:val="20"/>
              </w:rPr>
              <w:t xml:space="preserve">Australia</w:t>
            </w:r>
          </w:p>
        </w:tc>
        <w:tc>
          <w:tcPr>
            <w:tcW w:w="1444" w:type="dxa"/>
            <w:tcMar>
              <w:top w:w="40" w:type="dxa"/>
              <w:left w:w="80" w:type="dxa"/>
              <w:bottom w:w="40" w:type="dxa"/>
              <w:right w:w="80" w:type="dxa"/>
            </w:tcMar>
          </w:tcPr>
          <w:p>
            <w:pPr>
              <w:spacing w:before="20" w:after="20" w:line="240" w:lineRule="auto"/>
            </w:pPr>
            <w:r>
              <w:rPr>
                <w:color w:val="1A202C"/>
                <w:sz w:val="20"/>
              </w:rPr>
              <w:t xml:space="preserve">1,300</w:t>
            </w:r>
          </w:p>
        </w:tc>
        <w:tc>
          <w:tcPr>
            <w:tcW w:w="1805" w:type="dxa"/>
            <w:tcMar>
              <w:top w:w="40" w:type="dxa"/>
              <w:left w:w="80" w:type="dxa"/>
              <w:bottom w:w="40" w:type="dxa"/>
              <w:right w:w="80" w:type="dxa"/>
            </w:tcMar>
          </w:tcPr>
          <w:p>
            <w:pPr>
              <w:spacing w:before="20" w:after="20" w:line="240" w:lineRule="auto"/>
            </w:pPr>
            <w:r>
              <w:rPr>
                <w:color w:val="1A202C"/>
                <w:sz w:val="20"/>
              </w:rPr>
              <w:t xml:space="preserve">48</w:t>
            </w:r>
          </w:p>
        </w:tc>
        <w:tc>
          <w:tcPr>
            <w:tcW w:w="3972" w:type="dxa"/>
            <w:tcMar>
              <w:top w:w="40" w:type="dxa"/>
              <w:left w:w="80" w:type="dxa"/>
              <w:bottom w:w="40" w:type="dxa"/>
              <w:right w:w="80" w:type="dxa"/>
            </w:tcMar>
          </w:tcPr>
          <w:p>
            <w:pPr>
              <w:spacing w:before="20" w:after="20" w:line="240" w:lineRule="auto"/>
            </w:pPr>
            <w:r>
              <w:rPr>
                <w:color w:val="1A202C"/>
                <w:sz w:val="20"/>
              </w:rPr>
              <w:t xml:space="preserve">CCA integration and autonomy test, composite assemblies, Woomera-class test operations</w:t>
            </w:r>
          </w:p>
        </w:tc>
      </w:tr>
      <w:tr>
        <w:tc>
          <w:tcPr>
            <w:tcW w:w="1805" w:type="dxa"/>
            <w:tcMar>
              <w:top w:w="40" w:type="dxa"/>
              <w:left w:w="80" w:type="dxa"/>
              <w:bottom w:w="40" w:type="dxa"/>
              <w:right w:w="80" w:type="dxa"/>
            </w:tcMar>
          </w:tcPr>
          <w:p>
            <w:pPr>
              <w:spacing w:before="20" w:after="20" w:line="240" w:lineRule="auto"/>
            </w:pPr>
            <w:r>
              <w:rPr>
                <w:color w:val="1A202C"/>
                <w:sz w:val="20"/>
              </w:rPr>
              <w:t xml:space="preserve">Finland</w:t>
            </w:r>
          </w:p>
        </w:tc>
        <w:tc>
          <w:tcPr>
            <w:tcW w:w="1444" w:type="dxa"/>
            <w:tcMar>
              <w:top w:w="40" w:type="dxa"/>
              <w:left w:w="80" w:type="dxa"/>
              <w:bottom w:w="40" w:type="dxa"/>
              <w:right w:w="80" w:type="dxa"/>
            </w:tcMar>
          </w:tcPr>
          <w:p>
            <w:pPr>
              <w:spacing w:before="20" w:after="20" w:line="240" w:lineRule="auto"/>
            </w:pPr>
            <w:r>
              <w:rPr>
                <w:color w:val="1A202C"/>
                <w:sz w:val="20"/>
              </w:rPr>
              <w:t xml:space="preserve">700</w:t>
            </w:r>
          </w:p>
        </w:tc>
        <w:tc>
          <w:tcPr>
            <w:tcW w:w="1805" w:type="dxa"/>
            <w:tcMar>
              <w:top w:w="40" w:type="dxa"/>
              <w:left w:w="80" w:type="dxa"/>
              <w:bottom w:w="40" w:type="dxa"/>
              <w:right w:w="80" w:type="dxa"/>
            </w:tcMar>
          </w:tcPr>
          <w:p>
            <w:pPr>
              <w:spacing w:before="20" w:after="20" w:line="240" w:lineRule="auto"/>
            </w:pPr>
            <w:r>
              <w:rPr>
                <w:color w:val="1A202C"/>
                <w:sz w:val="20"/>
              </w:rPr>
              <w:t xml:space="preserve">24</w:t>
            </w:r>
          </w:p>
        </w:tc>
        <w:tc>
          <w:tcPr>
            <w:tcW w:w="3972" w:type="dxa"/>
            <w:tcMar>
              <w:top w:w="40" w:type="dxa"/>
              <w:left w:w="80" w:type="dxa"/>
              <w:bottom w:w="40" w:type="dxa"/>
              <w:right w:w="80" w:type="dxa"/>
            </w:tcMar>
          </w:tcPr>
          <w:p>
            <w:pPr>
              <w:spacing w:before="20" w:after="20" w:line="240" w:lineRule="auto"/>
            </w:pPr>
            <w:r>
              <w:rPr>
                <w:color w:val="1A202C"/>
                <w:sz w:val="20"/>
              </w:rPr>
              <w:t xml:space="preserve">Arctic operations package, dispersed-operations support, Patria-class aerostructures</w:t>
            </w:r>
          </w:p>
        </w:tc>
      </w:tr>
      <w:tr>
        <w:tc>
          <w:tcPr>
            <w:tcW w:w="1805" w:type="dxa"/>
            <w:tcMar>
              <w:top w:w="40" w:type="dxa"/>
              <w:left w:w="80" w:type="dxa"/>
              <w:bottom w:w="40" w:type="dxa"/>
              <w:right w:w="80" w:type="dxa"/>
            </w:tcMar>
          </w:tcPr>
          <w:p>
            <w:pPr>
              <w:spacing w:before="20" w:after="20" w:line="240" w:lineRule="auto"/>
            </w:pPr>
            <w:r>
              <w:rPr>
                <w:b/>
                <w:color w:val="1A202C"/>
                <w:sz w:val="20"/>
              </w:rPr>
              <w:t xml:space="preserve">COALITION TOTAL</w:t>
            </w:r>
          </w:p>
        </w:tc>
        <w:tc>
          <w:tcPr>
            <w:tcW w:w="1444" w:type="dxa"/>
            <w:tcMar>
              <w:top w:w="40" w:type="dxa"/>
              <w:left w:w="80" w:type="dxa"/>
              <w:bottom w:w="40" w:type="dxa"/>
              <w:right w:w="80" w:type="dxa"/>
            </w:tcMar>
          </w:tcPr>
          <w:p>
            <w:pPr>
              <w:spacing w:before="20" w:after="20" w:line="240" w:lineRule="auto"/>
            </w:pPr>
            <w:r>
              <w:rPr>
                <w:b/>
                <w:color w:val="1A202C"/>
                <w:sz w:val="20"/>
              </w:rPr>
              <w:t xml:space="preserve">21,100</w:t>
            </w:r>
          </w:p>
        </w:tc>
        <w:tc>
          <w:tcPr>
            <w:tcW w:w="1805" w:type="dxa"/>
            <w:tcMar>
              <w:top w:w="40" w:type="dxa"/>
              <w:left w:w="80" w:type="dxa"/>
              <w:bottom w:w="40" w:type="dxa"/>
              <w:right w:w="80" w:type="dxa"/>
            </w:tcMar>
          </w:tcPr>
          <w:p>
            <w:pPr>
              <w:spacing w:before="20" w:after="20" w:line="240" w:lineRule="auto"/>
            </w:pPr>
            <w:r>
              <w:rPr>
                <w:b/>
                <w:color w:val="1A202C"/>
                <w:sz w:val="20"/>
              </w:rPr>
              <w:t xml:space="preserve">384</w:t>
            </w:r>
          </w:p>
        </w:tc>
        <w:tc>
          <w:tcPr>
            <w:tcW w:w="3972" w:type="dxa"/>
            <w:tcMar>
              <w:top w:w="40" w:type="dxa"/>
              <w:left w:w="80" w:type="dxa"/>
              <w:bottom w:w="40" w:type="dxa"/>
              <w:right w:w="80" w:type="dxa"/>
            </w:tcMar>
          </w:tcPr>
          <w:p>
            <w:pPr>
              <w:spacing w:before="20" w:after="20" w:line="240" w:lineRule="auto"/>
            </w:pPr>
            <w:r>
              <w:rPr>
                <w:b/>
                <w:color w:val="1A202C"/>
                <w:sz w:val="20"/>
              </w:rPr>
              <w:t xml:space="preserve">Five-nation production and sustainment network</w:t>
            </w:r>
          </w:p>
        </w:tc>
      </w:tr>
    </w:tbl>
    <w:p>
      <w:pPr>
        <w:pStyle w:val="Caption"/>
      </w:pPr>
      <w:r>
        <w:t xml:space="preserve">Model estimates at peak production, 2035 to 2038, using the ISED jobs-to-spending ratio of roughly 2,050 direct jobs per $1B of annual program revenue, allocated by work share.</w:t>
      </w:r>
    </w:p>
    <w:p>
      <w:pPr>
        <w:spacing w:after="180" w:line="288" w:lineRule="auto"/>
      </w:pPr>
      <w:r>
        <w:t xml:space="preserve">Canada trades a modest slice of the national-scenario peak (12,000 direct jobs) for a larger absolute number (14,600) because the coalition run of 384 aircraft more than doubles the production flowing through Canadian lines. Partner nations gain comparable political assets: 2,400 UK jobs reinforce the Warton combat-air cluster, and 2,100 Japanese jobs extend the GIGO employment base that Tokyo already funds.</w:t>
      </w:r>
    </w:p>
    <w:p>
      <w:pPr>
        <w:pStyle w:val="Heading2"/>
      </w:pPr>
      <w:r>
        <w:t>15.5 Funding Scenario Analysis</w:t>
      </w:r>
    </w:p>
    <w:tbl>
      <w:tblPr>
        <w:tblW w:w="5000" w:type="pct"/>
        <w:tblBorders>
          <w:top w:val="single" w:color="1A2744" w:sz="12"/>
          <w:left w:val="nil"/>
          <w:bottom w:val="single" w:color="1A2744" w:sz="12"/>
          <w:right w:val="nil"/>
          <w:insideH w:val="single" w:color="C8C4BC" w:sz="4"/>
          <w:insideV w:val="nil"/>
        </w:tblBorders>
      </w:tblPr>
      <w:tblGrid>
        <w:gridCol w:w="2166"/>
        <w:gridCol w:w="1353"/>
        <w:gridCol w:w="1353"/>
        <w:gridCol w:w="1353"/>
        <w:gridCol w:w="1444"/>
        <w:gridCol w:w="1357"/>
      </w:tblGrid>
      <w:tr>
        <w:trPr>
          <w:tblHeader/>
        </w:trPr>
        <w:tc>
          <w:tcPr>
            <w:tcW w:w="2166" w:type="dxa"/>
            <w:shd w:val="clear" w:fill="F4F2EE"/>
            <w:tcMar>
              <w:top w:w="40" w:type="dxa"/>
              <w:left w:w="80" w:type="dxa"/>
              <w:bottom w:w="40" w:type="dxa"/>
              <w:right w:w="80" w:type="dxa"/>
            </w:tcMar>
          </w:tcPr>
          <w:p>
            <w:pPr>
              <w:spacing w:before="20" w:after="20" w:line="240" w:lineRule="auto"/>
            </w:pPr>
            <w:r>
              <w:rPr>
                <w:b/>
                <w:color w:val="1A2744"/>
                <w:sz w:val="20"/>
              </w:rPr>
              <w:t xml:space="preserve">Scenario</w:t>
            </w:r>
          </w:p>
        </w:tc>
        <w:tc>
          <w:tcPr>
            <w:tcW w:w="1353" w:type="dxa"/>
            <w:shd w:val="clear" w:fill="F4F2EE"/>
            <w:tcMar>
              <w:top w:w="40" w:type="dxa"/>
              <w:left w:w="80" w:type="dxa"/>
              <w:bottom w:w="40" w:type="dxa"/>
              <w:right w:w="80" w:type="dxa"/>
            </w:tcMar>
          </w:tcPr>
          <w:p>
            <w:pPr>
              <w:spacing w:before="20" w:after="20" w:line="240" w:lineRule="auto"/>
            </w:pPr>
            <w:r>
              <w:rPr>
                <w:b/>
                <w:color w:val="1A2744"/>
                <w:sz w:val="20"/>
              </w:rPr>
              <w:t xml:space="preserve">Dev Funding Split</w:t>
            </w:r>
          </w:p>
        </w:tc>
        <w:tc>
          <w:tcPr>
            <w:tcW w:w="1353" w:type="dxa"/>
            <w:shd w:val="clear" w:fill="F4F2EE"/>
            <w:tcMar>
              <w:top w:w="40" w:type="dxa"/>
              <w:left w:w="80" w:type="dxa"/>
              <w:bottom w:w="40" w:type="dxa"/>
              <w:right w:w="80" w:type="dxa"/>
            </w:tcMar>
          </w:tcPr>
          <w:p>
            <w:pPr>
              <w:spacing w:before="20" w:after="20" w:line="240" w:lineRule="auto"/>
            </w:pPr>
            <w:r>
              <w:rPr>
                <w:b/>
                <w:color w:val="1A2744"/>
                <w:sz w:val="20"/>
              </w:rPr>
              <w:t xml:space="preserve">Canadian Dev Cost</w:t>
            </w:r>
          </w:p>
        </w:tc>
        <w:tc>
          <w:tcPr>
            <w:tcW w:w="1353" w:type="dxa"/>
            <w:shd w:val="clear" w:fill="F4F2EE"/>
            <w:tcMar>
              <w:top w:w="40" w:type="dxa"/>
              <w:left w:w="80" w:type="dxa"/>
              <w:bottom w:w="40" w:type="dxa"/>
              <w:right w:w="80" w:type="dxa"/>
            </w:tcMar>
          </w:tcPr>
          <w:p>
            <w:pPr>
              <w:spacing w:before="20" w:after="20" w:line="240" w:lineRule="auto"/>
            </w:pPr>
            <w:r>
              <w:rPr>
                <w:b/>
                <w:color w:val="1A2744"/>
                <w:sz w:val="20"/>
              </w:rPr>
              <w:t xml:space="preserve">Coalition Fleet</w:t>
            </w:r>
          </w:p>
        </w:tc>
        <w:tc>
          <w:tcPr>
            <w:tcW w:w="1444" w:type="dxa"/>
            <w:shd w:val="clear" w:fill="F4F2EE"/>
            <w:tcMar>
              <w:top w:w="40" w:type="dxa"/>
              <w:left w:w="80" w:type="dxa"/>
              <w:bottom w:w="40" w:type="dxa"/>
              <w:right w:w="80" w:type="dxa"/>
            </w:tcMar>
          </w:tcPr>
          <w:p>
            <w:pPr>
              <w:spacing w:before="20" w:after="20" w:line="240" w:lineRule="auto"/>
            </w:pPr>
            <w:r>
              <w:rPr>
                <w:b/>
                <w:color w:val="1A2744"/>
                <w:sz w:val="20"/>
              </w:rPr>
              <w:t xml:space="preserve">Canadian Exposure</w:t>
            </w:r>
          </w:p>
        </w:tc>
        <w:tc>
          <w:tcPr>
            <w:tcW w:w="1357" w:type="dxa"/>
            <w:shd w:val="clear" w:fill="F4F2EE"/>
            <w:tcMar>
              <w:top w:w="40" w:type="dxa"/>
              <w:left w:w="80" w:type="dxa"/>
              <w:bottom w:w="40" w:type="dxa"/>
              <w:right w:w="80" w:type="dxa"/>
            </w:tcMar>
          </w:tcPr>
          <w:p>
            <w:pPr>
              <w:spacing w:before="20" w:after="20" w:line="240" w:lineRule="auto"/>
            </w:pPr>
            <w:r>
              <w:rPr>
                <w:b/>
                <w:color w:val="1A2744"/>
                <w:sz w:val="20"/>
              </w:rPr>
              <w:t xml:space="preserve">Peak Direct Jobs (Canada)</w:t>
            </w:r>
          </w:p>
        </w:tc>
      </w:tr>
      <w:tr>
        <w:tc>
          <w:tcPr>
            <w:tcW w:w="2166" w:type="dxa"/>
            <w:tcMar>
              <w:top w:w="40" w:type="dxa"/>
              <w:left w:w="80" w:type="dxa"/>
              <w:bottom w:w="40" w:type="dxa"/>
              <w:right w:w="80" w:type="dxa"/>
            </w:tcMar>
          </w:tcPr>
          <w:p>
            <w:pPr>
              <w:spacing w:before="20" w:after="20" w:line="240" w:lineRule="auto"/>
            </w:pPr>
            <w:r>
              <w:rPr>
                <w:color w:val="1A202C"/>
                <w:sz w:val="20"/>
              </w:rPr>
              <w:t xml:space="preserve">A: Canada alone (baseline)</w:t>
            </w:r>
          </w:p>
        </w:tc>
        <w:tc>
          <w:tcPr>
            <w:tcW w:w="1353" w:type="dxa"/>
            <w:tcMar>
              <w:top w:w="40" w:type="dxa"/>
              <w:left w:w="80" w:type="dxa"/>
              <w:bottom w:w="40" w:type="dxa"/>
              <w:right w:w="80" w:type="dxa"/>
            </w:tcMar>
          </w:tcPr>
          <w:p>
            <w:pPr>
              <w:spacing w:before="20" w:after="20" w:line="240" w:lineRule="auto"/>
            </w:pPr>
            <w:r>
              <w:rPr>
                <w:color w:val="1A202C"/>
                <w:sz w:val="20"/>
              </w:rPr>
              <w:t xml:space="preserve">100%</w:t>
            </w:r>
          </w:p>
        </w:tc>
        <w:tc>
          <w:tcPr>
            <w:tcW w:w="1353" w:type="dxa"/>
            <w:tcMar>
              <w:top w:w="40" w:type="dxa"/>
              <w:left w:w="80" w:type="dxa"/>
              <w:bottom w:w="40" w:type="dxa"/>
              <w:right w:w="80" w:type="dxa"/>
            </w:tcMar>
          </w:tcPr>
          <w:p>
            <w:pPr>
              <w:spacing w:before="20" w:after="20" w:line="240" w:lineRule="auto"/>
            </w:pPr>
            <w:r>
              <w:rPr>
                <w:color w:val="1A202C"/>
                <w:sz w:val="20"/>
              </w:rPr>
              <w:t xml:space="preserve">$32.9B</w:t>
            </w:r>
          </w:p>
        </w:tc>
        <w:tc>
          <w:tcPr>
            <w:tcW w:w="1353" w:type="dxa"/>
            <w:tcMar>
              <w:top w:w="40" w:type="dxa"/>
              <w:left w:w="80" w:type="dxa"/>
              <w:bottom w:w="40" w:type="dxa"/>
              <w:right w:w="80" w:type="dxa"/>
            </w:tcMar>
          </w:tcPr>
          <w:p>
            <w:pPr>
              <w:spacing w:before="20" w:after="20" w:line="240" w:lineRule="auto"/>
            </w:pPr>
            <w:r>
              <w:rPr>
                <w:color w:val="1A202C"/>
                <w:sz w:val="20"/>
              </w:rPr>
              <w:t xml:space="preserve">204</w:t>
            </w:r>
          </w:p>
        </w:tc>
        <w:tc>
          <w:tcPr>
            <w:tcW w:w="1444" w:type="dxa"/>
            <w:tcMar>
              <w:top w:w="40" w:type="dxa"/>
              <w:left w:w="80" w:type="dxa"/>
              <w:bottom w:w="40" w:type="dxa"/>
              <w:right w:w="80" w:type="dxa"/>
            </w:tcMar>
          </w:tcPr>
          <w:p>
            <w:pPr>
              <w:spacing w:before="20" w:after="20" w:line="240" w:lineRule="auto"/>
            </w:pPr>
            <w:r>
              <w:rPr>
                <w:color w:val="1A202C"/>
                <w:sz w:val="20"/>
              </w:rPr>
              <w:t xml:space="preserve">$60.3B</w:t>
            </w:r>
          </w:p>
        </w:tc>
        <w:tc>
          <w:tcPr>
            <w:tcW w:w="1357" w:type="dxa"/>
            <w:tcMar>
              <w:top w:w="40" w:type="dxa"/>
              <w:left w:w="80" w:type="dxa"/>
              <w:bottom w:w="40" w:type="dxa"/>
              <w:right w:w="80" w:type="dxa"/>
            </w:tcMar>
          </w:tcPr>
          <w:p>
            <w:pPr>
              <w:spacing w:before="20" w:after="20" w:line="240" w:lineRule="auto"/>
            </w:pPr>
            <w:r>
              <w:rPr>
                <w:color w:val="1A202C"/>
                <w:sz w:val="20"/>
              </w:rPr>
              <w:t xml:space="preserve">12,000</w:t>
            </w:r>
          </w:p>
        </w:tc>
      </w:tr>
      <w:tr>
        <w:tc>
          <w:tcPr>
            <w:tcW w:w="2166" w:type="dxa"/>
            <w:tcMar>
              <w:top w:w="40" w:type="dxa"/>
              <w:left w:w="80" w:type="dxa"/>
              <w:bottom w:w="40" w:type="dxa"/>
              <w:right w:w="80" w:type="dxa"/>
            </w:tcMar>
          </w:tcPr>
          <w:p>
            <w:pPr>
              <w:spacing w:before="20" w:after="20" w:line="240" w:lineRule="auto"/>
            </w:pPr>
            <w:r>
              <w:rPr>
                <w:color w:val="1A202C"/>
                <w:sz w:val="20"/>
              </w:rPr>
              <w:t xml:space="preserve">B: Canada + Japan</w:t>
            </w:r>
          </w:p>
        </w:tc>
        <w:tc>
          <w:tcPr>
            <w:tcW w:w="1353" w:type="dxa"/>
            <w:tcMar>
              <w:top w:w="40" w:type="dxa"/>
              <w:left w:w="80" w:type="dxa"/>
              <w:bottom w:w="40" w:type="dxa"/>
              <w:right w:w="80" w:type="dxa"/>
            </w:tcMar>
          </w:tcPr>
          <w:p>
            <w:pPr>
              <w:spacing w:before="20" w:after="20" w:line="240" w:lineRule="auto"/>
            </w:pPr>
            <w:r>
              <w:rPr>
                <w:color w:val="1A202C"/>
                <w:sz w:val="20"/>
              </w:rPr>
              <w:t xml:space="preserve">70 / 30</w:t>
            </w:r>
          </w:p>
        </w:tc>
        <w:tc>
          <w:tcPr>
            <w:tcW w:w="1353" w:type="dxa"/>
            <w:tcMar>
              <w:top w:w="40" w:type="dxa"/>
              <w:left w:w="80" w:type="dxa"/>
              <w:bottom w:w="40" w:type="dxa"/>
              <w:right w:w="80" w:type="dxa"/>
            </w:tcMar>
          </w:tcPr>
          <w:p>
            <w:pPr>
              <w:spacing w:before="20" w:after="20" w:line="240" w:lineRule="auto"/>
            </w:pPr>
            <w:r>
              <w:rPr>
                <w:color w:val="1A202C"/>
                <w:sz w:val="20"/>
              </w:rPr>
              <w:t xml:space="preserve">$23.0B</w:t>
            </w:r>
          </w:p>
        </w:tc>
        <w:tc>
          <w:tcPr>
            <w:tcW w:w="1353" w:type="dxa"/>
            <w:tcMar>
              <w:top w:w="40" w:type="dxa"/>
              <w:left w:w="80" w:type="dxa"/>
              <w:bottom w:w="40" w:type="dxa"/>
              <w:right w:w="80" w:type="dxa"/>
            </w:tcMar>
          </w:tcPr>
          <w:p>
            <w:pPr>
              <w:spacing w:before="20" w:after="20" w:line="240" w:lineRule="auto"/>
            </w:pPr>
            <w:r>
              <w:rPr>
                <w:color w:val="1A202C"/>
                <w:sz w:val="20"/>
              </w:rPr>
              <w:t xml:space="preserve">252</w:t>
            </w:r>
          </w:p>
        </w:tc>
        <w:tc>
          <w:tcPr>
            <w:tcW w:w="1444" w:type="dxa"/>
            <w:tcMar>
              <w:top w:w="40" w:type="dxa"/>
              <w:left w:w="80" w:type="dxa"/>
              <w:bottom w:w="40" w:type="dxa"/>
              <w:right w:w="80" w:type="dxa"/>
            </w:tcMar>
          </w:tcPr>
          <w:p>
            <w:pPr>
              <w:spacing w:before="20" w:after="20" w:line="240" w:lineRule="auto"/>
            </w:pPr>
            <w:r>
              <w:rPr>
                <w:color w:val="1A202C"/>
                <w:sz w:val="20"/>
              </w:rPr>
              <w:t xml:space="preserve">$50.4B</w:t>
            </w:r>
          </w:p>
        </w:tc>
        <w:tc>
          <w:tcPr>
            <w:tcW w:w="1357" w:type="dxa"/>
            <w:tcMar>
              <w:top w:w="40" w:type="dxa"/>
              <w:left w:w="80" w:type="dxa"/>
              <w:bottom w:w="40" w:type="dxa"/>
              <w:right w:w="80" w:type="dxa"/>
            </w:tcMar>
          </w:tcPr>
          <w:p>
            <w:pPr>
              <w:spacing w:before="20" w:after="20" w:line="240" w:lineRule="auto"/>
            </w:pPr>
            <w:r>
              <w:rPr>
                <w:color w:val="1A202C"/>
                <w:sz w:val="20"/>
              </w:rPr>
              <w:t xml:space="preserve">13,000</w:t>
            </w:r>
          </w:p>
        </w:tc>
      </w:tr>
      <w:tr>
        <w:tc>
          <w:tcPr>
            <w:tcW w:w="2166" w:type="dxa"/>
            <w:tcMar>
              <w:top w:w="40" w:type="dxa"/>
              <w:left w:w="80" w:type="dxa"/>
              <w:bottom w:w="40" w:type="dxa"/>
              <w:right w:w="80" w:type="dxa"/>
            </w:tcMar>
          </w:tcPr>
          <w:p>
            <w:pPr>
              <w:spacing w:before="20" w:after="20" w:line="240" w:lineRule="auto"/>
            </w:pPr>
            <w:r>
              <w:rPr>
                <w:color w:val="1A202C"/>
                <w:sz w:val="20"/>
              </w:rPr>
              <w:t xml:space="preserve">C: Canada + UK + Japan</w:t>
            </w:r>
          </w:p>
        </w:tc>
        <w:tc>
          <w:tcPr>
            <w:tcW w:w="1353" w:type="dxa"/>
            <w:tcMar>
              <w:top w:w="40" w:type="dxa"/>
              <w:left w:w="80" w:type="dxa"/>
              <w:bottom w:w="40" w:type="dxa"/>
              <w:right w:w="80" w:type="dxa"/>
            </w:tcMar>
          </w:tcPr>
          <w:p>
            <w:pPr>
              <w:spacing w:before="20" w:after="20" w:line="240" w:lineRule="auto"/>
            </w:pPr>
            <w:r>
              <w:rPr>
                <w:color w:val="1A202C"/>
                <w:sz w:val="20"/>
              </w:rPr>
              <w:t xml:space="preserve">60 / 40</w:t>
            </w:r>
          </w:p>
        </w:tc>
        <w:tc>
          <w:tcPr>
            <w:tcW w:w="1353" w:type="dxa"/>
            <w:tcMar>
              <w:top w:w="40" w:type="dxa"/>
              <w:left w:w="80" w:type="dxa"/>
              <w:bottom w:w="40" w:type="dxa"/>
              <w:right w:w="80" w:type="dxa"/>
            </w:tcMar>
          </w:tcPr>
          <w:p>
            <w:pPr>
              <w:spacing w:before="20" w:after="20" w:line="240" w:lineRule="auto"/>
            </w:pPr>
            <w:r>
              <w:rPr>
                <w:color w:val="1A202C"/>
                <w:sz w:val="20"/>
              </w:rPr>
              <w:t xml:space="preserve">$19.7B</w:t>
            </w:r>
          </w:p>
        </w:tc>
        <w:tc>
          <w:tcPr>
            <w:tcW w:w="1353" w:type="dxa"/>
            <w:tcMar>
              <w:top w:w="40" w:type="dxa"/>
              <w:left w:w="80" w:type="dxa"/>
              <w:bottom w:w="40" w:type="dxa"/>
              <w:right w:w="80" w:type="dxa"/>
            </w:tcMar>
          </w:tcPr>
          <w:p>
            <w:pPr>
              <w:spacing w:before="20" w:after="20" w:line="240" w:lineRule="auto"/>
            </w:pPr>
            <w:r>
              <w:rPr>
                <w:color w:val="1A202C"/>
                <w:sz w:val="20"/>
              </w:rPr>
              <w:t xml:space="preserve">300</w:t>
            </w:r>
          </w:p>
        </w:tc>
        <w:tc>
          <w:tcPr>
            <w:tcW w:w="1444" w:type="dxa"/>
            <w:tcMar>
              <w:top w:w="40" w:type="dxa"/>
              <w:left w:w="80" w:type="dxa"/>
              <w:bottom w:w="40" w:type="dxa"/>
              <w:right w:w="80" w:type="dxa"/>
            </w:tcMar>
          </w:tcPr>
          <w:p>
            <w:pPr>
              <w:spacing w:before="20" w:after="20" w:line="240" w:lineRule="auto"/>
            </w:pPr>
            <w:r>
              <w:rPr>
                <w:color w:val="1A202C"/>
                <w:sz w:val="20"/>
              </w:rPr>
              <w:t xml:space="preserve">$47.1B</w:t>
            </w:r>
          </w:p>
        </w:tc>
        <w:tc>
          <w:tcPr>
            <w:tcW w:w="1357" w:type="dxa"/>
            <w:tcMar>
              <w:top w:w="40" w:type="dxa"/>
              <w:left w:w="80" w:type="dxa"/>
              <w:bottom w:w="40" w:type="dxa"/>
              <w:right w:w="80" w:type="dxa"/>
            </w:tcMar>
          </w:tcPr>
          <w:p>
            <w:pPr>
              <w:spacing w:before="20" w:after="20" w:line="240" w:lineRule="auto"/>
            </w:pPr>
            <w:r>
              <w:rPr>
                <w:color w:val="1A202C"/>
                <w:sz w:val="20"/>
              </w:rPr>
              <w:t xml:space="preserve">13,800</w:t>
            </w:r>
          </w:p>
        </w:tc>
      </w:tr>
      <w:tr>
        <w:tc>
          <w:tcPr>
            <w:tcW w:w="2166" w:type="dxa"/>
            <w:tcMar>
              <w:top w:w="40" w:type="dxa"/>
              <w:left w:w="80" w:type="dxa"/>
              <w:bottom w:w="40" w:type="dxa"/>
              <w:right w:w="80" w:type="dxa"/>
            </w:tcMar>
          </w:tcPr>
          <w:p>
            <w:pPr>
              <w:spacing w:before="20" w:after="20" w:line="240" w:lineRule="auto"/>
            </w:pPr>
            <w:r>
              <w:rPr>
                <w:color w:val="1A202C"/>
                <w:sz w:val="20"/>
              </w:rPr>
              <w:t xml:space="preserve">D: + Australia + Finland (recommended)</w:t>
            </w:r>
          </w:p>
        </w:tc>
        <w:tc>
          <w:tcPr>
            <w:tcW w:w="1353" w:type="dxa"/>
            <w:tcMar>
              <w:top w:w="40" w:type="dxa"/>
              <w:left w:w="80" w:type="dxa"/>
              <w:bottom w:w="40" w:type="dxa"/>
              <w:right w:w="80" w:type="dxa"/>
            </w:tcMar>
          </w:tcPr>
          <w:p>
            <w:pPr>
              <w:spacing w:before="20" w:after="20" w:line="240" w:lineRule="auto"/>
            </w:pPr>
            <w:r>
              <w:rPr>
                <w:color w:val="1A202C"/>
                <w:sz w:val="20"/>
              </w:rPr>
              <w:t xml:space="preserve">50 / 50</w:t>
            </w:r>
          </w:p>
        </w:tc>
        <w:tc>
          <w:tcPr>
            <w:tcW w:w="1353" w:type="dxa"/>
            <w:tcMar>
              <w:top w:w="40" w:type="dxa"/>
              <w:left w:w="80" w:type="dxa"/>
              <w:bottom w:w="40" w:type="dxa"/>
              <w:right w:w="80" w:type="dxa"/>
            </w:tcMar>
          </w:tcPr>
          <w:p>
            <w:pPr>
              <w:spacing w:before="20" w:after="20" w:line="240" w:lineRule="auto"/>
            </w:pPr>
            <w:r>
              <w:rPr>
                <w:color w:val="1A202C"/>
                <w:sz w:val="20"/>
              </w:rPr>
              <w:t xml:space="preserve">$16.5B</w:t>
            </w:r>
          </w:p>
        </w:tc>
        <w:tc>
          <w:tcPr>
            <w:tcW w:w="1353" w:type="dxa"/>
            <w:tcMar>
              <w:top w:w="40" w:type="dxa"/>
              <w:left w:w="80" w:type="dxa"/>
              <w:bottom w:w="40" w:type="dxa"/>
              <w:right w:w="80" w:type="dxa"/>
            </w:tcMar>
          </w:tcPr>
          <w:p>
            <w:pPr>
              <w:spacing w:before="20" w:after="20" w:line="240" w:lineRule="auto"/>
            </w:pPr>
            <w:r>
              <w:rPr>
                <w:color w:val="1A202C"/>
                <w:sz w:val="20"/>
              </w:rPr>
              <w:t xml:space="preserve">384</w:t>
            </w:r>
          </w:p>
        </w:tc>
        <w:tc>
          <w:tcPr>
            <w:tcW w:w="1444" w:type="dxa"/>
            <w:tcMar>
              <w:top w:w="40" w:type="dxa"/>
              <w:left w:w="80" w:type="dxa"/>
              <w:bottom w:w="40" w:type="dxa"/>
              <w:right w:w="80" w:type="dxa"/>
            </w:tcMar>
          </w:tcPr>
          <w:p>
            <w:pPr>
              <w:spacing w:before="20" w:after="20" w:line="240" w:lineRule="auto"/>
            </w:pPr>
            <w:r>
              <w:rPr>
                <w:color w:val="1A202C"/>
                <w:sz w:val="20"/>
              </w:rPr>
              <w:t xml:space="preserve">$43.9B</w:t>
            </w:r>
          </w:p>
        </w:tc>
        <w:tc>
          <w:tcPr>
            <w:tcW w:w="1357" w:type="dxa"/>
            <w:tcMar>
              <w:top w:w="40" w:type="dxa"/>
              <w:left w:w="80" w:type="dxa"/>
              <w:bottom w:w="40" w:type="dxa"/>
              <w:right w:w="80" w:type="dxa"/>
            </w:tcMar>
          </w:tcPr>
          <w:p>
            <w:pPr>
              <w:spacing w:before="20" w:after="20" w:line="240" w:lineRule="auto"/>
            </w:pPr>
            <w:r>
              <w:rPr>
                <w:color w:val="1A202C"/>
                <w:sz w:val="20"/>
              </w:rPr>
              <w:t xml:space="preserve">14,600</w:t>
            </w:r>
          </w:p>
        </w:tc>
      </w:tr>
      <w:tr>
        <w:tc>
          <w:tcPr>
            <w:tcW w:w="2166" w:type="dxa"/>
            <w:tcMar>
              <w:top w:w="40" w:type="dxa"/>
              <w:left w:w="80" w:type="dxa"/>
              <w:bottom w:w="40" w:type="dxa"/>
              <w:right w:w="80" w:type="dxa"/>
            </w:tcMar>
          </w:tcPr>
          <w:p>
            <w:pPr>
              <w:spacing w:before="20" w:after="20" w:line="240" w:lineRule="auto"/>
            </w:pPr>
            <w:r>
              <w:rPr>
                <w:color w:val="1A202C"/>
                <w:sz w:val="20"/>
              </w:rPr>
              <w:t xml:space="preserve">E: GCAP-track integration</w:t>
            </w:r>
          </w:p>
        </w:tc>
        <w:tc>
          <w:tcPr>
            <w:tcW w:w="1353" w:type="dxa"/>
            <w:tcMar>
              <w:top w:w="40" w:type="dxa"/>
              <w:left w:w="80" w:type="dxa"/>
              <w:bottom w:w="40" w:type="dxa"/>
              <w:right w:w="80" w:type="dxa"/>
            </w:tcMar>
          </w:tcPr>
          <w:p>
            <w:pPr>
              <w:spacing w:before="20" w:after="20" w:line="240" w:lineRule="auto"/>
            </w:pPr>
            <w:r>
              <w:rPr>
                <w:color w:val="1A202C"/>
                <w:sz w:val="20"/>
              </w:rPr>
              <w:t xml:space="preserve">40 / 60</w:t>
            </w:r>
          </w:p>
        </w:tc>
        <w:tc>
          <w:tcPr>
            <w:tcW w:w="1353" w:type="dxa"/>
            <w:tcMar>
              <w:top w:w="40" w:type="dxa"/>
              <w:left w:w="80" w:type="dxa"/>
              <w:bottom w:w="40" w:type="dxa"/>
              <w:right w:w="80" w:type="dxa"/>
            </w:tcMar>
          </w:tcPr>
          <w:p>
            <w:pPr>
              <w:spacing w:before="20" w:after="20" w:line="240" w:lineRule="auto"/>
            </w:pPr>
            <w:r>
              <w:rPr>
                <w:color w:val="1A202C"/>
                <w:sz w:val="20"/>
              </w:rPr>
              <w:t xml:space="preserve">$13.2B</w:t>
            </w:r>
          </w:p>
        </w:tc>
        <w:tc>
          <w:tcPr>
            <w:tcW w:w="1353" w:type="dxa"/>
            <w:tcMar>
              <w:top w:w="40" w:type="dxa"/>
              <w:left w:w="80" w:type="dxa"/>
              <w:bottom w:w="40" w:type="dxa"/>
              <w:right w:w="80" w:type="dxa"/>
            </w:tcMar>
          </w:tcPr>
          <w:p>
            <w:pPr>
              <w:spacing w:before="20" w:after="20" w:line="240" w:lineRule="auto"/>
            </w:pPr>
            <w:r>
              <w:rPr>
                <w:color w:val="1A202C"/>
                <w:sz w:val="20"/>
              </w:rPr>
              <w:t xml:space="preserve">420</w:t>
            </w:r>
          </w:p>
        </w:tc>
        <w:tc>
          <w:tcPr>
            <w:tcW w:w="1444" w:type="dxa"/>
            <w:tcMar>
              <w:top w:w="40" w:type="dxa"/>
              <w:left w:w="80" w:type="dxa"/>
              <w:bottom w:w="40" w:type="dxa"/>
              <w:right w:w="80" w:type="dxa"/>
            </w:tcMar>
          </w:tcPr>
          <w:p>
            <w:pPr>
              <w:spacing w:before="20" w:after="20" w:line="240" w:lineRule="auto"/>
            </w:pPr>
            <w:r>
              <w:rPr>
                <w:color w:val="1A202C"/>
                <w:sz w:val="20"/>
              </w:rPr>
              <w:t xml:space="preserve">$40.6B</w:t>
            </w:r>
          </w:p>
        </w:tc>
        <w:tc>
          <w:tcPr>
            <w:tcW w:w="1357" w:type="dxa"/>
            <w:tcMar>
              <w:top w:w="40" w:type="dxa"/>
              <w:left w:w="80" w:type="dxa"/>
              <w:bottom w:w="40" w:type="dxa"/>
              <w:right w:w="80" w:type="dxa"/>
            </w:tcMar>
          </w:tcPr>
          <w:p>
            <w:pPr>
              <w:spacing w:before="20" w:after="20" w:line="240" w:lineRule="auto"/>
            </w:pPr>
            <w:r>
              <w:rPr>
                <w:color w:val="1A202C"/>
                <w:sz w:val="20"/>
              </w:rPr>
              <w:t xml:space="preserve">12,800</w:t>
            </w:r>
          </w:p>
        </w:tc>
      </w:tr>
    </w:tbl>
    <w:p>
      <w:pPr>
        <w:pStyle w:val="Caption"/>
      </w:pPr>
      <w:r>
        <w:t xml:space="preserve">Canadian exposure equals the development share plus the unchanged $27.4B production cost of the 204-aircraft RCAF program of record; partners fund their own aircraft. Jobs reflect additional coalition production on Canadian lines net of partner work-share draw.</w:t>
      </w:r>
    </w:p>
    <w:p>
      <w:pPr>
        <w:spacing w:after="180" w:line="288" w:lineRule="auto"/>
      </w:pPr>
      <w:r>
        <w:rPr>
          <w:b/>
        </w:rPr>
        <w:t xml:space="preserve">Reading the scenarios: </w:t>
      </w:r>
      <w:r>
        <w:t xml:space="preserve">Every partner added cuts Canada's development exposure and raises Canadian employment, up to the point where governance complexity and work-share draw reverse the employment gain. Scenario D captures the optimum: a 50% development saving ($16.4 billion), a 27% cut in total exposure, and the highest Canadian job count of any scenario. Scenario E saves more money but dilutes Canadian design authority inside a GCAP-shaped structure and costs 1,800 Canadian jobs relative to Scenario D, a trade the sovereignty analysis in Part X rejects.</w:t>
      </w:r>
    </w:p>
    <w:p>
      <w:pPr>
        <w:pStyle w:val="Heading2"/>
      </w:pPr>
      <w:r>
        <w:t>15.6 Recommended Pathway and Non-Negotiables</w:t>
      </w:r>
    </w:p>
    <w:tbl>
      <w:tblPr>
        <w:tblW w:w="5000" w:type="pct"/>
        <w:tblBorders>
          <w:top w:val="single" w:color="1A2744" w:sz="12"/>
          <w:left w:val="nil"/>
          <w:bottom w:val="single" w:color="1A2744" w:sz="12"/>
          <w:right w:val="nil"/>
          <w:insideH w:val="single" w:color="C8C4BC" w:sz="4"/>
          <w:insideV w:val="nil"/>
        </w:tblBorders>
      </w:tblPr>
      <w:tblGrid>
        <w:gridCol w:w="1624"/>
        <w:gridCol w:w="7402"/>
      </w:tblGrid>
      <w:tr>
        <w:trPr>
          <w:tblHeader/>
        </w:trPr>
        <w:tc>
          <w:tcPr>
            <w:tcW w:w="1624" w:type="dxa"/>
            <w:shd w:val="clear" w:fill="F4F2EE"/>
            <w:tcMar>
              <w:top w:w="40" w:type="dxa"/>
              <w:left w:w="80" w:type="dxa"/>
              <w:bottom w:w="40" w:type="dxa"/>
              <w:right w:w="80" w:type="dxa"/>
            </w:tcMar>
          </w:tcPr>
          <w:p>
            <w:pPr>
              <w:spacing w:before="20" w:after="20" w:line="240" w:lineRule="auto"/>
            </w:pPr>
            <w:r>
              <w:rPr>
                <w:b/>
                <w:color w:val="1A2744"/>
                <w:sz w:val="20"/>
              </w:rPr>
              <w:t xml:space="preserve">Phase</w:t>
            </w:r>
          </w:p>
        </w:tc>
        <w:tc>
          <w:tcPr>
            <w:tcW w:w="7402" w:type="dxa"/>
            <w:shd w:val="clear" w:fill="F4F2EE"/>
            <w:tcMar>
              <w:top w:w="40" w:type="dxa"/>
              <w:left w:w="80" w:type="dxa"/>
              <w:bottom w:w="40" w:type="dxa"/>
              <w:right w:w="80" w:type="dxa"/>
            </w:tcMar>
          </w:tcPr>
          <w:p>
            <w:pPr>
              <w:spacing w:before="20" w:after="20" w:line="240" w:lineRule="auto"/>
            </w:pPr>
            <w:r>
              <w:rPr>
                <w:b/>
                <w:color w:val="1A2744"/>
                <w:sz w:val="20"/>
              </w:rPr>
              <w:t xml:space="preserve">Actions</w:t>
            </w:r>
          </w:p>
        </w:tc>
      </w:tr>
      <w:tr>
        <w:tc>
          <w:tcPr>
            <w:tcW w:w="1624" w:type="dxa"/>
            <w:tcMar>
              <w:top w:w="40" w:type="dxa"/>
              <w:left w:w="80" w:type="dxa"/>
              <w:bottom w:w="40" w:type="dxa"/>
              <w:right w:w="80" w:type="dxa"/>
            </w:tcMar>
          </w:tcPr>
          <w:p>
            <w:pPr>
              <w:spacing w:before="20" w:after="20" w:line="240" w:lineRule="auto"/>
            </w:pPr>
            <w:r>
              <w:rPr>
                <w:color w:val="1A202C"/>
                <w:sz w:val="20"/>
              </w:rPr>
              <w:t xml:space="preserve">Phase 1: Core Partnership (2026 to 2028)</w:t>
            </w:r>
          </w:p>
        </w:tc>
        <w:tc>
          <w:tcPr>
            <w:tcW w:w="7402" w:type="dxa"/>
            <w:tcMar>
              <w:top w:w="40" w:type="dxa"/>
              <w:left w:w="80" w:type="dxa"/>
              <w:bottom w:w="40" w:type="dxa"/>
              <w:right w:w="80" w:type="dxa"/>
            </w:tcMar>
          </w:tcPr>
          <w:p>
            <w:pPr>
              <w:spacing w:before="20" w:after="20" w:line="240" w:lineRule="auto"/>
            </w:pPr>
            <w:r>
              <w:rPr>
                <w:color w:val="1A202C"/>
                <w:sz w:val="20"/>
              </w:rPr>
              <w:t xml:space="preserve">Convert GCAP observer status into defined work-share negotiations; open bilateral talks with Australia on MQ-28 family synergy and with Finland on the Arctic package; stand up the Canada-Japan defence industrial working group under the ETTA; table the AIPO treaty draft</w:t>
            </w:r>
          </w:p>
        </w:tc>
      </w:tr>
      <w:tr>
        <w:tc>
          <w:tcPr>
            <w:tcW w:w="1624" w:type="dxa"/>
            <w:tcMar>
              <w:top w:w="40" w:type="dxa"/>
              <w:left w:w="80" w:type="dxa"/>
              <w:bottom w:w="40" w:type="dxa"/>
              <w:right w:w="80" w:type="dxa"/>
            </w:tcMar>
          </w:tcPr>
          <w:p>
            <w:pPr>
              <w:spacing w:before="20" w:after="20" w:line="240" w:lineRule="auto"/>
            </w:pPr>
            <w:r>
              <w:rPr>
                <w:color w:val="1A202C"/>
                <w:sz w:val="20"/>
              </w:rPr>
              <w:t xml:space="preserve">Phase 2: Development Partnership (2028 to 2030)</w:t>
            </w:r>
          </w:p>
        </w:tc>
        <w:tc>
          <w:tcPr>
            <w:tcW w:w="7402" w:type="dxa"/>
            <w:tcMar>
              <w:top w:w="40" w:type="dxa"/>
              <w:left w:w="80" w:type="dxa"/>
              <w:bottom w:w="40" w:type="dxa"/>
              <w:right w:w="80" w:type="dxa"/>
            </w:tcMar>
          </w:tcPr>
          <w:p>
            <w:pPr>
              <w:spacing w:before="20" w:after="20" w:line="240" w:lineRule="auto"/>
            </w:pPr>
            <w:r>
              <w:rPr>
                <w:color w:val="1A202C"/>
                <w:sz w:val="20"/>
              </w:rPr>
              <w:t xml:space="preserve">Sign cost-sharing agreements with the four partners at the Scenario D split; establish the AIPO and Arrow Coalition Industries; finalize hybrid work-share allocation; activate DSRB lending for partner contributions</w:t>
            </w:r>
          </w:p>
        </w:tc>
      </w:tr>
      <w:tr>
        <w:tc>
          <w:tcPr>
            <w:tcW w:w="1624" w:type="dxa"/>
            <w:tcMar>
              <w:top w:w="40" w:type="dxa"/>
              <w:left w:w="80" w:type="dxa"/>
              <w:bottom w:w="40" w:type="dxa"/>
              <w:right w:w="80" w:type="dxa"/>
            </w:tcMar>
          </w:tcPr>
          <w:p>
            <w:pPr>
              <w:spacing w:before="20" w:after="20" w:line="240" w:lineRule="auto"/>
            </w:pPr>
            <w:r>
              <w:rPr>
                <w:color w:val="1A202C"/>
                <w:sz w:val="20"/>
              </w:rPr>
              <w:t xml:space="preserve">Phase 3: Production Partnership (2032 to 2041)</w:t>
            </w:r>
          </w:p>
        </w:tc>
        <w:tc>
          <w:tcPr>
            <w:tcW w:w="7402" w:type="dxa"/>
            <w:tcMar>
              <w:top w:w="40" w:type="dxa"/>
              <w:left w:w="80" w:type="dxa"/>
              <w:bottom w:w="40" w:type="dxa"/>
              <w:right w:w="80" w:type="dxa"/>
            </w:tcMar>
          </w:tcPr>
          <w:p>
            <w:pPr>
              <w:spacing w:before="20" w:after="20" w:line="240" w:lineRule="auto"/>
            </w:pPr>
            <w:r>
              <w:rPr>
                <w:color w:val="1A202C"/>
                <w:sz w:val="20"/>
              </w:rPr>
              <w:t xml:space="preserve">Ramp Mirabel to 24 per year; open the partner line in 2035; commission the three sustainment hubs; launch the joint export marketing consortium for the Mk.VI-E</w:t>
            </w:r>
          </w:p>
        </w:tc>
      </w:tr>
    </w:tbl>
    <w:p>
      <w:pPr>
        <w:spacing w:after="180" w:line="288" w:lineRule="auto"/>
      </w:pPr>
      <w:r>
        <w:rPr>
          <w:b/>
        </w:rPr>
        <w:t xml:space="preserve">Canada's non-negotiables: </w:t>
      </w:r>
      <w:r>
        <w:t xml:space="preserve">Five positions anchor the negotiation. First, Canada holds design authority. Second, mission systems, ECHO autonomy, and Arctic integration stay 100% Canadian. Third, the sovereign datalink and coating stack never enter the pooled-IP regime. Fourth, the Canadian work share never drops below 55%. Fifth, the final-assembly line for RCAF aircraft stays at Mirabel. Every other package, from engines to sensors to MRO, trades freely inside the hybrid model.</w:t>
      </w:r>
    </w:p>
    <w:p>
      <w:pPr>
        <w:spacing w:after="180" w:line="288" w:lineRule="auto"/>
      </w:pPr>
      <w:r>
        <w:rPr>
          <w:b/>
        </w:rPr>
        <w:t xml:space="preserve">The strategic narrative: </w:t>
      </w:r>
      <w:r>
        <w:t xml:space="preserve">Canada does not propose to go it alone. Canada proposes to lead a coalition of like-minded nations that face common threats and need common capabilities. Pooling resources cuts every partner's cost, creates jobs in every partner nation, and builds a unified defence industrial base across the alliance, with Canada at its head as design authority, treaty drafter, bank host, and final-assembly nation.</w:t>
      </w:r>
    </w:p>
    <w:p>
      <w:pPr>
        <w:pStyle w:val="Heading1"/>
      </w:pPr>
      <w:r>
        <w:t>PART XVI: CONCLUSION AND RECOMMENDATIONS</w:t>
      </w:r>
    </w:p>
    <w:p>
      <w:pPr>
        <w:pStyle w:val="Heading2"/>
      </w:pPr>
      <w:r>
        <w:t>16.1 Summary of Findings</w:t>
      </w:r>
    </w:p>
    <w:tbl>
      <w:tblPr>
        <w:tblW w:w="5000" w:type="pct"/>
        <w:tblBorders>
          <w:top w:val="single" w:color="1A2744" w:sz="12"/>
          <w:left w:val="nil"/>
          <w:bottom w:val="single" w:color="1A2744" w:sz="12"/>
          <w:right w:val="nil"/>
          <w:insideH w:val="single" w:color="C8C4BC" w:sz="4"/>
          <w:insideV w:val="nil"/>
        </w:tblBorders>
      </w:tblPr>
      <w:tblGrid>
        <w:gridCol w:w="2346"/>
        <w:gridCol w:w="6680"/>
      </w:tblGrid>
      <w:tr>
        <w:trPr>
          <w:tblHeader/>
        </w:trPr>
        <w:tc>
          <w:tcPr>
            <w:tcW w:w="2346" w:type="dxa"/>
            <w:shd w:val="clear" w:fill="F4F2EE"/>
            <w:tcMar>
              <w:top w:w="40" w:type="dxa"/>
              <w:left w:w="80" w:type="dxa"/>
              <w:bottom w:w="40" w:type="dxa"/>
              <w:right w:w="80" w:type="dxa"/>
            </w:tcMar>
          </w:tcPr>
          <w:p>
            <w:pPr>
              <w:spacing w:before="20" w:after="20" w:line="240" w:lineRule="auto"/>
            </w:pPr>
            <w:r>
              <w:rPr>
                <w:b/>
                <w:color w:val="1A2744"/>
                <w:sz w:val="20"/>
              </w:rPr>
              <w:t xml:space="preserve">Dimension</w:t>
            </w:r>
          </w:p>
        </w:tc>
        <w:tc>
          <w:tcPr>
            <w:tcW w:w="6680" w:type="dxa"/>
            <w:shd w:val="clear" w:fill="F4F2EE"/>
            <w:tcMar>
              <w:top w:w="40" w:type="dxa"/>
              <w:left w:w="80" w:type="dxa"/>
              <w:bottom w:w="40" w:type="dxa"/>
              <w:right w:w="80" w:type="dxa"/>
            </w:tcMar>
          </w:tcPr>
          <w:p>
            <w:pPr>
              <w:spacing w:before="20" w:after="20" w:line="240" w:lineRule="auto"/>
            </w:pPr>
            <w:r>
              <w:rPr>
                <w:b/>
                <w:color w:val="1A2744"/>
                <w:sz w:val="20"/>
              </w:rPr>
              <w:t xml:space="preserve">Finding</w:t>
            </w:r>
          </w:p>
        </w:tc>
      </w:tr>
      <w:tr>
        <w:tc>
          <w:tcPr>
            <w:tcW w:w="2346" w:type="dxa"/>
            <w:tcMar>
              <w:top w:w="40" w:type="dxa"/>
              <w:left w:w="80" w:type="dxa"/>
              <w:bottom w:w="40" w:type="dxa"/>
              <w:right w:w="80" w:type="dxa"/>
            </w:tcMar>
          </w:tcPr>
          <w:p>
            <w:pPr>
              <w:spacing w:before="20" w:after="20" w:line="240" w:lineRule="auto"/>
            </w:pPr>
            <w:r>
              <w:rPr>
                <w:color w:val="1A202C"/>
                <w:sz w:val="20"/>
              </w:rPr>
              <w:t xml:space="preserve">Jobs</w:t>
            </w:r>
          </w:p>
        </w:tc>
        <w:tc>
          <w:tcPr>
            <w:tcW w:w="6680" w:type="dxa"/>
            <w:tcMar>
              <w:top w:w="40" w:type="dxa"/>
              <w:left w:w="80" w:type="dxa"/>
              <w:bottom w:w="40" w:type="dxa"/>
              <w:right w:w="80" w:type="dxa"/>
            </w:tcMar>
          </w:tcPr>
          <w:p>
            <w:pPr>
              <w:spacing w:before="20" w:after="20" w:line="240" w:lineRule="auto"/>
            </w:pPr>
            <w:r>
              <w:rPr>
                <w:color w:val="1A202C"/>
                <w:sz w:val="20"/>
              </w:rPr>
              <w:t xml:space="preserve">12,000 direct + 17,161 indirect and induced = 29,161 total at peak</w:t>
            </w:r>
          </w:p>
        </w:tc>
      </w:tr>
      <w:tr>
        <w:tc>
          <w:tcPr>
            <w:tcW w:w="2346" w:type="dxa"/>
            <w:tcMar>
              <w:top w:w="40" w:type="dxa"/>
              <w:left w:w="80" w:type="dxa"/>
              <w:bottom w:w="40" w:type="dxa"/>
              <w:right w:w="80" w:type="dxa"/>
            </w:tcMar>
          </w:tcPr>
          <w:p>
            <w:pPr>
              <w:spacing w:before="20" w:after="20" w:line="240" w:lineRule="auto"/>
            </w:pPr>
            <w:r>
              <w:rPr>
                <w:color w:val="1A202C"/>
                <w:sz w:val="20"/>
              </w:rPr>
              <w:t xml:space="preserve">GDP</w:t>
            </w:r>
          </w:p>
        </w:tc>
        <w:tc>
          <w:tcPr>
            <w:tcW w:w="6680" w:type="dxa"/>
            <w:tcMar>
              <w:top w:w="40" w:type="dxa"/>
              <w:left w:w="80" w:type="dxa"/>
              <w:bottom w:w="40" w:type="dxa"/>
              <w:right w:w="80" w:type="dxa"/>
            </w:tcMar>
          </w:tcPr>
          <w:p>
            <w:pPr>
              <w:spacing w:before="20" w:after="20" w:line="240" w:lineRule="auto"/>
            </w:pPr>
            <w:r>
              <w:rPr>
                <w:color w:val="1A202C"/>
                <w:sz w:val="20"/>
              </w:rPr>
              <w:t xml:space="preserve">$35.0 billion across 2027 to 2041 ($3.9B peak annual)</w:t>
            </w:r>
          </w:p>
        </w:tc>
      </w:tr>
      <w:tr>
        <w:tc>
          <w:tcPr>
            <w:tcW w:w="2346" w:type="dxa"/>
            <w:tcMar>
              <w:top w:w="40" w:type="dxa"/>
              <w:left w:w="80" w:type="dxa"/>
              <w:bottom w:w="40" w:type="dxa"/>
              <w:right w:w="80" w:type="dxa"/>
            </w:tcMar>
          </w:tcPr>
          <w:p>
            <w:pPr>
              <w:spacing w:before="20" w:after="20" w:line="240" w:lineRule="auto"/>
            </w:pPr>
            <w:r>
              <w:rPr>
                <w:color w:val="1A202C"/>
                <w:sz w:val="20"/>
              </w:rPr>
              <w:t xml:space="preserve">Program cost</w:t>
            </w:r>
          </w:p>
        </w:tc>
        <w:tc>
          <w:tcPr>
            <w:tcW w:w="6680" w:type="dxa"/>
            <w:tcMar>
              <w:top w:w="40" w:type="dxa"/>
              <w:left w:w="80" w:type="dxa"/>
              <w:bottom w:w="40" w:type="dxa"/>
              <w:right w:w="80" w:type="dxa"/>
            </w:tcMar>
          </w:tcPr>
          <w:p>
            <w:pPr>
              <w:spacing w:before="20" w:after="20" w:line="240" w:lineRule="auto"/>
            </w:pPr>
            <w:r>
              <w:rPr>
                <w:color w:val="1A202C"/>
                <w:sz w:val="20"/>
              </w:rPr>
              <w:t xml:space="preserve">$60.3B CAD development plus production; $42.2B retained in Canada</w:t>
            </w:r>
          </w:p>
        </w:tc>
      </w:tr>
      <w:tr>
        <w:tc>
          <w:tcPr>
            <w:tcW w:w="2346" w:type="dxa"/>
            <w:tcMar>
              <w:top w:w="40" w:type="dxa"/>
              <w:left w:w="80" w:type="dxa"/>
              <w:bottom w:w="40" w:type="dxa"/>
              <w:right w:w="80" w:type="dxa"/>
            </w:tcMar>
          </w:tcPr>
          <w:p>
            <w:pPr>
              <w:spacing w:before="20" w:after="20" w:line="240" w:lineRule="auto"/>
            </w:pPr>
            <w:r>
              <w:rPr>
                <w:color w:val="1A202C"/>
                <w:sz w:val="20"/>
              </w:rPr>
              <w:t xml:space="preserve">Funding</w:t>
            </w:r>
          </w:p>
        </w:tc>
        <w:tc>
          <w:tcPr>
            <w:tcW w:w="6680" w:type="dxa"/>
            <w:tcMar>
              <w:top w:w="40" w:type="dxa"/>
              <w:left w:w="80" w:type="dxa"/>
              <w:bottom w:w="40" w:type="dxa"/>
              <w:right w:w="80" w:type="dxa"/>
            </w:tcMar>
          </w:tcPr>
          <w:p>
            <w:pPr>
              <w:spacing w:before="20" w:after="20" w:line="240" w:lineRule="auto"/>
            </w:pPr>
            <w:r>
              <w:rPr>
                <w:color w:val="1A202C"/>
                <w:sz w:val="20"/>
              </w:rPr>
              <w:t xml:space="preserve">7.0% average share of the existing $62B defence budget; fits the 3.5% NATO trajectory</w:t>
            </w:r>
          </w:p>
        </w:tc>
      </w:tr>
      <w:tr>
        <w:tc>
          <w:tcPr>
            <w:tcW w:w="2346" w:type="dxa"/>
            <w:tcMar>
              <w:top w:w="40" w:type="dxa"/>
              <w:left w:w="80" w:type="dxa"/>
              <w:bottom w:w="40" w:type="dxa"/>
              <w:right w:w="80" w:type="dxa"/>
            </w:tcMar>
          </w:tcPr>
          <w:p>
            <w:pPr>
              <w:spacing w:before="20" w:after="20" w:line="240" w:lineRule="auto"/>
            </w:pPr>
            <w:r>
              <w:rPr>
                <w:color w:val="1A202C"/>
                <w:sz w:val="20"/>
              </w:rPr>
              <w:t xml:space="preserve">Exports</w:t>
            </w:r>
          </w:p>
        </w:tc>
        <w:tc>
          <w:tcPr>
            <w:tcW w:w="6680" w:type="dxa"/>
            <w:tcMar>
              <w:top w:w="40" w:type="dxa"/>
              <w:left w:w="80" w:type="dxa"/>
              <w:bottom w:w="40" w:type="dxa"/>
              <w:right w:w="80" w:type="dxa"/>
            </w:tcMar>
          </w:tcPr>
          <w:p>
            <w:pPr>
              <w:spacing w:before="20" w:after="20" w:line="240" w:lineRule="auto"/>
            </w:pPr>
            <w:r>
              <w:rPr>
                <w:color w:val="1A202C"/>
                <w:sz w:val="20"/>
              </w:rPr>
              <w:t xml:space="preserve">$6.0 to $10.0 billion potential (2035 to 2050) via the Mk.VI-E</w:t>
            </w:r>
          </w:p>
        </w:tc>
      </w:tr>
      <w:tr>
        <w:tc>
          <w:tcPr>
            <w:tcW w:w="2346" w:type="dxa"/>
            <w:tcMar>
              <w:top w:w="40" w:type="dxa"/>
              <w:left w:w="80" w:type="dxa"/>
              <w:bottom w:w="40" w:type="dxa"/>
              <w:right w:w="80" w:type="dxa"/>
            </w:tcMar>
          </w:tcPr>
          <w:p>
            <w:pPr>
              <w:spacing w:before="20" w:after="20" w:line="240" w:lineRule="auto"/>
            </w:pPr>
            <w:r>
              <w:rPr>
                <w:color w:val="1A202C"/>
                <w:sz w:val="20"/>
              </w:rPr>
              <w:t xml:space="preserve">Tax revenue</w:t>
            </w:r>
          </w:p>
        </w:tc>
        <w:tc>
          <w:tcPr>
            <w:tcW w:w="6680" w:type="dxa"/>
            <w:tcMar>
              <w:top w:w="40" w:type="dxa"/>
              <w:left w:w="80" w:type="dxa"/>
              <w:bottom w:w="40" w:type="dxa"/>
              <w:right w:w="80" w:type="dxa"/>
            </w:tcMar>
          </w:tcPr>
          <w:p>
            <w:pPr>
              <w:spacing w:before="20" w:after="20" w:line="240" w:lineRule="auto"/>
            </w:pPr>
            <w:r>
              <w:rPr>
                <w:color w:val="1A202C"/>
                <w:sz w:val="20"/>
              </w:rPr>
              <w:t xml:space="preserve">$7.0 billion across the program phase</w:t>
            </w:r>
          </w:p>
        </w:tc>
      </w:tr>
      <w:tr>
        <w:tc>
          <w:tcPr>
            <w:tcW w:w="2346" w:type="dxa"/>
            <w:tcMar>
              <w:top w:w="40" w:type="dxa"/>
              <w:left w:w="80" w:type="dxa"/>
              <w:bottom w:w="40" w:type="dxa"/>
              <w:right w:w="80" w:type="dxa"/>
            </w:tcMar>
          </w:tcPr>
          <w:p>
            <w:pPr>
              <w:spacing w:before="20" w:after="20" w:line="240" w:lineRule="auto"/>
            </w:pPr>
            <w:r>
              <w:rPr>
                <w:color w:val="1A202C"/>
                <w:sz w:val="20"/>
              </w:rPr>
              <w:t xml:space="preserve">Sovereignty</w:t>
            </w:r>
          </w:p>
        </w:tc>
        <w:tc>
          <w:tcPr>
            <w:tcW w:w="6680" w:type="dxa"/>
            <w:tcMar>
              <w:top w:w="40" w:type="dxa"/>
              <w:left w:w="80" w:type="dxa"/>
              <w:bottom w:w="40" w:type="dxa"/>
              <w:right w:w="80" w:type="dxa"/>
            </w:tcMar>
          </w:tcPr>
          <w:p>
            <w:pPr>
              <w:spacing w:before="20" w:after="20" w:line="240" w:lineRule="auto"/>
            </w:pPr>
            <w:r>
              <w:rPr>
                <w:color w:val="1A202C"/>
                <w:sz w:val="20"/>
              </w:rPr>
              <w:t xml:space="preserve">Full Canadian IP, source code, upgrade, and export authority</w:t>
            </w:r>
          </w:p>
        </w:tc>
      </w:tr>
      <w:tr>
        <w:tc>
          <w:tcPr>
            <w:tcW w:w="2346" w:type="dxa"/>
            <w:tcMar>
              <w:top w:w="40" w:type="dxa"/>
              <w:left w:w="80" w:type="dxa"/>
              <w:bottom w:w="40" w:type="dxa"/>
              <w:right w:w="80" w:type="dxa"/>
            </w:tcMar>
          </w:tcPr>
          <w:p>
            <w:pPr>
              <w:spacing w:before="20" w:after="20" w:line="240" w:lineRule="auto"/>
            </w:pPr>
            <w:r>
              <w:rPr>
                <w:color w:val="1A202C"/>
                <w:sz w:val="20"/>
              </w:rPr>
              <w:t xml:space="preserve">Strategic positioning</w:t>
            </w:r>
          </w:p>
        </w:tc>
        <w:tc>
          <w:tcPr>
            <w:tcW w:w="6680" w:type="dxa"/>
            <w:tcMar>
              <w:top w:w="40" w:type="dxa"/>
              <w:left w:w="80" w:type="dxa"/>
              <w:bottom w:w="40" w:type="dxa"/>
              <w:right w:w="80" w:type="dxa"/>
            </w:tcMar>
          </w:tcPr>
          <w:p>
            <w:pPr>
              <w:spacing w:before="20" w:after="20" w:line="240" w:lineRule="auto"/>
            </w:pPr>
            <w:r>
              <w:rPr>
                <w:color w:val="1A202C"/>
                <w:sz w:val="20"/>
              </w:rPr>
              <w:t xml:space="preserve">GCAP observer-to-partner pathway; SAFE and DSRB financing access</w:t>
            </w:r>
          </w:p>
        </w:tc>
      </w:tr>
      <w:tr>
        <w:tc>
          <w:tcPr>
            <w:tcW w:w="2346" w:type="dxa"/>
            <w:tcMar>
              <w:top w:w="40" w:type="dxa"/>
              <w:left w:w="80" w:type="dxa"/>
              <w:bottom w:w="40" w:type="dxa"/>
              <w:right w:w="80" w:type="dxa"/>
            </w:tcMar>
          </w:tcPr>
          <w:p>
            <w:pPr>
              <w:spacing w:before="20" w:after="20" w:line="240" w:lineRule="auto"/>
            </w:pPr>
            <w:r>
              <w:rPr>
                <w:color w:val="1A202C"/>
                <w:sz w:val="20"/>
              </w:rPr>
              <w:t xml:space="preserve">Coalition pathway</w:t>
            </w:r>
          </w:p>
        </w:tc>
        <w:tc>
          <w:tcPr>
            <w:tcW w:w="6680" w:type="dxa"/>
            <w:tcMar>
              <w:top w:w="40" w:type="dxa"/>
              <w:left w:w="80" w:type="dxa"/>
              <w:bottom w:w="40" w:type="dxa"/>
              <w:right w:w="80" w:type="dxa"/>
            </w:tcMar>
          </w:tcPr>
          <w:p>
            <w:pPr>
              <w:spacing w:before="20" w:after="20" w:line="240" w:lineRule="auto"/>
            </w:pPr>
            <w:r>
              <w:rPr>
                <w:color w:val="1A202C"/>
                <w:sz w:val="20"/>
              </w:rPr>
              <w:t xml:space="preserve">Four-partner scenario halves the development bill and lifts Canadian peak direct jobs to 14,600</w:t>
            </w:r>
          </w:p>
        </w:tc>
      </w:tr>
    </w:tbl>
    <w:p>
      <w:pPr>
        <w:pStyle w:val="Heading2"/>
      </w:pPr>
      <w:r>
        <w:t>16.2 Recommendations</w:t>
      </w:r>
    </w:p>
    <w:p>
      <w:pPr>
        <w:spacing w:after="180" w:line="288" w:lineRule="auto"/>
      </w:pPr>
      <w:r>
        <w:rPr>
          <w:b/>
        </w:rPr>
        <w:t xml:space="preserve">Recommendation 1: </w:t>
      </w:r>
      <w:r>
        <w:t xml:space="preserve">Designate the Aurora Arrow under the Build pillar of the Defence Industrial Strategy and direct the Defence Investment Agency to stand up the program office in fiscal 2026-27.</w:t>
      </w:r>
    </w:p>
    <w:p>
      <w:pPr>
        <w:spacing w:after="180" w:line="288" w:lineRule="auto"/>
      </w:pPr>
      <w:r>
        <w:rPr>
          <w:b/>
        </w:rPr>
        <w:t xml:space="preserve">Recommendation 2: </w:t>
      </w:r>
      <w:r>
        <w:t xml:space="preserve">Establish a national champion strategic partnership for final assembly and mission systems, and place the propulsion work package under the Partner pillar with a Pratt and Whitney Canada module share.</w:t>
      </w:r>
    </w:p>
    <w:p>
      <w:pPr>
        <w:spacing w:after="180" w:line="288" w:lineRule="auto"/>
      </w:pPr>
      <w:r>
        <w:rPr>
          <w:b/>
        </w:rPr>
        <w:t xml:space="preserve">Recommendation 3: </w:t>
      </w:r>
      <w:r>
        <w:t xml:space="preserve">Approve the phased funding profile ($0.9B Phase 0, $6.5B Phase 1) inside the existing 3.5% core-defence trajectory, with gate reviews at each phase boundary.</w:t>
      </w:r>
    </w:p>
    <w:p>
      <w:pPr>
        <w:spacing w:after="180" w:line="288" w:lineRule="auto"/>
      </w:pPr>
      <w:r>
        <w:rPr>
          <w:b/>
        </w:rPr>
        <w:t xml:space="preserve">Recommendation 4: </w:t>
      </w:r>
      <w:r>
        <w:t xml:space="preserve">Convert GCAP observer status into a defined work-share negotiation by 2028, targeting propulsion, sensors, and autonomy packages.</w:t>
      </w:r>
    </w:p>
    <w:p>
      <w:pPr>
        <w:spacing w:after="180" w:line="288" w:lineRule="auto"/>
      </w:pPr>
      <w:r>
        <w:rPr>
          <w:b/>
        </w:rPr>
        <w:t xml:space="preserve">Recommendation 5: </w:t>
      </w:r>
      <w:r>
        <w:t xml:space="preserve">Launch the $1.1 billion workforce program to transition 1,380 displaced automotive workers per year into aerospace careers through college-industry partnerships.</w:t>
      </w:r>
    </w:p>
    <w:p>
      <w:pPr>
        <w:spacing w:after="180" w:line="288" w:lineRule="auto"/>
      </w:pPr>
      <w:r>
        <w:rPr>
          <w:b/>
        </w:rPr>
        <w:t xml:space="preserve">Recommendation 6: </w:t>
      </w:r>
      <w:r>
        <w:t xml:space="preserve">Mandate the 70% Canadian content floor and the 25% SME set-aside with quarterly ISED reporting to Parliament, and task the Canadian Commercial Corporation with early Mk.VI-E marketing in Australia, the Nordics, and Poland.</w:t>
      </w:r>
    </w:p>
    <w:p>
      <w:pPr>
        <w:spacing w:after="180" w:line="288" w:lineRule="auto"/>
      </w:pPr>
      <w:r>
        <w:rPr>
          <w:b/>
        </w:rPr>
        <w:t xml:space="preserve">Recommendation 7: </w:t>
      </w:r>
      <w:r>
        <w:t xml:space="preserve">Open coalition negotiations with the United Kingdom, Japan, Australia, and Finland in 2027 under a GIGO-style treaty organization, targeting a 50% partner share of development funding, a minimum 55% Canadian work share, and full Canadian retention of mission systems, ECHO autonomy, Arctic integration, and design authority.</w:t>
      </w:r>
    </w:p>
    <w:p>
      <w:pPr>
        <w:spacing w:after="180" w:line="288" w:lineRule="auto"/>
      </w:pPr>
      <w:r>
        <w:rPr>
          <w:b/>
        </w:rPr>
        <w:t xml:space="preserve">Recommendation 8: </w:t>
      </w:r>
      <w:r>
        <w:t xml:space="preserve">Channel partner entry financing through the Canada-hosted Defence, Security and Resilience Bank and the EU SAFE framework, and use Canada's founding position in both institutions to direct coalition lending toward Canadian-led work packages.</w:t>
      </w:r>
    </w:p>
    <w:p>
      <w:pPr>
        <w:pStyle w:val="Heading1"/>
      </w:pPr>
      <w:r>
        <w:t>APPENDICES</w:t>
      </w:r>
    </w:p>
    <w:p>
      <w:pPr>
        <w:pStyle w:val="Heading2"/>
      </w:pPr>
      <w:r>
        <w:t>Appendix A: Detailed Methodology</w:t>
      </w:r>
    </w:p>
    <w:p>
      <w:pPr>
        <w:spacing w:after="180" w:line="288" w:lineRule="auto"/>
      </w:pPr>
      <w:r>
        <w:t xml:space="preserve">The assessment employs Statistics Canada inter-provincial input-output tables as applied in the ISED State of Canada's Aerospace Industry series, aerospace-specific employment multipliers, and defence procurement models. Direct effects represent value-added within the program's industrial footprint; indirect effects capture supply-chain activity; induced effects measure household consumption by employees.</w:t>
      </w:r>
    </w:p>
    <w:p>
      <w:pPr>
        <w:spacing w:after="180" w:line="288" w:lineRule="auto"/>
      </w:pPr>
      <w:r>
        <w:rPr>
          <w:b/>
        </w:rPr>
        <w:t xml:space="preserve">Multiplier derivation: </w:t>
      </w:r>
      <w:r>
        <w:t xml:space="preserve">The employment multiplier of 2.43x derives from the ISED 2024 finding of 92,500 direct aerospace jobs generating 225,000 total jobs. The GDP multiplier of 2.19x derives from $15.6 billion of direct GDP generating $34.2 billion in total. The jobs-to-spending ratio of roughly 2,050 direct jobs per $1 billion of annual revenue derives from 92,500 direct jobs on $45.2 billion of 2024 industry revenue. The value-added ratio of 38% adjusts the ISED 2024 ratio of 34.5% upward for the R&amp;D intensity of development-phase work.</w:t>
      </w:r>
    </w:p>
    <w:p>
      <w:pPr>
        <w:pStyle w:val="Heading2"/>
      </w:pPr>
      <w:r>
        <w:t>Appendix B: Provincial Economic Detail</w:t>
      </w:r>
    </w:p>
    <w:tbl>
      <w:tblPr>
        <w:tblW w:w="5000" w:type="pct"/>
        <w:tblBorders>
          <w:top w:val="single" w:color="1A2744" w:sz="12"/>
          <w:left w:val="nil"/>
          <w:bottom w:val="single" w:color="1A2744" w:sz="12"/>
          <w:right w:val="nil"/>
          <w:insideH w:val="single" w:color="C8C4BC" w:sz="4"/>
          <w:insideV w:val="nil"/>
        </w:tblBorders>
      </w:tblPr>
      <w:tblGrid>
        <w:gridCol w:w="1805"/>
        <w:gridCol w:w="1444"/>
        <w:gridCol w:w="1444"/>
        <w:gridCol w:w="1444"/>
        <w:gridCol w:w="1444"/>
        <w:gridCol w:w="1445"/>
      </w:tblGrid>
      <w:tr>
        <w:trPr>
          <w:tblHeader/>
        </w:trPr>
        <w:tc>
          <w:tcPr>
            <w:tcW w:w="1805" w:type="dxa"/>
            <w:shd w:val="clear" w:fill="F4F2EE"/>
            <w:tcMar>
              <w:top w:w="40" w:type="dxa"/>
              <w:left w:w="80" w:type="dxa"/>
              <w:bottom w:w="40" w:type="dxa"/>
              <w:right w:w="80" w:type="dxa"/>
            </w:tcMar>
          </w:tcPr>
          <w:p>
            <w:pPr>
              <w:spacing w:before="20" w:after="20" w:line="240" w:lineRule="auto"/>
            </w:pPr>
            <w:r>
              <w:rPr>
                <w:b/>
                <w:color w:val="1A2744"/>
                <w:sz w:val="20"/>
              </w:rPr>
              <w:t xml:space="preserve">Region</w:t>
            </w:r>
          </w:p>
        </w:tc>
        <w:tc>
          <w:tcPr>
            <w:tcW w:w="1444" w:type="dxa"/>
            <w:shd w:val="clear" w:fill="F4F2EE"/>
            <w:tcMar>
              <w:top w:w="40" w:type="dxa"/>
              <w:left w:w="80" w:type="dxa"/>
              <w:bottom w:w="40" w:type="dxa"/>
              <w:right w:w="80" w:type="dxa"/>
            </w:tcMar>
          </w:tcPr>
          <w:p>
            <w:pPr>
              <w:spacing w:before="20" w:after="20" w:line="240" w:lineRule="auto"/>
            </w:pPr>
            <w:r>
              <w:rPr>
                <w:b/>
                <w:color w:val="1A2744"/>
                <w:sz w:val="20"/>
              </w:rPr>
              <w:t xml:space="preserve">Direct GDP</w:t>
            </w:r>
          </w:p>
        </w:tc>
        <w:tc>
          <w:tcPr>
            <w:tcW w:w="1444" w:type="dxa"/>
            <w:shd w:val="clear" w:fill="F4F2EE"/>
            <w:tcMar>
              <w:top w:w="40" w:type="dxa"/>
              <w:left w:w="80" w:type="dxa"/>
              <w:bottom w:w="40" w:type="dxa"/>
              <w:right w:w="80" w:type="dxa"/>
            </w:tcMar>
          </w:tcPr>
          <w:p>
            <w:pPr>
              <w:spacing w:before="20" w:after="20" w:line="240" w:lineRule="auto"/>
            </w:pPr>
            <w:r>
              <w:rPr>
                <w:b/>
                <w:color w:val="1A2744"/>
                <w:sz w:val="20"/>
              </w:rPr>
              <w:t xml:space="preserve">Indirect GDP</w:t>
            </w:r>
          </w:p>
        </w:tc>
        <w:tc>
          <w:tcPr>
            <w:tcW w:w="1444" w:type="dxa"/>
            <w:shd w:val="clear" w:fill="F4F2EE"/>
            <w:tcMar>
              <w:top w:w="40" w:type="dxa"/>
              <w:left w:w="80" w:type="dxa"/>
              <w:bottom w:w="40" w:type="dxa"/>
              <w:right w:w="80" w:type="dxa"/>
            </w:tcMar>
          </w:tcPr>
          <w:p>
            <w:pPr>
              <w:spacing w:before="20" w:after="20" w:line="240" w:lineRule="auto"/>
            </w:pPr>
            <w:r>
              <w:rPr>
                <w:b/>
                <w:color w:val="1A2744"/>
                <w:sz w:val="20"/>
              </w:rPr>
              <w:t xml:space="preserve">Induced GDP</w:t>
            </w:r>
          </w:p>
        </w:tc>
        <w:tc>
          <w:tcPr>
            <w:tcW w:w="1444" w:type="dxa"/>
            <w:shd w:val="clear" w:fill="F4F2EE"/>
            <w:tcMar>
              <w:top w:w="40" w:type="dxa"/>
              <w:left w:w="80" w:type="dxa"/>
              <w:bottom w:w="40" w:type="dxa"/>
              <w:right w:w="80" w:type="dxa"/>
            </w:tcMar>
          </w:tcPr>
          <w:p>
            <w:pPr>
              <w:spacing w:before="20" w:after="20" w:line="240" w:lineRule="auto"/>
            </w:pPr>
            <w:r>
              <w:rPr>
                <w:b/>
                <w:color w:val="1A2744"/>
                <w:sz w:val="20"/>
              </w:rPr>
              <w:t xml:space="preserve">Total GDP</w:t>
            </w:r>
          </w:p>
        </w:tc>
        <w:tc>
          <w:tcPr>
            <w:tcW w:w="1445" w:type="dxa"/>
            <w:shd w:val="clear" w:fill="F4F2EE"/>
            <w:tcMar>
              <w:top w:w="40" w:type="dxa"/>
              <w:left w:w="80" w:type="dxa"/>
              <w:bottom w:w="40" w:type="dxa"/>
              <w:right w:w="80" w:type="dxa"/>
            </w:tcMar>
          </w:tcPr>
          <w:p>
            <w:pPr>
              <w:spacing w:before="20" w:after="20" w:line="240" w:lineRule="auto"/>
            </w:pPr>
            <w:r>
              <w:rPr>
                <w:b/>
                <w:color w:val="1A2744"/>
                <w:sz w:val="20"/>
              </w:rPr>
              <w:t xml:space="preserve">Total Jobs</w:t>
            </w:r>
          </w:p>
        </w:tc>
      </w:tr>
      <w:tr>
        <w:tc>
          <w:tcPr>
            <w:tcW w:w="1805" w:type="dxa"/>
            <w:tcMar>
              <w:top w:w="40" w:type="dxa"/>
              <w:left w:w="80" w:type="dxa"/>
              <w:bottom w:w="40" w:type="dxa"/>
              <w:right w:w="80" w:type="dxa"/>
            </w:tcMar>
          </w:tcPr>
          <w:p>
            <w:pPr>
              <w:spacing w:before="20" w:after="20" w:line="240" w:lineRule="auto"/>
            </w:pPr>
            <w:r>
              <w:rPr>
                <w:color w:val="1A202C"/>
                <w:sz w:val="20"/>
              </w:rPr>
              <w:t xml:space="preserve">Quebec</w:t>
            </w:r>
          </w:p>
        </w:tc>
        <w:tc>
          <w:tcPr>
            <w:tcW w:w="1444" w:type="dxa"/>
            <w:tcMar>
              <w:top w:w="40" w:type="dxa"/>
              <w:left w:w="80" w:type="dxa"/>
              <w:bottom w:w="40" w:type="dxa"/>
              <w:right w:w="80" w:type="dxa"/>
            </w:tcMar>
          </w:tcPr>
          <w:p>
            <w:pPr>
              <w:spacing w:before="20" w:after="20" w:line="240" w:lineRule="auto"/>
            </w:pPr>
            <w:r>
              <w:rPr>
                <w:color w:val="1A202C"/>
                <w:sz w:val="20"/>
              </w:rPr>
              <w:t xml:space="preserve">$7.0B</w:t>
            </w:r>
          </w:p>
        </w:tc>
        <w:tc>
          <w:tcPr>
            <w:tcW w:w="1444" w:type="dxa"/>
            <w:tcMar>
              <w:top w:w="40" w:type="dxa"/>
              <w:left w:w="80" w:type="dxa"/>
              <w:bottom w:w="40" w:type="dxa"/>
              <w:right w:w="80" w:type="dxa"/>
            </w:tcMar>
          </w:tcPr>
          <w:p>
            <w:pPr>
              <w:spacing w:before="20" w:after="20" w:line="240" w:lineRule="auto"/>
            </w:pPr>
            <w:r>
              <w:rPr>
                <w:color w:val="1A202C"/>
                <w:sz w:val="20"/>
              </w:rPr>
              <w:t xml:space="preserve">$4.7B</w:t>
            </w:r>
          </w:p>
        </w:tc>
        <w:tc>
          <w:tcPr>
            <w:tcW w:w="1444" w:type="dxa"/>
            <w:tcMar>
              <w:top w:w="40" w:type="dxa"/>
              <w:left w:w="80" w:type="dxa"/>
              <w:bottom w:w="40" w:type="dxa"/>
              <w:right w:w="80" w:type="dxa"/>
            </w:tcMar>
          </w:tcPr>
          <w:p>
            <w:pPr>
              <w:spacing w:before="20" w:after="20" w:line="240" w:lineRule="auto"/>
            </w:pPr>
            <w:r>
              <w:rPr>
                <w:color w:val="1A202C"/>
                <w:sz w:val="20"/>
              </w:rPr>
              <w:t xml:space="preserve">$3.7B</w:t>
            </w:r>
          </w:p>
        </w:tc>
        <w:tc>
          <w:tcPr>
            <w:tcW w:w="1444" w:type="dxa"/>
            <w:tcMar>
              <w:top w:w="40" w:type="dxa"/>
              <w:left w:w="80" w:type="dxa"/>
              <w:bottom w:w="40" w:type="dxa"/>
              <w:right w:w="80" w:type="dxa"/>
            </w:tcMar>
          </w:tcPr>
          <w:p>
            <w:pPr>
              <w:spacing w:before="20" w:after="20" w:line="240" w:lineRule="auto"/>
            </w:pPr>
            <w:r>
              <w:rPr>
                <w:color w:val="1A202C"/>
                <w:sz w:val="20"/>
              </w:rPr>
              <w:t xml:space="preserve">$15.4B</w:t>
            </w:r>
          </w:p>
        </w:tc>
        <w:tc>
          <w:tcPr>
            <w:tcW w:w="1445" w:type="dxa"/>
            <w:tcMar>
              <w:top w:w="40" w:type="dxa"/>
              <w:left w:w="80" w:type="dxa"/>
              <w:bottom w:w="40" w:type="dxa"/>
              <w:right w:w="80" w:type="dxa"/>
            </w:tcMar>
          </w:tcPr>
          <w:p>
            <w:pPr>
              <w:spacing w:before="20" w:after="20" w:line="240" w:lineRule="auto"/>
            </w:pPr>
            <w:r>
              <w:rPr>
                <w:color w:val="1A202C"/>
                <w:sz w:val="20"/>
              </w:rPr>
              <w:t xml:space="preserve">12,880</w:t>
            </w:r>
          </w:p>
        </w:tc>
      </w:tr>
      <w:tr>
        <w:tc>
          <w:tcPr>
            <w:tcW w:w="1805" w:type="dxa"/>
            <w:tcMar>
              <w:top w:w="40" w:type="dxa"/>
              <w:left w:w="80" w:type="dxa"/>
              <w:bottom w:w="40" w:type="dxa"/>
              <w:right w:w="80" w:type="dxa"/>
            </w:tcMar>
          </w:tcPr>
          <w:p>
            <w:pPr>
              <w:spacing w:before="20" w:after="20" w:line="240" w:lineRule="auto"/>
            </w:pPr>
            <w:r>
              <w:rPr>
                <w:color w:val="1A202C"/>
                <w:sz w:val="20"/>
              </w:rPr>
              <w:t xml:space="preserve">Ontario</w:t>
            </w:r>
          </w:p>
        </w:tc>
        <w:tc>
          <w:tcPr>
            <w:tcW w:w="1444" w:type="dxa"/>
            <w:tcMar>
              <w:top w:w="40" w:type="dxa"/>
              <w:left w:w="80" w:type="dxa"/>
              <w:bottom w:w="40" w:type="dxa"/>
              <w:right w:w="80" w:type="dxa"/>
            </w:tcMar>
          </w:tcPr>
          <w:p>
            <w:pPr>
              <w:spacing w:before="20" w:after="20" w:line="240" w:lineRule="auto"/>
            </w:pPr>
            <w:r>
              <w:rPr>
                <w:color w:val="1A202C"/>
                <w:sz w:val="20"/>
              </w:rPr>
              <w:t xml:space="preserve">$5.0B</w:t>
            </w:r>
          </w:p>
        </w:tc>
        <w:tc>
          <w:tcPr>
            <w:tcW w:w="1444" w:type="dxa"/>
            <w:tcMar>
              <w:top w:w="40" w:type="dxa"/>
              <w:left w:w="80" w:type="dxa"/>
              <w:bottom w:w="40" w:type="dxa"/>
              <w:right w:w="80" w:type="dxa"/>
            </w:tcMar>
          </w:tcPr>
          <w:p>
            <w:pPr>
              <w:spacing w:before="20" w:after="20" w:line="240" w:lineRule="auto"/>
            </w:pPr>
            <w:r>
              <w:rPr>
                <w:color w:val="1A202C"/>
                <w:sz w:val="20"/>
              </w:rPr>
              <w:t xml:space="preserve">$3.3B</w:t>
            </w:r>
          </w:p>
        </w:tc>
        <w:tc>
          <w:tcPr>
            <w:tcW w:w="1444" w:type="dxa"/>
            <w:tcMar>
              <w:top w:w="40" w:type="dxa"/>
              <w:left w:w="80" w:type="dxa"/>
              <w:bottom w:w="40" w:type="dxa"/>
              <w:right w:w="80" w:type="dxa"/>
            </w:tcMar>
          </w:tcPr>
          <w:p>
            <w:pPr>
              <w:spacing w:before="20" w:after="20" w:line="240" w:lineRule="auto"/>
            </w:pPr>
            <w:r>
              <w:rPr>
                <w:color w:val="1A202C"/>
                <w:sz w:val="20"/>
              </w:rPr>
              <w:t xml:space="preserve">$2.6B</w:t>
            </w:r>
          </w:p>
        </w:tc>
        <w:tc>
          <w:tcPr>
            <w:tcW w:w="1444" w:type="dxa"/>
            <w:tcMar>
              <w:top w:w="40" w:type="dxa"/>
              <w:left w:w="80" w:type="dxa"/>
              <w:bottom w:w="40" w:type="dxa"/>
              <w:right w:w="80" w:type="dxa"/>
            </w:tcMar>
          </w:tcPr>
          <w:p>
            <w:pPr>
              <w:spacing w:before="20" w:after="20" w:line="240" w:lineRule="auto"/>
            </w:pPr>
            <w:r>
              <w:rPr>
                <w:color w:val="1A202C"/>
                <w:sz w:val="20"/>
              </w:rPr>
              <w:t xml:space="preserve">$10.9B</w:t>
            </w:r>
          </w:p>
        </w:tc>
        <w:tc>
          <w:tcPr>
            <w:tcW w:w="1445" w:type="dxa"/>
            <w:tcMar>
              <w:top w:w="40" w:type="dxa"/>
              <w:left w:w="80" w:type="dxa"/>
              <w:bottom w:w="40" w:type="dxa"/>
              <w:right w:w="80" w:type="dxa"/>
            </w:tcMar>
          </w:tcPr>
          <w:p>
            <w:pPr>
              <w:spacing w:before="20" w:after="20" w:line="240" w:lineRule="auto"/>
            </w:pPr>
            <w:r>
              <w:rPr>
                <w:color w:val="1A202C"/>
                <w:sz w:val="20"/>
              </w:rPr>
              <w:t xml:space="preserve">8,991</w:t>
            </w:r>
          </w:p>
        </w:tc>
      </w:tr>
      <w:tr>
        <w:tc>
          <w:tcPr>
            <w:tcW w:w="1805" w:type="dxa"/>
            <w:tcMar>
              <w:top w:w="40" w:type="dxa"/>
              <w:left w:w="80" w:type="dxa"/>
              <w:bottom w:w="40" w:type="dxa"/>
              <w:right w:w="80" w:type="dxa"/>
            </w:tcMar>
          </w:tcPr>
          <w:p>
            <w:pPr>
              <w:spacing w:before="20" w:after="20" w:line="240" w:lineRule="auto"/>
            </w:pPr>
            <w:r>
              <w:rPr>
                <w:color w:val="1A202C"/>
                <w:sz w:val="20"/>
              </w:rPr>
              <w:t xml:space="preserve">Western Canada</w:t>
            </w:r>
          </w:p>
        </w:tc>
        <w:tc>
          <w:tcPr>
            <w:tcW w:w="1444" w:type="dxa"/>
            <w:tcMar>
              <w:top w:w="40" w:type="dxa"/>
              <w:left w:w="80" w:type="dxa"/>
              <w:bottom w:w="40" w:type="dxa"/>
              <w:right w:w="80" w:type="dxa"/>
            </w:tcMar>
          </w:tcPr>
          <w:p>
            <w:pPr>
              <w:spacing w:before="20" w:after="20" w:line="240" w:lineRule="auto"/>
            </w:pPr>
            <w:r>
              <w:rPr>
                <w:color w:val="1A202C"/>
                <w:sz w:val="20"/>
              </w:rPr>
              <w:t xml:space="preserve">$2.2B</w:t>
            </w:r>
          </w:p>
        </w:tc>
        <w:tc>
          <w:tcPr>
            <w:tcW w:w="1444" w:type="dxa"/>
            <w:tcMar>
              <w:top w:w="40" w:type="dxa"/>
              <w:left w:w="80" w:type="dxa"/>
              <w:bottom w:w="40" w:type="dxa"/>
              <w:right w:w="80" w:type="dxa"/>
            </w:tcMar>
          </w:tcPr>
          <w:p>
            <w:pPr>
              <w:spacing w:before="20" w:after="20" w:line="240" w:lineRule="auto"/>
            </w:pPr>
            <w:r>
              <w:rPr>
                <w:color w:val="1A202C"/>
                <w:sz w:val="20"/>
              </w:rPr>
              <w:t xml:space="preserve">$1.5B</w:t>
            </w:r>
          </w:p>
        </w:tc>
        <w:tc>
          <w:tcPr>
            <w:tcW w:w="1444" w:type="dxa"/>
            <w:tcMar>
              <w:top w:w="40" w:type="dxa"/>
              <w:left w:w="80" w:type="dxa"/>
              <w:bottom w:w="40" w:type="dxa"/>
              <w:right w:w="80" w:type="dxa"/>
            </w:tcMar>
          </w:tcPr>
          <w:p>
            <w:pPr>
              <w:spacing w:before="20" w:after="20" w:line="240" w:lineRule="auto"/>
            </w:pPr>
            <w:r>
              <w:rPr>
                <w:color w:val="1A202C"/>
                <w:sz w:val="20"/>
              </w:rPr>
              <w:t xml:space="preserve">$1.2B</w:t>
            </w:r>
          </w:p>
        </w:tc>
        <w:tc>
          <w:tcPr>
            <w:tcW w:w="1444" w:type="dxa"/>
            <w:tcMar>
              <w:top w:w="40" w:type="dxa"/>
              <w:left w:w="80" w:type="dxa"/>
              <w:bottom w:w="40" w:type="dxa"/>
              <w:right w:w="80" w:type="dxa"/>
            </w:tcMar>
          </w:tcPr>
          <w:p>
            <w:pPr>
              <w:spacing w:before="20" w:after="20" w:line="240" w:lineRule="auto"/>
            </w:pPr>
            <w:r>
              <w:rPr>
                <w:color w:val="1A202C"/>
                <w:sz w:val="20"/>
              </w:rPr>
              <w:t xml:space="preserve">$4.9B</w:t>
            </w:r>
          </w:p>
        </w:tc>
        <w:tc>
          <w:tcPr>
            <w:tcW w:w="1445" w:type="dxa"/>
            <w:tcMar>
              <w:top w:w="40" w:type="dxa"/>
              <w:left w:w="80" w:type="dxa"/>
              <w:bottom w:w="40" w:type="dxa"/>
              <w:right w:w="80" w:type="dxa"/>
            </w:tcMar>
          </w:tcPr>
          <w:p>
            <w:pPr>
              <w:spacing w:before="20" w:after="20" w:line="240" w:lineRule="auto"/>
            </w:pPr>
            <w:r>
              <w:rPr>
                <w:color w:val="1A202C"/>
                <w:sz w:val="20"/>
              </w:rPr>
              <w:t xml:space="preserve">4,131</w:t>
            </w:r>
          </w:p>
        </w:tc>
      </w:tr>
      <w:tr>
        <w:tc>
          <w:tcPr>
            <w:tcW w:w="1805" w:type="dxa"/>
            <w:tcMar>
              <w:top w:w="40" w:type="dxa"/>
              <w:left w:w="80" w:type="dxa"/>
              <w:bottom w:w="40" w:type="dxa"/>
              <w:right w:w="80" w:type="dxa"/>
            </w:tcMar>
          </w:tcPr>
          <w:p>
            <w:pPr>
              <w:spacing w:before="20" w:after="20" w:line="240" w:lineRule="auto"/>
            </w:pPr>
            <w:r>
              <w:rPr>
                <w:color w:val="1A202C"/>
                <w:sz w:val="20"/>
              </w:rPr>
              <w:t xml:space="preserve">Atlantic Canada</w:t>
            </w:r>
          </w:p>
        </w:tc>
        <w:tc>
          <w:tcPr>
            <w:tcW w:w="1444" w:type="dxa"/>
            <w:tcMar>
              <w:top w:w="40" w:type="dxa"/>
              <w:left w:w="80" w:type="dxa"/>
              <w:bottom w:w="40" w:type="dxa"/>
              <w:right w:w="80" w:type="dxa"/>
            </w:tcMar>
          </w:tcPr>
          <w:p>
            <w:pPr>
              <w:spacing w:before="20" w:after="20" w:line="240" w:lineRule="auto"/>
            </w:pPr>
            <w:r>
              <w:rPr>
                <w:color w:val="1A202C"/>
                <w:sz w:val="20"/>
              </w:rPr>
              <w:t xml:space="preserve">$1.0B</w:t>
            </w:r>
          </w:p>
        </w:tc>
        <w:tc>
          <w:tcPr>
            <w:tcW w:w="1444" w:type="dxa"/>
            <w:tcMar>
              <w:top w:w="40" w:type="dxa"/>
              <w:left w:w="80" w:type="dxa"/>
              <w:bottom w:w="40" w:type="dxa"/>
              <w:right w:w="80" w:type="dxa"/>
            </w:tcMar>
          </w:tcPr>
          <w:p>
            <w:pPr>
              <w:spacing w:before="20" w:after="20" w:line="240" w:lineRule="auto"/>
            </w:pPr>
            <w:r>
              <w:rPr>
                <w:color w:val="1A202C"/>
                <w:sz w:val="20"/>
              </w:rPr>
              <w:t xml:space="preserve">$0.6B</w:t>
            </w:r>
          </w:p>
        </w:tc>
        <w:tc>
          <w:tcPr>
            <w:tcW w:w="1444" w:type="dxa"/>
            <w:tcMar>
              <w:top w:w="40" w:type="dxa"/>
              <w:left w:w="80" w:type="dxa"/>
              <w:bottom w:w="40" w:type="dxa"/>
              <w:right w:w="80" w:type="dxa"/>
            </w:tcMar>
          </w:tcPr>
          <w:p>
            <w:pPr>
              <w:spacing w:before="20" w:after="20" w:line="240" w:lineRule="auto"/>
            </w:pPr>
            <w:r>
              <w:rPr>
                <w:color w:val="1A202C"/>
                <w:sz w:val="20"/>
              </w:rPr>
              <w:t xml:space="preserve">$0.5B</w:t>
            </w:r>
          </w:p>
        </w:tc>
        <w:tc>
          <w:tcPr>
            <w:tcW w:w="1444" w:type="dxa"/>
            <w:tcMar>
              <w:top w:w="40" w:type="dxa"/>
              <w:left w:w="80" w:type="dxa"/>
              <w:bottom w:w="40" w:type="dxa"/>
              <w:right w:w="80" w:type="dxa"/>
            </w:tcMar>
          </w:tcPr>
          <w:p>
            <w:pPr>
              <w:spacing w:before="20" w:after="20" w:line="240" w:lineRule="auto"/>
            </w:pPr>
            <w:r>
              <w:rPr>
                <w:color w:val="1A202C"/>
                <w:sz w:val="20"/>
              </w:rPr>
              <w:t xml:space="preserve">$2.1B</w:t>
            </w:r>
          </w:p>
        </w:tc>
        <w:tc>
          <w:tcPr>
            <w:tcW w:w="1445" w:type="dxa"/>
            <w:tcMar>
              <w:top w:w="40" w:type="dxa"/>
              <w:left w:w="80" w:type="dxa"/>
              <w:bottom w:w="40" w:type="dxa"/>
              <w:right w:w="80" w:type="dxa"/>
            </w:tcMar>
          </w:tcPr>
          <w:p>
            <w:pPr>
              <w:spacing w:before="20" w:after="20" w:line="240" w:lineRule="auto"/>
            </w:pPr>
            <w:r>
              <w:rPr>
                <w:color w:val="1A202C"/>
                <w:sz w:val="20"/>
              </w:rPr>
              <w:t xml:space="preserve">1,701</w:t>
            </w:r>
          </w:p>
        </w:tc>
      </w:tr>
      <w:tr>
        <w:tc>
          <w:tcPr>
            <w:tcW w:w="1805" w:type="dxa"/>
            <w:tcMar>
              <w:top w:w="40" w:type="dxa"/>
              <w:left w:w="80" w:type="dxa"/>
              <w:bottom w:w="40" w:type="dxa"/>
              <w:right w:w="80" w:type="dxa"/>
            </w:tcMar>
          </w:tcPr>
          <w:p>
            <w:pPr>
              <w:spacing w:before="20" w:after="20" w:line="240" w:lineRule="auto"/>
            </w:pPr>
            <w:r>
              <w:rPr>
                <w:color w:val="1A202C"/>
                <w:sz w:val="20"/>
              </w:rPr>
              <w:t xml:space="preserve">Pan-Canadian</w:t>
            </w:r>
          </w:p>
        </w:tc>
        <w:tc>
          <w:tcPr>
            <w:tcW w:w="1444" w:type="dxa"/>
            <w:tcMar>
              <w:top w:w="40" w:type="dxa"/>
              <w:left w:w="80" w:type="dxa"/>
              <w:bottom w:w="40" w:type="dxa"/>
              <w:right w:w="80" w:type="dxa"/>
            </w:tcMar>
          </w:tcPr>
          <w:p>
            <w:pPr>
              <w:spacing w:before="20" w:after="20" w:line="240" w:lineRule="auto"/>
            </w:pPr>
            <w:r>
              <w:rPr>
                <w:color w:val="1A202C"/>
                <w:sz w:val="20"/>
              </w:rPr>
              <w:t xml:space="preserve">$0.8B</w:t>
            </w:r>
          </w:p>
        </w:tc>
        <w:tc>
          <w:tcPr>
            <w:tcW w:w="1444" w:type="dxa"/>
            <w:tcMar>
              <w:top w:w="40" w:type="dxa"/>
              <w:left w:w="80" w:type="dxa"/>
              <w:bottom w:w="40" w:type="dxa"/>
              <w:right w:w="80" w:type="dxa"/>
            </w:tcMar>
          </w:tcPr>
          <w:p>
            <w:pPr>
              <w:spacing w:before="20" w:after="20" w:line="240" w:lineRule="auto"/>
            </w:pPr>
            <w:r>
              <w:rPr>
                <w:color w:val="1A202C"/>
                <w:sz w:val="20"/>
              </w:rPr>
              <w:t xml:space="preserve">$0.5B</w:t>
            </w:r>
          </w:p>
        </w:tc>
        <w:tc>
          <w:tcPr>
            <w:tcW w:w="1444" w:type="dxa"/>
            <w:tcMar>
              <w:top w:w="40" w:type="dxa"/>
              <w:left w:w="80" w:type="dxa"/>
              <w:bottom w:w="40" w:type="dxa"/>
              <w:right w:w="80" w:type="dxa"/>
            </w:tcMar>
          </w:tcPr>
          <w:p>
            <w:pPr>
              <w:spacing w:before="20" w:after="20" w:line="240" w:lineRule="auto"/>
            </w:pPr>
            <w:r>
              <w:rPr>
                <w:color w:val="1A202C"/>
                <w:sz w:val="20"/>
              </w:rPr>
              <w:t xml:space="preserve">$0.4B</w:t>
            </w:r>
          </w:p>
        </w:tc>
        <w:tc>
          <w:tcPr>
            <w:tcW w:w="1444" w:type="dxa"/>
            <w:tcMar>
              <w:top w:w="40" w:type="dxa"/>
              <w:left w:w="80" w:type="dxa"/>
              <w:bottom w:w="40" w:type="dxa"/>
              <w:right w:w="80" w:type="dxa"/>
            </w:tcMar>
          </w:tcPr>
          <w:p>
            <w:pPr>
              <w:spacing w:before="20" w:after="20" w:line="240" w:lineRule="auto"/>
            </w:pPr>
            <w:r>
              <w:rPr>
                <w:color w:val="1A202C"/>
                <w:sz w:val="20"/>
              </w:rPr>
              <w:t xml:space="preserve">$1.7B</w:t>
            </w:r>
          </w:p>
        </w:tc>
        <w:tc>
          <w:tcPr>
            <w:tcW w:w="1445" w:type="dxa"/>
            <w:tcMar>
              <w:top w:w="40" w:type="dxa"/>
              <w:left w:w="80" w:type="dxa"/>
              <w:bottom w:w="40" w:type="dxa"/>
              <w:right w:w="80" w:type="dxa"/>
            </w:tcMar>
          </w:tcPr>
          <w:p>
            <w:pPr>
              <w:spacing w:before="20" w:after="20" w:line="240" w:lineRule="auto"/>
            </w:pPr>
            <w:r>
              <w:rPr>
                <w:color w:val="1A202C"/>
                <w:sz w:val="20"/>
              </w:rPr>
              <w:t xml:space="preserve">1,458</w:t>
            </w:r>
          </w:p>
        </w:tc>
      </w:tr>
      <w:tr>
        <w:tc>
          <w:tcPr>
            <w:tcW w:w="1805" w:type="dxa"/>
            <w:tcMar>
              <w:top w:w="40" w:type="dxa"/>
              <w:left w:w="80" w:type="dxa"/>
              <w:bottom w:w="40" w:type="dxa"/>
              <w:right w:w="80" w:type="dxa"/>
            </w:tcMar>
          </w:tcPr>
          <w:p>
            <w:pPr>
              <w:spacing w:before="20" w:after="20" w:line="240" w:lineRule="auto"/>
            </w:pPr>
            <w:r>
              <w:rPr>
                <w:b/>
                <w:color w:val="1A202C"/>
                <w:sz w:val="20"/>
              </w:rPr>
              <w:t xml:space="preserve">TOTAL</w:t>
            </w:r>
          </w:p>
        </w:tc>
        <w:tc>
          <w:tcPr>
            <w:tcW w:w="1444" w:type="dxa"/>
            <w:tcMar>
              <w:top w:w="40" w:type="dxa"/>
              <w:left w:w="80" w:type="dxa"/>
              <w:bottom w:w="40" w:type="dxa"/>
              <w:right w:w="80" w:type="dxa"/>
            </w:tcMar>
          </w:tcPr>
          <w:p>
            <w:pPr>
              <w:spacing w:before="20" w:after="20" w:line="240" w:lineRule="auto"/>
            </w:pPr>
            <w:r>
              <w:rPr>
                <w:b/>
                <w:color w:val="1A202C"/>
                <w:sz w:val="20"/>
              </w:rPr>
              <w:t xml:space="preserve">$16.0B</w:t>
            </w:r>
          </w:p>
        </w:tc>
        <w:tc>
          <w:tcPr>
            <w:tcW w:w="1444" w:type="dxa"/>
            <w:tcMar>
              <w:top w:w="40" w:type="dxa"/>
              <w:left w:w="80" w:type="dxa"/>
              <w:bottom w:w="40" w:type="dxa"/>
              <w:right w:w="80" w:type="dxa"/>
            </w:tcMar>
          </w:tcPr>
          <w:p>
            <w:pPr>
              <w:spacing w:before="20" w:after="20" w:line="240" w:lineRule="auto"/>
            </w:pPr>
            <w:r>
              <w:rPr>
                <w:b/>
                <w:color w:val="1A202C"/>
                <w:sz w:val="20"/>
              </w:rPr>
              <w:t xml:space="preserve">$10.6B</w:t>
            </w:r>
          </w:p>
        </w:tc>
        <w:tc>
          <w:tcPr>
            <w:tcW w:w="1444" w:type="dxa"/>
            <w:tcMar>
              <w:top w:w="40" w:type="dxa"/>
              <w:left w:w="80" w:type="dxa"/>
              <w:bottom w:w="40" w:type="dxa"/>
              <w:right w:w="80" w:type="dxa"/>
            </w:tcMar>
          </w:tcPr>
          <w:p>
            <w:pPr>
              <w:spacing w:before="20" w:after="20" w:line="240" w:lineRule="auto"/>
            </w:pPr>
            <w:r>
              <w:rPr>
                <w:b/>
                <w:color w:val="1A202C"/>
                <w:sz w:val="20"/>
              </w:rPr>
              <w:t xml:space="preserve">$8.4B</w:t>
            </w:r>
          </w:p>
        </w:tc>
        <w:tc>
          <w:tcPr>
            <w:tcW w:w="1444" w:type="dxa"/>
            <w:tcMar>
              <w:top w:w="40" w:type="dxa"/>
              <w:left w:w="80" w:type="dxa"/>
              <w:bottom w:w="40" w:type="dxa"/>
              <w:right w:w="80" w:type="dxa"/>
            </w:tcMar>
          </w:tcPr>
          <w:p>
            <w:pPr>
              <w:spacing w:before="20" w:after="20" w:line="240" w:lineRule="auto"/>
            </w:pPr>
            <w:r>
              <w:rPr>
                <w:b/>
                <w:color w:val="1A202C"/>
                <w:sz w:val="20"/>
              </w:rPr>
              <w:t xml:space="preserve">$35.0B</w:t>
            </w:r>
          </w:p>
        </w:tc>
        <w:tc>
          <w:tcPr>
            <w:tcW w:w="1445" w:type="dxa"/>
            <w:tcMar>
              <w:top w:w="40" w:type="dxa"/>
              <w:left w:w="80" w:type="dxa"/>
              <w:bottom w:w="40" w:type="dxa"/>
              <w:right w:w="80" w:type="dxa"/>
            </w:tcMar>
          </w:tcPr>
          <w:p>
            <w:pPr>
              <w:spacing w:before="20" w:after="20" w:line="240" w:lineRule="auto"/>
            </w:pPr>
            <w:r>
              <w:rPr>
                <w:b/>
                <w:color w:val="1A202C"/>
                <w:sz w:val="20"/>
              </w:rPr>
              <w:t xml:space="preserve">29,161</w:t>
            </w:r>
          </w:p>
        </w:tc>
      </w:tr>
    </w:tbl>
    <w:p>
      <w:pPr>
        <w:pStyle w:val="Heading2"/>
      </w:pPr>
      <w:r>
        <w:t>Appendix C: Program Cost Tables</w:t>
      </w:r>
    </w:p>
    <w:p>
      <w:pPr>
        <w:spacing w:after="180" w:line="288" w:lineRule="auto"/>
      </w:pPr>
      <w:r>
        <w:t xml:space="preserve">Operating cost model (cost per flight hour, USD, AA-TS-2025-V2.5 Section 23.6):</w:t>
      </w:r>
    </w:p>
    <w:tbl>
      <w:tblPr>
        <w:tblW w:w="5000" w:type="pct"/>
        <w:tblBorders>
          <w:top w:val="single" w:color="1A2744" w:sz="12"/>
          <w:left w:val="nil"/>
          <w:bottom w:val="single" w:color="1A2744" w:sz="12"/>
          <w:right w:val="nil"/>
          <w:insideH w:val="single" w:color="C8C4BC" w:sz="4"/>
          <w:insideV w:val="nil"/>
        </w:tblBorders>
      </w:tblPr>
      <w:tblGrid>
        <w:gridCol w:w="3068"/>
        <w:gridCol w:w="1985"/>
        <w:gridCol w:w="1985"/>
        <w:gridCol w:w="1988"/>
      </w:tblGrid>
      <w:tr>
        <w:trPr>
          <w:tblHeader/>
        </w:trPr>
        <w:tc>
          <w:tcPr>
            <w:tcW w:w="3068" w:type="dxa"/>
            <w:shd w:val="clear" w:fill="F4F2EE"/>
            <w:tcMar>
              <w:top w:w="40" w:type="dxa"/>
              <w:left w:w="80" w:type="dxa"/>
              <w:bottom w:w="40" w:type="dxa"/>
              <w:right w:w="80" w:type="dxa"/>
            </w:tcMar>
          </w:tcPr>
          <w:p>
            <w:pPr>
              <w:spacing w:before="20" w:after="20" w:line="240" w:lineRule="auto"/>
            </w:pPr>
            <w:r>
              <w:rPr>
                <w:b/>
                <w:color w:val="1A2744"/>
                <w:sz w:val="20"/>
              </w:rPr>
              <w:t xml:space="preserve">Driver</w:t>
            </w:r>
          </w:p>
        </w:tc>
        <w:tc>
          <w:tcPr>
            <w:tcW w:w="1985" w:type="dxa"/>
            <w:shd w:val="clear" w:fill="F4F2EE"/>
            <w:tcMar>
              <w:top w:w="40" w:type="dxa"/>
              <w:left w:w="80" w:type="dxa"/>
              <w:bottom w:w="40" w:type="dxa"/>
              <w:right w:w="80" w:type="dxa"/>
            </w:tcMar>
          </w:tcPr>
          <w:p>
            <w:pPr>
              <w:spacing w:before="20" w:after="20" w:line="240" w:lineRule="auto"/>
            </w:pPr>
            <w:r>
              <w:rPr>
                <w:b/>
                <w:color w:val="1A2744"/>
                <w:sz w:val="20"/>
              </w:rPr>
              <w:t xml:space="preserve">FY2028 (Early)</w:t>
            </w:r>
          </w:p>
        </w:tc>
        <w:tc>
          <w:tcPr>
            <w:tcW w:w="1985" w:type="dxa"/>
            <w:shd w:val="clear" w:fill="F4F2EE"/>
            <w:tcMar>
              <w:top w:w="40" w:type="dxa"/>
              <w:left w:w="80" w:type="dxa"/>
              <w:bottom w:w="40" w:type="dxa"/>
              <w:right w:w="80" w:type="dxa"/>
            </w:tcMar>
          </w:tcPr>
          <w:p>
            <w:pPr>
              <w:spacing w:before="20" w:after="20" w:line="240" w:lineRule="auto"/>
            </w:pPr>
            <w:r>
              <w:rPr>
                <w:b/>
                <w:color w:val="1A2744"/>
                <w:sz w:val="20"/>
              </w:rPr>
              <w:t xml:space="preserve">FY2032 (Steady)</w:t>
            </w:r>
          </w:p>
        </w:tc>
        <w:tc>
          <w:tcPr>
            <w:tcW w:w="1988" w:type="dxa"/>
            <w:shd w:val="clear" w:fill="F4F2EE"/>
            <w:tcMar>
              <w:top w:w="40" w:type="dxa"/>
              <w:left w:w="80" w:type="dxa"/>
              <w:bottom w:w="40" w:type="dxa"/>
              <w:right w:w="80" w:type="dxa"/>
            </w:tcMar>
          </w:tcPr>
          <w:p>
            <w:pPr>
              <w:spacing w:before="20" w:after="20" w:line="240" w:lineRule="auto"/>
            </w:pPr>
            <w:r>
              <w:rPr>
                <w:b/>
                <w:color w:val="1A2744"/>
                <w:sz w:val="20"/>
              </w:rPr>
              <w:t xml:space="preserve">FY2040 (Mature)</w:t>
            </w:r>
          </w:p>
        </w:tc>
      </w:tr>
      <w:tr>
        <w:tc>
          <w:tcPr>
            <w:tcW w:w="3068" w:type="dxa"/>
            <w:tcMar>
              <w:top w:w="40" w:type="dxa"/>
              <w:left w:w="80" w:type="dxa"/>
              <w:bottom w:w="40" w:type="dxa"/>
              <w:right w:w="80" w:type="dxa"/>
            </w:tcMar>
          </w:tcPr>
          <w:p>
            <w:pPr>
              <w:spacing w:before="20" w:after="20" w:line="240" w:lineRule="auto"/>
            </w:pPr>
            <w:r>
              <w:rPr>
                <w:color w:val="1A202C"/>
                <w:sz w:val="20"/>
              </w:rPr>
              <w:t xml:space="preserve">Fuel (13,500 kg, 180 hr)</w:t>
            </w:r>
          </w:p>
        </w:tc>
        <w:tc>
          <w:tcPr>
            <w:tcW w:w="1985" w:type="dxa"/>
            <w:tcMar>
              <w:top w:w="40" w:type="dxa"/>
              <w:left w:w="80" w:type="dxa"/>
              <w:bottom w:w="40" w:type="dxa"/>
              <w:right w:w="80" w:type="dxa"/>
            </w:tcMar>
          </w:tcPr>
          <w:p>
            <w:pPr>
              <w:spacing w:before="20" w:after="20" w:line="240" w:lineRule="auto"/>
            </w:pPr>
            <w:r>
              <w:rPr>
                <w:color w:val="1A202C"/>
                <w:sz w:val="20"/>
              </w:rPr>
              <w:t xml:space="preserve">$4,100</w:t>
            </w:r>
          </w:p>
        </w:tc>
        <w:tc>
          <w:tcPr>
            <w:tcW w:w="1985" w:type="dxa"/>
            <w:tcMar>
              <w:top w:w="40" w:type="dxa"/>
              <w:left w:w="80" w:type="dxa"/>
              <w:bottom w:w="40" w:type="dxa"/>
              <w:right w:w="80" w:type="dxa"/>
            </w:tcMar>
          </w:tcPr>
          <w:p>
            <w:pPr>
              <w:spacing w:before="20" w:after="20" w:line="240" w:lineRule="auto"/>
            </w:pPr>
            <w:r>
              <w:rPr>
                <w:color w:val="1A202C"/>
                <w:sz w:val="20"/>
              </w:rPr>
              <w:t xml:space="preserve">$4,400</w:t>
            </w:r>
          </w:p>
        </w:tc>
        <w:tc>
          <w:tcPr>
            <w:tcW w:w="1988" w:type="dxa"/>
            <w:tcMar>
              <w:top w:w="40" w:type="dxa"/>
              <w:left w:w="80" w:type="dxa"/>
              <w:bottom w:w="40" w:type="dxa"/>
              <w:right w:w="80" w:type="dxa"/>
            </w:tcMar>
          </w:tcPr>
          <w:p>
            <w:pPr>
              <w:spacing w:before="20" w:after="20" w:line="240" w:lineRule="auto"/>
            </w:pPr>
            <w:r>
              <w:rPr>
                <w:color w:val="1A202C"/>
                <w:sz w:val="20"/>
              </w:rPr>
              <w:t xml:space="preserve">$5,200</w:t>
            </w:r>
          </w:p>
        </w:tc>
      </w:tr>
      <w:tr>
        <w:tc>
          <w:tcPr>
            <w:tcW w:w="3068" w:type="dxa"/>
            <w:tcMar>
              <w:top w:w="40" w:type="dxa"/>
              <w:left w:w="80" w:type="dxa"/>
              <w:bottom w:w="40" w:type="dxa"/>
              <w:right w:w="80" w:type="dxa"/>
            </w:tcMar>
          </w:tcPr>
          <w:p>
            <w:pPr>
              <w:spacing w:before="20" w:after="20" w:line="240" w:lineRule="auto"/>
            </w:pPr>
            <w:r>
              <w:rPr>
                <w:color w:val="1A202C"/>
                <w:sz w:val="20"/>
              </w:rPr>
              <w:t xml:space="preserve">Coating sustainment</w:t>
            </w:r>
          </w:p>
        </w:tc>
        <w:tc>
          <w:tcPr>
            <w:tcW w:w="1985" w:type="dxa"/>
            <w:tcMar>
              <w:top w:w="40" w:type="dxa"/>
              <w:left w:w="80" w:type="dxa"/>
              <w:bottom w:w="40" w:type="dxa"/>
              <w:right w:w="80" w:type="dxa"/>
            </w:tcMar>
          </w:tcPr>
          <w:p>
            <w:pPr>
              <w:spacing w:before="20" w:after="20" w:line="240" w:lineRule="auto"/>
            </w:pPr>
            <w:r>
              <w:rPr>
                <w:color w:val="1A202C"/>
                <w:sz w:val="20"/>
              </w:rPr>
              <w:t xml:space="preserve">$4,800</w:t>
            </w:r>
          </w:p>
        </w:tc>
        <w:tc>
          <w:tcPr>
            <w:tcW w:w="1985" w:type="dxa"/>
            <w:tcMar>
              <w:top w:w="40" w:type="dxa"/>
              <w:left w:w="80" w:type="dxa"/>
              <w:bottom w:w="40" w:type="dxa"/>
              <w:right w:w="80" w:type="dxa"/>
            </w:tcMar>
          </w:tcPr>
          <w:p>
            <w:pPr>
              <w:spacing w:before="20" w:after="20" w:line="240" w:lineRule="auto"/>
            </w:pPr>
            <w:r>
              <w:rPr>
                <w:color w:val="1A202C"/>
                <w:sz w:val="20"/>
              </w:rPr>
              <w:t xml:space="preserve">$3,400</w:t>
            </w:r>
          </w:p>
        </w:tc>
        <w:tc>
          <w:tcPr>
            <w:tcW w:w="1988" w:type="dxa"/>
            <w:tcMar>
              <w:top w:w="40" w:type="dxa"/>
              <w:left w:w="80" w:type="dxa"/>
              <w:bottom w:w="40" w:type="dxa"/>
              <w:right w:w="80" w:type="dxa"/>
            </w:tcMar>
          </w:tcPr>
          <w:p>
            <w:pPr>
              <w:spacing w:before="20" w:after="20" w:line="240" w:lineRule="auto"/>
            </w:pPr>
            <w:r>
              <w:rPr>
                <w:color w:val="1A202C"/>
                <w:sz w:val="20"/>
              </w:rPr>
              <w:t xml:space="preserve">$2,600</w:t>
            </w:r>
          </w:p>
        </w:tc>
      </w:tr>
      <w:tr>
        <w:tc>
          <w:tcPr>
            <w:tcW w:w="3068" w:type="dxa"/>
            <w:tcMar>
              <w:top w:w="40" w:type="dxa"/>
              <w:left w:w="80" w:type="dxa"/>
              <w:bottom w:w="40" w:type="dxa"/>
              <w:right w:w="80" w:type="dxa"/>
            </w:tcMar>
          </w:tcPr>
          <w:p>
            <w:pPr>
              <w:spacing w:before="20" w:after="20" w:line="240" w:lineRule="auto"/>
            </w:pPr>
            <w:r>
              <w:rPr>
                <w:color w:val="1A202C"/>
                <w:sz w:val="20"/>
              </w:rPr>
              <w:t xml:space="preserve">Consumables (OPCS, munitions)</w:t>
            </w:r>
          </w:p>
        </w:tc>
        <w:tc>
          <w:tcPr>
            <w:tcW w:w="1985" w:type="dxa"/>
            <w:tcMar>
              <w:top w:w="40" w:type="dxa"/>
              <w:left w:w="80" w:type="dxa"/>
              <w:bottom w:w="40" w:type="dxa"/>
              <w:right w:w="80" w:type="dxa"/>
            </w:tcMar>
          </w:tcPr>
          <w:p>
            <w:pPr>
              <w:spacing w:before="20" w:after="20" w:line="240" w:lineRule="auto"/>
            </w:pPr>
            <w:r>
              <w:rPr>
                <w:color w:val="1A202C"/>
                <w:sz w:val="20"/>
              </w:rPr>
              <w:t xml:space="preserve">$2,200</w:t>
            </w:r>
          </w:p>
        </w:tc>
        <w:tc>
          <w:tcPr>
            <w:tcW w:w="1985" w:type="dxa"/>
            <w:tcMar>
              <w:top w:w="40" w:type="dxa"/>
              <w:left w:w="80" w:type="dxa"/>
              <w:bottom w:w="40" w:type="dxa"/>
              <w:right w:w="80" w:type="dxa"/>
            </w:tcMar>
          </w:tcPr>
          <w:p>
            <w:pPr>
              <w:spacing w:before="20" w:after="20" w:line="240" w:lineRule="auto"/>
            </w:pPr>
            <w:r>
              <w:rPr>
                <w:color w:val="1A202C"/>
                <w:sz w:val="20"/>
              </w:rPr>
              <w:t xml:space="preserve">$2,400</w:t>
            </w:r>
          </w:p>
        </w:tc>
        <w:tc>
          <w:tcPr>
            <w:tcW w:w="1988" w:type="dxa"/>
            <w:tcMar>
              <w:top w:w="40" w:type="dxa"/>
              <w:left w:w="80" w:type="dxa"/>
              <w:bottom w:w="40" w:type="dxa"/>
              <w:right w:w="80" w:type="dxa"/>
            </w:tcMar>
          </w:tcPr>
          <w:p>
            <w:pPr>
              <w:spacing w:before="20" w:after="20" w:line="240" w:lineRule="auto"/>
            </w:pPr>
            <w:r>
              <w:rPr>
                <w:color w:val="1A202C"/>
                <w:sz w:val="20"/>
              </w:rPr>
              <w:t xml:space="preserve">$2,600</w:t>
            </w:r>
          </w:p>
        </w:tc>
      </w:tr>
      <w:tr>
        <w:tc>
          <w:tcPr>
            <w:tcW w:w="3068" w:type="dxa"/>
            <w:tcMar>
              <w:top w:w="40" w:type="dxa"/>
              <w:left w:w="80" w:type="dxa"/>
              <w:bottom w:w="40" w:type="dxa"/>
              <w:right w:w="80" w:type="dxa"/>
            </w:tcMar>
          </w:tcPr>
          <w:p>
            <w:pPr>
              <w:spacing w:before="20" w:after="20" w:line="240" w:lineRule="auto"/>
            </w:pPr>
            <w:r>
              <w:rPr>
                <w:color w:val="1A202C"/>
                <w:sz w:val="20"/>
              </w:rPr>
              <w:t xml:space="preserve">Maintenance labour (8.5 DMMH)</w:t>
            </w:r>
          </w:p>
        </w:tc>
        <w:tc>
          <w:tcPr>
            <w:tcW w:w="1985" w:type="dxa"/>
            <w:tcMar>
              <w:top w:w="40" w:type="dxa"/>
              <w:left w:w="80" w:type="dxa"/>
              <w:bottom w:w="40" w:type="dxa"/>
              <w:right w:w="80" w:type="dxa"/>
            </w:tcMar>
          </w:tcPr>
          <w:p>
            <w:pPr>
              <w:spacing w:before="20" w:after="20" w:line="240" w:lineRule="auto"/>
            </w:pPr>
            <w:r>
              <w:rPr>
                <w:color w:val="1A202C"/>
                <w:sz w:val="20"/>
              </w:rPr>
              <w:t xml:space="preserve">$9,800</w:t>
            </w:r>
          </w:p>
        </w:tc>
        <w:tc>
          <w:tcPr>
            <w:tcW w:w="1985" w:type="dxa"/>
            <w:tcMar>
              <w:top w:w="40" w:type="dxa"/>
              <w:left w:w="80" w:type="dxa"/>
              <w:bottom w:w="40" w:type="dxa"/>
              <w:right w:w="80" w:type="dxa"/>
            </w:tcMar>
          </w:tcPr>
          <w:p>
            <w:pPr>
              <w:spacing w:before="20" w:after="20" w:line="240" w:lineRule="auto"/>
            </w:pPr>
            <w:r>
              <w:rPr>
                <w:color w:val="1A202C"/>
                <w:sz w:val="20"/>
              </w:rPr>
              <w:t xml:space="preserve">$8,900</w:t>
            </w:r>
          </w:p>
        </w:tc>
        <w:tc>
          <w:tcPr>
            <w:tcW w:w="1988" w:type="dxa"/>
            <w:tcMar>
              <w:top w:w="40" w:type="dxa"/>
              <w:left w:w="80" w:type="dxa"/>
              <w:bottom w:w="40" w:type="dxa"/>
              <w:right w:w="80" w:type="dxa"/>
            </w:tcMar>
          </w:tcPr>
          <w:p>
            <w:pPr>
              <w:spacing w:before="20" w:after="20" w:line="240" w:lineRule="auto"/>
            </w:pPr>
            <w:r>
              <w:rPr>
                <w:color w:val="1A202C"/>
                <w:sz w:val="20"/>
              </w:rPr>
              <w:t xml:space="preserve">$8,200</w:t>
            </w:r>
          </w:p>
        </w:tc>
      </w:tr>
      <w:tr>
        <w:tc>
          <w:tcPr>
            <w:tcW w:w="3068" w:type="dxa"/>
            <w:tcMar>
              <w:top w:w="40" w:type="dxa"/>
              <w:left w:w="80" w:type="dxa"/>
              <w:bottom w:w="40" w:type="dxa"/>
              <w:right w:w="80" w:type="dxa"/>
            </w:tcMar>
          </w:tcPr>
          <w:p>
            <w:pPr>
              <w:spacing w:before="20" w:after="20" w:line="240" w:lineRule="auto"/>
            </w:pPr>
            <w:r>
              <w:rPr>
                <w:color w:val="1A202C"/>
                <w:sz w:val="20"/>
              </w:rPr>
              <w:t xml:space="preserve">Engine (TBO amortised)</w:t>
            </w:r>
          </w:p>
        </w:tc>
        <w:tc>
          <w:tcPr>
            <w:tcW w:w="1985" w:type="dxa"/>
            <w:tcMar>
              <w:top w:w="40" w:type="dxa"/>
              <w:left w:w="80" w:type="dxa"/>
              <w:bottom w:w="40" w:type="dxa"/>
              <w:right w:w="80" w:type="dxa"/>
            </w:tcMar>
          </w:tcPr>
          <w:p>
            <w:pPr>
              <w:spacing w:before="20" w:after="20" w:line="240" w:lineRule="auto"/>
            </w:pPr>
            <w:r>
              <w:rPr>
                <w:color w:val="1A202C"/>
                <w:sz w:val="20"/>
              </w:rPr>
              <w:t xml:space="preserve">$7,600</w:t>
            </w:r>
          </w:p>
        </w:tc>
        <w:tc>
          <w:tcPr>
            <w:tcW w:w="1985" w:type="dxa"/>
            <w:tcMar>
              <w:top w:w="40" w:type="dxa"/>
              <w:left w:w="80" w:type="dxa"/>
              <w:bottom w:w="40" w:type="dxa"/>
              <w:right w:w="80" w:type="dxa"/>
            </w:tcMar>
          </w:tcPr>
          <w:p>
            <w:pPr>
              <w:spacing w:before="20" w:after="20" w:line="240" w:lineRule="auto"/>
            </w:pPr>
            <w:r>
              <w:rPr>
                <w:color w:val="1A202C"/>
                <w:sz w:val="20"/>
              </w:rPr>
              <w:t xml:space="preserve">$7,000</w:t>
            </w:r>
          </w:p>
        </w:tc>
        <w:tc>
          <w:tcPr>
            <w:tcW w:w="1988" w:type="dxa"/>
            <w:tcMar>
              <w:top w:w="40" w:type="dxa"/>
              <w:left w:w="80" w:type="dxa"/>
              <w:bottom w:w="40" w:type="dxa"/>
              <w:right w:w="80" w:type="dxa"/>
            </w:tcMar>
          </w:tcPr>
          <w:p>
            <w:pPr>
              <w:spacing w:before="20" w:after="20" w:line="240" w:lineRule="auto"/>
            </w:pPr>
            <w:r>
              <w:rPr>
                <w:color w:val="1A202C"/>
                <w:sz w:val="20"/>
              </w:rPr>
              <w:t xml:space="preserve">$6,400</w:t>
            </w:r>
          </w:p>
        </w:tc>
      </w:tr>
      <w:tr>
        <w:tc>
          <w:tcPr>
            <w:tcW w:w="3068" w:type="dxa"/>
            <w:tcMar>
              <w:top w:w="40" w:type="dxa"/>
              <w:left w:w="80" w:type="dxa"/>
              <w:bottom w:w="40" w:type="dxa"/>
              <w:right w:w="80" w:type="dxa"/>
            </w:tcMar>
          </w:tcPr>
          <w:p>
            <w:pPr>
              <w:spacing w:before="20" w:after="20" w:line="240" w:lineRule="auto"/>
            </w:pPr>
            <w:r>
              <w:rPr>
                <w:color w:val="1A202C"/>
                <w:sz w:val="20"/>
              </w:rPr>
              <w:t xml:space="preserve">Spares and pipeline</w:t>
            </w:r>
          </w:p>
        </w:tc>
        <w:tc>
          <w:tcPr>
            <w:tcW w:w="1985" w:type="dxa"/>
            <w:tcMar>
              <w:top w:w="40" w:type="dxa"/>
              <w:left w:w="80" w:type="dxa"/>
              <w:bottom w:w="40" w:type="dxa"/>
              <w:right w:w="80" w:type="dxa"/>
            </w:tcMar>
          </w:tcPr>
          <w:p>
            <w:pPr>
              <w:spacing w:before="20" w:after="20" w:line="240" w:lineRule="auto"/>
            </w:pPr>
            <w:r>
              <w:rPr>
                <w:color w:val="1A202C"/>
                <w:sz w:val="20"/>
              </w:rPr>
              <w:t xml:space="preserve">$5,400</w:t>
            </w:r>
          </w:p>
        </w:tc>
        <w:tc>
          <w:tcPr>
            <w:tcW w:w="1985" w:type="dxa"/>
            <w:tcMar>
              <w:top w:w="40" w:type="dxa"/>
              <w:left w:w="80" w:type="dxa"/>
              <w:bottom w:w="40" w:type="dxa"/>
              <w:right w:w="80" w:type="dxa"/>
            </w:tcMar>
          </w:tcPr>
          <w:p>
            <w:pPr>
              <w:spacing w:before="20" w:after="20" w:line="240" w:lineRule="auto"/>
            </w:pPr>
            <w:r>
              <w:rPr>
                <w:color w:val="1A202C"/>
                <w:sz w:val="20"/>
              </w:rPr>
              <w:t xml:space="preserve">$4,800</w:t>
            </w:r>
          </w:p>
        </w:tc>
        <w:tc>
          <w:tcPr>
            <w:tcW w:w="1988" w:type="dxa"/>
            <w:tcMar>
              <w:top w:w="40" w:type="dxa"/>
              <w:left w:w="80" w:type="dxa"/>
              <w:bottom w:w="40" w:type="dxa"/>
              <w:right w:w="80" w:type="dxa"/>
            </w:tcMar>
          </w:tcPr>
          <w:p>
            <w:pPr>
              <w:spacing w:before="20" w:after="20" w:line="240" w:lineRule="auto"/>
            </w:pPr>
            <w:r>
              <w:rPr>
                <w:color w:val="1A202C"/>
                <w:sz w:val="20"/>
              </w:rPr>
              <w:t xml:space="preserve">$4,300</w:t>
            </w:r>
          </w:p>
        </w:tc>
      </w:tr>
      <w:tr>
        <w:tc>
          <w:tcPr>
            <w:tcW w:w="3068" w:type="dxa"/>
            <w:tcMar>
              <w:top w:w="40" w:type="dxa"/>
              <w:left w:w="80" w:type="dxa"/>
              <w:bottom w:w="40" w:type="dxa"/>
              <w:right w:w="80" w:type="dxa"/>
            </w:tcMar>
          </w:tcPr>
          <w:p>
            <w:pPr>
              <w:spacing w:before="20" w:after="20" w:line="240" w:lineRule="auto"/>
            </w:pPr>
            <w:r>
              <w:rPr>
                <w:color w:val="1A202C"/>
                <w:sz w:val="20"/>
              </w:rPr>
              <w:t xml:space="preserve">Overhead and support</w:t>
            </w:r>
          </w:p>
        </w:tc>
        <w:tc>
          <w:tcPr>
            <w:tcW w:w="1985" w:type="dxa"/>
            <w:tcMar>
              <w:top w:w="40" w:type="dxa"/>
              <w:left w:w="80" w:type="dxa"/>
              <w:bottom w:w="40" w:type="dxa"/>
              <w:right w:w="80" w:type="dxa"/>
            </w:tcMar>
          </w:tcPr>
          <w:p>
            <w:pPr>
              <w:spacing w:before="20" w:after="20" w:line="240" w:lineRule="auto"/>
            </w:pPr>
            <w:r>
              <w:rPr>
                <w:color w:val="1A202C"/>
                <w:sz w:val="20"/>
              </w:rPr>
              <w:t xml:space="preserve">$7,100</w:t>
            </w:r>
          </w:p>
        </w:tc>
        <w:tc>
          <w:tcPr>
            <w:tcW w:w="1985" w:type="dxa"/>
            <w:tcMar>
              <w:top w:w="40" w:type="dxa"/>
              <w:left w:w="80" w:type="dxa"/>
              <w:bottom w:w="40" w:type="dxa"/>
              <w:right w:w="80" w:type="dxa"/>
            </w:tcMar>
          </w:tcPr>
          <w:p>
            <w:pPr>
              <w:spacing w:before="20" w:after="20" w:line="240" w:lineRule="auto"/>
            </w:pPr>
            <w:r>
              <w:rPr>
                <w:color w:val="1A202C"/>
                <w:sz w:val="20"/>
              </w:rPr>
              <w:t xml:space="preserve">$7,100</w:t>
            </w:r>
          </w:p>
        </w:tc>
        <w:tc>
          <w:tcPr>
            <w:tcW w:w="1988" w:type="dxa"/>
            <w:tcMar>
              <w:top w:w="40" w:type="dxa"/>
              <w:left w:w="80" w:type="dxa"/>
              <w:bottom w:w="40" w:type="dxa"/>
              <w:right w:w="80" w:type="dxa"/>
            </w:tcMar>
          </w:tcPr>
          <w:p>
            <w:pPr>
              <w:spacing w:before="20" w:after="20" w:line="240" w:lineRule="auto"/>
            </w:pPr>
            <w:r>
              <w:rPr>
                <w:color w:val="1A202C"/>
                <w:sz w:val="20"/>
              </w:rPr>
              <w:t xml:space="preserve">$6,900</w:t>
            </w:r>
          </w:p>
        </w:tc>
      </w:tr>
      <w:tr>
        <w:tc>
          <w:tcPr>
            <w:tcW w:w="3068" w:type="dxa"/>
            <w:tcMar>
              <w:top w:w="40" w:type="dxa"/>
              <w:left w:w="80" w:type="dxa"/>
              <w:bottom w:w="40" w:type="dxa"/>
              <w:right w:w="80" w:type="dxa"/>
            </w:tcMar>
          </w:tcPr>
          <w:p>
            <w:pPr>
              <w:spacing w:before="20" w:after="20" w:line="240" w:lineRule="auto"/>
            </w:pPr>
            <w:r>
              <w:rPr>
                <w:b/>
                <w:color w:val="1A202C"/>
                <w:sz w:val="20"/>
              </w:rPr>
              <w:t xml:space="preserve">CPFH TOTAL</w:t>
            </w:r>
          </w:p>
        </w:tc>
        <w:tc>
          <w:tcPr>
            <w:tcW w:w="1985" w:type="dxa"/>
            <w:tcMar>
              <w:top w:w="40" w:type="dxa"/>
              <w:left w:w="80" w:type="dxa"/>
              <w:bottom w:w="40" w:type="dxa"/>
              <w:right w:w="80" w:type="dxa"/>
            </w:tcMar>
          </w:tcPr>
          <w:p>
            <w:pPr>
              <w:spacing w:before="20" w:after="20" w:line="240" w:lineRule="auto"/>
            </w:pPr>
            <w:r>
              <w:rPr>
                <w:b/>
                <w:color w:val="1A202C"/>
                <w:sz w:val="20"/>
              </w:rPr>
              <w:t xml:space="preserve">$41,000</w:t>
            </w:r>
          </w:p>
        </w:tc>
        <w:tc>
          <w:tcPr>
            <w:tcW w:w="1985" w:type="dxa"/>
            <w:tcMar>
              <w:top w:w="40" w:type="dxa"/>
              <w:left w:w="80" w:type="dxa"/>
              <w:bottom w:w="40" w:type="dxa"/>
              <w:right w:w="80" w:type="dxa"/>
            </w:tcMar>
          </w:tcPr>
          <w:p>
            <w:pPr>
              <w:spacing w:before="20" w:after="20" w:line="240" w:lineRule="auto"/>
            </w:pPr>
            <w:r>
              <w:rPr>
                <w:b/>
                <w:color w:val="1A202C"/>
                <w:sz w:val="20"/>
              </w:rPr>
              <w:t xml:space="preserve">$38,000</w:t>
            </w:r>
          </w:p>
        </w:tc>
        <w:tc>
          <w:tcPr>
            <w:tcW w:w="1988" w:type="dxa"/>
            <w:tcMar>
              <w:top w:w="40" w:type="dxa"/>
              <w:left w:w="80" w:type="dxa"/>
              <w:bottom w:w="40" w:type="dxa"/>
              <w:right w:w="80" w:type="dxa"/>
            </w:tcMar>
          </w:tcPr>
          <w:p>
            <w:pPr>
              <w:spacing w:before="20" w:after="20" w:line="240" w:lineRule="auto"/>
            </w:pPr>
            <w:r>
              <w:rPr>
                <w:b/>
                <w:color w:val="1A202C"/>
                <w:sz w:val="20"/>
              </w:rPr>
              <w:t xml:space="preserve">$36,200</w:t>
            </w:r>
          </w:p>
        </w:tc>
      </w:tr>
    </w:tbl>
    <w:p>
      <w:pPr>
        <w:spacing w:after="180" w:line="288" w:lineRule="auto"/>
      </w:pPr>
      <w:r>
        <w:t xml:space="preserve">Learning curve (88% Wright curve on touch labour, 95% on material and engine content):</w:t>
      </w:r>
    </w:p>
    <w:tbl>
      <w:tblPr>
        <w:tblW w:w="5000" w:type="pct"/>
        <w:tblBorders>
          <w:top w:val="single" w:color="1A2744" w:sz="12"/>
          <w:left w:val="nil"/>
          <w:bottom w:val="single" w:color="1A2744" w:sz="12"/>
          <w:right w:val="nil"/>
          <w:insideH w:val="single" w:color="C8C4BC" w:sz="4"/>
          <w:insideV w:val="nil"/>
        </w:tblBorders>
      </w:tblPr>
      <w:tblGrid>
        <w:gridCol w:w="2707"/>
        <w:gridCol w:w="1805"/>
        <w:gridCol w:w="4514"/>
      </w:tblGrid>
      <w:tr>
        <w:trPr>
          <w:tblHeader/>
        </w:trPr>
        <w:tc>
          <w:tcPr>
            <w:tcW w:w="2707" w:type="dxa"/>
            <w:shd w:val="clear" w:fill="F4F2EE"/>
            <w:tcMar>
              <w:top w:w="40" w:type="dxa"/>
              <w:left w:w="80" w:type="dxa"/>
              <w:bottom w:w="40" w:type="dxa"/>
              <w:right w:w="80" w:type="dxa"/>
            </w:tcMar>
          </w:tcPr>
          <w:p>
            <w:pPr>
              <w:spacing w:before="20" w:after="20" w:line="240" w:lineRule="auto"/>
            </w:pPr>
            <w:r>
              <w:rPr>
                <w:b/>
                <w:color w:val="1A2744"/>
                <w:sz w:val="20"/>
              </w:rPr>
              <w:t xml:space="preserve">Unit</w:t>
            </w:r>
          </w:p>
        </w:tc>
        <w:tc>
          <w:tcPr>
            <w:tcW w:w="1805" w:type="dxa"/>
            <w:shd w:val="clear" w:fill="F4F2EE"/>
            <w:tcMar>
              <w:top w:w="40" w:type="dxa"/>
              <w:left w:w="80" w:type="dxa"/>
              <w:bottom w:w="40" w:type="dxa"/>
              <w:right w:w="80" w:type="dxa"/>
            </w:tcMar>
          </w:tcPr>
          <w:p>
            <w:pPr>
              <w:spacing w:before="20" w:after="20" w:line="240" w:lineRule="auto"/>
            </w:pPr>
            <w:r>
              <w:rPr>
                <w:b/>
                <w:color w:val="1A2744"/>
                <w:sz w:val="20"/>
              </w:rPr>
              <w:t xml:space="preserve">Cumulative Cost Basis</w:t>
            </w:r>
          </w:p>
        </w:tc>
        <w:tc>
          <w:tcPr>
            <w:tcW w:w="4514" w:type="dxa"/>
            <w:shd w:val="clear" w:fill="F4F2EE"/>
            <w:tcMar>
              <w:top w:w="40" w:type="dxa"/>
              <w:left w:w="80" w:type="dxa"/>
              <w:bottom w:w="40" w:type="dxa"/>
              <w:right w:w="80" w:type="dxa"/>
            </w:tcMar>
          </w:tcPr>
          <w:p>
            <w:pPr>
              <w:spacing w:before="20" w:after="20" w:line="240" w:lineRule="auto"/>
            </w:pPr>
            <w:r>
              <w:rPr>
                <w:b/>
                <w:color w:val="1A2744"/>
                <w:sz w:val="20"/>
              </w:rPr>
              <w:t xml:space="preserve">Unit Cost ($M USD)</w:t>
            </w:r>
          </w:p>
        </w:tc>
      </w:tr>
      <w:tr>
        <w:tc>
          <w:tcPr>
            <w:tcW w:w="2707" w:type="dxa"/>
            <w:tcMar>
              <w:top w:w="40" w:type="dxa"/>
              <w:left w:w="80" w:type="dxa"/>
              <w:bottom w:w="40" w:type="dxa"/>
              <w:right w:w="80" w:type="dxa"/>
            </w:tcMar>
          </w:tcPr>
          <w:p>
            <w:pPr>
              <w:spacing w:before="20" w:after="20" w:line="240" w:lineRule="auto"/>
            </w:pPr>
            <w:r>
              <w:rPr>
                <w:color w:val="1A202C"/>
                <w:sz w:val="20"/>
              </w:rPr>
              <w:t xml:space="preserve">First article</w:t>
            </w:r>
          </w:p>
        </w:tc>
        <w:tc>
          <w:tcPr>
            <w:tcW w:w="1805" w:type="dxa"/>
            <w:tcMar>
              <w:top w:w="40" w:type="dxa"/>
              <w:left w:w="80" w:type="dxa"/>
              <w:bottom w:w="40" w:type="dxa"/>
              <w:right w:w="80" w:type="dxa"/>
            </w:tcMar>
          </w:tcPr>
          <w:p>
            <w:pPr>
              <w:spacing w:before="20" w:after="20" w:line="240" w:lineRule="auto"/>
            </w:pPr>
            <w:r>
              <w:rPr>
                <w:color w:val="1A202C"/>
                <w:sz w:val="20"/>
              </w:rPr>
              <w:t xml:space="preserve">Tooling amortised</w:t>
            </w:r>
          </w:p>
        </w:tc>
        <w:tc>
          <w:tcPr>
            <w:tcW w:w="4514" w:type="dxa"/>
            <w:tcMar>
              <w:top w:w="40" w:type="dxa"/>
              <w:left w:w="80" w:type="dxa"/>
              <w:bottom w:w="40" w:type="dxa"/>
              <w:right w:w="80" w:type="dxa"/>
            </w:tcMar>
          </w:tcPr>
          <w:p>
            <w:pPr>
              <w:spacing w:before="20" w:after="20" w:line="240" w:lineRule="auto"/>
            </w:pPr>
            <w:r>
              <w:rPr>
                <w:color w:val="1A202C"/>
                <w:sz w:val="20"/>
              </w:rPr>
              <w:t xml:space="preserve">168</w:t>
            </w:r>
          </w:p>
        </w:tc>
      </w:tr>
      <w:tr>
        <w:tc>
          <w:tcPr>
            <w:tcW w:w="2707" w:type="dxa"/>
            <w:tcMar>
              <w:top w:w="40" w:type="dxa"/>
              <w:left w:w="80" w:type="dxa"/>
              <w:bottom w:w="40" w:type="dxa"/>
              <w:right w:w="80" w:type="dxa"/>
            </w:tcMar>
          </w:tcPr>
          <w:p>
            <w:pPr>
              <w:spacing w:before="20" w:after="20" w:line="240" w:lineRule="auto"/>
            </w:pPr>
            <w:r>
              <w:rPr>
                <w:color w:val="1A202C"/>
                <w:sz w:val="20"/>
              </w:rPr>
              <w:t xml:space="preserve">Unit 24</w:t>
            </w:r>
          </w:p>
        </w:tc>
        <w:tc>
          <w:tcPr>
            <w:tcW w:w="1805" w:type="dxa"/>
            <w:tcMar>
              <w:top w:w="40" w:type="dxa"/>
              <w:left w:w="80" w:type="dxa"/>
              <w:bottom w:w="40" w:type="dxa"/>
              <w:right w:w="80" w:type="dxa"/>
            </w:tcMar>
          </w:tcPr>
          <w:p>
            <w:pPr>
              <w:spacing w:before="20" w:after="20" w:line="240" w:lineRule="auto"/>
            </w:pPr>
            <w:r>
              <w:rPr>
                <w:color w:val="1A202C"/>
                <w:sz w:val="20"/>
              </w:rPr>
              <w:t xml:space="preserve">First full-rate year</w:t>
            </w:r>
          </w:p>
        </w:tc>
        <w:tc>
          <w:tcPr>
            <w:tcW w:w="4514" w:type="dxa"/>
            <w:tcMar>
              <w:top w:w="40" w:type="dxa"/>
              <w:left w:w="80" w:type="dxa"/>
              <w:bottom w:w="40" w:type="dxa"/>
              <w:right w:w="80" w:type="dxa"/>
            </w:tcMar>
          </w:tcPr>
          <w:p>
            <w:pPr>
              <w:spacing w:before="20" w:after="20" w:line="240" w:lineRule="auto"/>
            </w:pPr>
            <w:r>
              <w:rPr>
                <w:color w:val="1A202C"/>
                <w:sz w:val="20"/>
              </w:rPr>
              <w:t xml:space="preserve">122</w:t>
            </w:r>
          </w:p>
        </w:tc>
      </w:tr>
      <w:tr>
        <w:tc>
          <w:tcPr>
            <w:tcW w:w="2707" w:type="dxa"/>
            <w:tcMar>
              <w:top w:w="40" w:type="dxa"/>
              <w:left w:w="80" w:type="dxa"/>
              <w:bottom w:w="40" w:type="dxa"/>
              <w:right w:w="80" w:type="dxa"/>
            </w:tcMar>
          </w:tcPr>
          <w:p>
            <w:pPr>
              <w:spacing w:before="20" w:after="20" w:line="240" w:lineRule="auto"/>
            </w:pPr>
            <w:r>
              <w:rPr>
                <w:color w:val="1A202C"/>
                <w:sz w:val="20"/>
              </w:rPr>
              <w:t xml:space="preserve">Unit 60</w:t>
            </w:r>
          </w:p>
        </w:tc>
        <w:tc>
          <w:tcPr>
            <w:tcW w:w="1805" w:type="dxa"/>
            <w:tcMar>
              <w:top w:w="40" w:type="dxa"/>
              <w:left w:w="80" w:type="dxa"/>
              <w:bottom w:w="40" w:type="dxa"/>
              <w:right w:w="80" w:type="dxa"/>
            </w:tcMar>
          </w:tcPr>
          <w:p>
            <w:pPr>
              <w:spacing w:before="20" w:after="20" w:line="240" w:lineRule="auto"/>
            </w:pPr>
            <w:r>
              <w:rPr>
                <w:color w:val="1A202C"/>
                <w:sz w:val="20"/>
              </w:rPr>
              <w:t xml:space="preserve">Peak-rate learning</w:t>
            </w:r>
          </w:p>
        </w:tc>
        <w:tc>
          <w:tcPr>
            <w:tcW w:w="4514" w:type="dxa"/>
            <w:tcMar>
              <w:top w:w="40" w:type="dxa"/>
              <w:left w:w="80" w:type="dxa"/>
              <w:bottom w:w="40" w:type="dxa"/>
              <w:right w:w="80" w:type="dxa"/>
            </w:tcMar>
          </w:tcPr>
          <w:p>
            <w:pPr>
              <w:spacing w:before="20" w:after="20" w:line="240" w:lineRule="auto"/>
            </w:pPr>
            <w:r>
              <w:rPr>
                <w:color w:val="1A202C"/>
                <w:sz w:val="20"/>
              </w:rPr>
              <w:t xml:space="preserve">106</w:t>
            </w:r>
          </w:p>
        </w:tc>
      </w:tr>
      <w:tr>
        <w:tc>
          <w:tcPr>
            <w:tcW w:w="2707" w:type="dxa"/>
            <w:tcMar>
              <w:top w:w="40" w:type="dxa"/>
              <w:left w:w="80" w:type="dxa"/>
              <w:bottom w:w="40" w:type="dxa"/>
              <w:right w:w="80" w:type="dxa"/>
            </w:tcMar>
          </w:tcPr>
          <w:p>
            <w:pPr>
              <w:spacing w:before="20" w:after="20" w:line="240" w:lineRule="auto"/>
            </w:pPr>
            <w:r>
              <w:rPr>
                <w:color w:val="1A202C"/>
                <w:sz w:val="20"/>
              </w:rPr>
              <w:t xml:space="preserve">Unit 120</w:t>
            </w:r>
          </w:p>
        </w:tc>
        <w:tc>
          <w:tcPr>
            <w:tcW w:w="1805" w:type="dxa"/>
            <w:tcMar>
              <w:top w:w="40" w:type="dxa"/>
              <w:left w:w="80" w:type="dxa"/>
              <w:bottom w:w="40" w:type="dxa"/>
              <w:right w:w="80" w:type="dxa"/>
            </w:tcMar>
          </w:tcPr>
          <w:p>
            <w:pPr>
              <w:spacing w:before="20" w:after="20" w:line="240" w:lineRule="auto"/>
            </w:pPr>
            <w:r>
              <w:rPr>
                <w:color w:val="1A202C"/>
                <w:sz w:val="20"/>
              </w:rPr>
              <w:t xml:space="preserve">Steady state</w:t>
            </w:r>
          </w:p>
        </w:tc>
        <w:tc>
          <w:tcPr>
            <w:tcW w:w="4514" w:type="dxa"/>
            <w:tcMar>
              <w:top w:w="40" w:type="dxa"/>
              <w:left w:w="80" w:type="dxa"/>
              <w:bottom w:w="40" w:type="dxa"/>
              <w:right w:w="80" w:type="dxa"/>
            </w:tcMar>
          </w:tcPr>
          <w:p>
            <w:pPr>
              <w:spacing w:before="20" w:after="20" w:line="240" w:lineRule="auto"/>
            </w:pPr>
            <w:r>
              <w:rPr>
                <w:color w:val="1A202C"/>
                <w:sz w:val="20"/>
              </w:rPr>
              <w:t xml:space="preserve">100</w:t>
            </w:r>
          </w:p>
        </w:tc>
      </w:tr>
      <w:tr>
        <w:tc>
          <w:tcPr>
            <w:tcW w:w="2707" w:type="dxa"/>
            <w:tcMar>
              <w:top w:w="40" w:type="dxa"/>
              <w:left w:w="80" w:type="dxa"/>
              <w:bottom w:w="40" w:type="dxa"/>
              <w:right w:w="80" w:type="dxa"/>
            </w:tcMar>
          </w:tcPr>
          <w:p>
            <w:pPr>
              <w:spacing w:before="20" w:after="20" w:line="240" w:lineRule="auto"/>
            </w:pPr>
            <w:r>
              <w:rPr>
                <w:color w:val="1A202C"/>
                <w:sz w:val="20"/>
              </w:rPr>
              <w:t xml:space="preserve">Unit 204</w:t>
            </w:r>
          </w:p>
        </w:tc>
        <w:tc>
          <w:tcPr>
            <w:tcW w:w="1805" w:type="dxa"/>
            <w:tcMar>
              <w:top w:w="40" w:type="dxa"/>
              <w:left w:w="80" w:type="dxa"/>
              <w:bottom w:w="40" w:type="dxa"/>
              <w:right w:w="80" w:type="dxa"/>
            </w:tcMar>
          </w:tcPr>
          <w:p>
            <w:pPr>
              <w:spacing w:before="20" w:after="20" w:line="240" w:lineRule="auto"/>
            </w:pPr>
            <w:r>
              <w:rPr>
                <w:color w:val="1A202C"/>
                <w:sz w:val="20"/>
              </w:rPr>
              <w:t xml:space="preserve">End of run</w:t>
            </w:r>
          </w:p>
        </w:tc>
        <w:tc>
          <w:tcPr>
            <w:tcW w:w="4514" w:type="dxa"/>
            <w:tcMar>
              <w:top w:w="40" w:type="dxa"/>
              <w:left w:w="80" w:type="dxa"/>
              <w:bottom w:w="40" w:type="dxa"/>
              <w:right w:w="80" w:type="dxa"/>
            </w:tcMar>
          </w:tcPr>
          <w:p>
            <w:pPr>
              <w:spacing w:before="20" w:after="20" w:line="240" w:lineRule="auto"/>
            </w:pPr>
            <w:r>
              <w:rPr>
                <w:color w:val="1A202C"/>
                <w:sz w:val="20"/>
              </w:rPr>
              <w:t xml:space="preserve">94</w:t>
            </w:r>
          </w:p>
        </w:tc>
      </w:tr>
      <w:tr>
        <w:tc>
          <w:tcPr>
            <w:tcW w:w="2707" w:type="dxa"/>
            <w:tcMar>
              <w:top w:w="40" w:type="dxa"/>
              <w:left w:w="80" w:type="dxa"/>
              <w:bottom w:w="40" w:type="dxa"/>
              <w:right w:w="80" w:type="dxa"/>
            </w:tcMar>
          </w:tcPr>
          <w:p>
            <w:pPr>
              <w:spacing w:before="20" w:after="20" w:line="240" w:lineRule="auto"/>
            </w:pPr>
            <w:r>
              <w:rPr>
                <w:b/>
                <w:color w:val="1A202C"/>
                <w:sz w:val="20"/>
              </w:rPr>
              <w:t xml:space="preserve">204-unit average</w:t>
            </w:r>
          </w:p>
        </w:tc>
        <w:tc>
          <w:tcPr>
            <w:tcW w:w="1805" w:type="dxa"/>
            <w:tcMar>
              <w:top w:w="40" w:type="dxa"/>
              <w:left w:w="80" w:type="dxa"/>
              <w:bottom w:w="40" w:type="dxa"/>
              <w:right w:w="80" w:type="dxa"/>
            </w:tcMar>
          </w:tcPr>
          <w:p>
            <w:pPr>
              <w:spacing w:before="20" w:after="20" w:line="240" w:lineRule="auto"/>
            </w:pPr>
            <w:r>
              <w:rPr>
                <w:b/>
                <w:color w:val="1A202C"/>
                <w:sz w:val="20"/>
              </w:rPr>
              <w:t xml:space="preserve">Planning value</w:t>
            </w:r>
          </w:p>
        </w:tc>
        <w:tc>
          <w:tcPr>
            <w:tcW w:w="4514" w:type="dxa"/>
            <w:tcMar>
              <w:top w:w="40" w:type="dxa"/>
              <w:left w:w="80" w:type="dxa"/>
              <w:bottom w:w="40" w:type="dxa"/>
              <w:right w:w="80" w:type="dxa"/>
            </w:tcMar>
          </w:tcPr>
          <w:p>
            <w:pPr>
              <w:spacing w:before="20" w:after="20" w:line="240" w:lineRule="auto"/>
            </w:pPr>
            <w:r>
              <w:rPr>
                <w:b/>
                <w:color w:val="1A202C"/>
                <w:sz w:val="20"/>
              </w:rPr>
              <w:t xml:space="preserve">98</w:t>
            </w:r>
          </w:p>
        </w:tc>
      </w:tr>
    </w:tbl>
    <w:p>
      <w:pPr>
        <w:pStyle w:val="Heading2"/>
      </w:pPr>
      <w:r>
        <w:t>Appendix D: Supply Chain Mapping</w:t>
      </w:r>
    </w:p>
    <w:p>
      <w:pPr>
        <w:spacing w:after="180" w:line="288" w:lineRule="auto"/>
      </w:pPr>
      <w:r>
        <w:t xml:space="preserve">The supply chain comprises roughly 550 active suppliers in three tiers. Tier 1 (8 to 12 firms): final assembly, engines, radar, mission systems, flight controls. Tier 2 (50 to 70 firms): composite structures, landing gear, actuators, precision machining, coating. Tier 3 (450+ firms): raw materials, fasteners, components, and services. The battery and power-electronics chain draws on the Quebec-Ontario battery belt, and the GaN chain anchors a new domestic compound-semiconductor line. A detailed supplier map accompanies the program office submission as ECD-AURORA-2026-001-SUPPLY-MAP.PDF.</w:t>
      </w:r>
    </w:p>
    <w:p>
      <w:pPr>
        <w:pStyle w:val="Heading2"/>
      </w:pPr>
      <w:r>
        <w:t>Appendix E: Workforce Transition Program</w:t>
      </w:r>
    </w:p>
    <w:p>
      <w:pPr>
        <w:spacing w:after="180" w:line="288" w:lineRule="auto"/>
      </w:pPr>
      <w:r>
        <w:t xml:space="preserve">The Auto-to-Aero stream operates as a $1.1 billion, seven-year initiative. Delivery partners: Bombardier-class primes for manufacturing, MDA-class firms for electronics, CAE for simulation, plus four colleges. Eligibility: previous automotive-sector employment, residence in a transition community, and a competency assessment. Stipend: 75% of previous wage, capped at $65,000 per year. Annual capacity: 1,380 transitioned workers across five skills streams.</w:t>
      </w:r>
    </w:p>
    <w:p>
      <w:pPr>
        <w:pStyle w:val="Heading2"/>
      </w:pPr>
      <w:r>
        <w:t>Appendix F: Sensitivity Analysis</w:t>
      </w:r>
    </w:p>
    <w:p>
      <w:pPr>
        <w:spacing w:after="180" w:line="288" w:lineRule="auto"/>
      </w:pPr>
      <w:r>
        <w:t xml:space="preserve">Monte Carlo results (10,000 iterations) accompany the program office submission as ECD-AURORA-2026-001-SENSITIVITY.XLSX. Triangular distributions govern procurement cost (+/-12%), Canadian content (+/-7 points), employment multiplier (+/-0.24x), and exchange rate (+/-0.14). The 95% confidence intervals: total jobs 25,400 to 32,800; GDP $30.9 billion to $39.1 billion; tax revenue $6.2 billion to $7.8 billion.</w:t>
      </w:r>
    </w:p>
    <w:p>
      <w:pPr>
        <w:pStyle w:val="Heading2"/>
      </w:pPr>
      <w:r>
        <w:t>Appendix G: Sources and Bibliography</w:t>
      </w:r>
    </w:p>
    <w:p>
      <w:pPr>
        <w:numPr>
          <w:ilvl w:val="0"/>
          <w:numId w:val="1"/>
        </w:numPr>
        <w:spacing w:after="180" w:line="288" w:lineRule="auto"/>
      </w:pPr>
      <w:r>
        <w:t xml:space="preserve">ISED and AIAC, State of Canada's Aerospace Industry (2024 data edition; 2025 data edition, July 2026).</w:t>
      </w:r>
    </w:p>
    <w:p>
      <w:pPr>
        <w:numPr>
          <w:ilvl w:val="0"/>
          <w:numId w:val="1"/>
        </w:numPr>
        <w:spacing w:after="180" w:line="288" w:lineRule="auto"/>
      </w:pPr>
      <w:r>
        <w:t xml:space="preserve">AIAC and ISED joint release, July 2026: $33.1B GDP, 218,700 jobs, $28.2B exports, $1.8B R&amp;D (2025 data).</w:t>
      </w:r>
    </w:p>
    <w:p>
      <w:pPr>
        <w:numPr>
          <w:ilvl w:val="0"/>
          <w:numId w:val="1"/>
        </w:numPr>
        <w:spacing w:after="180" w:line="288" w:lineRule="auto"/>
      </w:pPr>
      <w:r>
        <w:t xml:space="preserve">Department of National Defence, Security, Sovereignty and Prosperity: Canada's Defence Industrial Strategy, February 2026.</w:t>
      </w:r>
    </w:p>
    <w:p>
      <w:pPr>
        <w:numPr>
          <w:ilvl w:val="0"/>
          <w:numId w:val="1"/>
        </w:numPr>
        <w:spacing w:after="180" w:line="288" w:lineRule="auto"/>
      </w:pPr>
      <w:r>
        <w:t xml:space="preserve">Office of the Prime Minister, Canada achieves the NATO 2% defence spending benchmark, March 2026.</w:t>
      </w:r>
    </w:p>
    <w:p>
      <w:pPr>
        <w:numPr>
          <w:ilvl w:val="0"/>
          <w:numId w:val="1"/>
        </w:numPr>
        <w:spacing w:after="180" w:line="288" w:lineRule="auto"/>
      </w:pPr>
      <w:r>
        <w:t xml:space="preserve">Office of the Prime Minister, launch of Canada's first Defence Industrial Strategy, February 2026.</w:t>
      </w:r>
    </w:p>
    <w:p>
      <w:pPr>
        <w:numPr>
          <w:ilvl w:val="0"/>
          <w:numId w:val="1"/>
        </w:numPr>
        <w:spacing w:after="180" w:line="288" w:lineRule="auto"/>
      </w:pPr>
      <w:r>
        <w:t xml:space="preserve">Parliamentary Budget Officer, Supplementary Estimates (A) and Defence Spending, June 2025.</w:t>
      </w:r>
    </w:p>
    <w:p>
      <w:pPr>
        <w:numPr>
          <w:ilvl w:val="0"/>
          <w:numId w:val="1"/>
        </w:numPr>
        <w:spacing w:after="180" w:line="288" w:lineRule="auto"/>
      </w:pPr>
      <w:r>
        <w:t xml:space="preserve">Office of the Auditor General of Canada, Delivering Canada's Future Fighter Jet Capability, June 2025.</w:t>
      </w:r>
    </w:p>
    <w:p>
      <w:pPr>
        <w:numPr>
          <w:ilvl w:val="0"/>
          <w:numId w:val="1"/>
        </w:numPr>
        <w:spacing w:after="180" w:line="288" w:lineRule="auto"/>
      </w:pPr>
      <w:r>
        <w:t xml:space="preserve">Budget 2025, Chapter 4: Protecting Canada's Sovereignty and Security, November 2025.</w:t>
      </w:r>
    </w:p>
    <w:p>
      <w:pPr>
        <w:numPr>
          <w:ilvl w:val="0"/>
          <w:numId w:val="1"/>
        </w:numPr>
        <w:spacing w:after="180" w:line="288" w:lineRule="auto"/>
      </w:pPr>
      <w:r>
        <w:t xml:space="preserve">UK Ministry of Defence and Forces News, Canada joins GCAP as first observer nation, July 2026.</w:t>
      </w:r>
    </w:p>
    <w:p>
      <w:pPr>
        <w:numPr>
          <w:ilvl w:val="0"/>
          <w:numId w:val="1"/>
        </w:numPr>
        <w:spacing w:after="180" w:line="288" w:lineRule="auto"/>
      </w:pPr>
      <w:r>
        <w:t xml:space="preserve">Saab Canada industrial proposal reporting (Globe and Mail via AeroTime), December 2025.</w:t>
      </w:r>
    </w:p>
    <w:p>
      <w:pPr>
        <w:numPr>
          <w:ilvl w:val="0"/>
          <w:numId w:val="1"/>
        </w:numPr>
        <w:spacing w:after="180" w:line="288" w:lineRule="auto"/>
      </w:pPr>
      <w:r>
        <w:t xml:space="preserve">Aurora Arrow Systems Engineering Directorate, AA-TS-2025-V2.5 Rev 2.5.15 (conceptual design baseline), August 2026.</w:t>
      </w:r>
    </w:p>
    <w:p>
      <w:pPr>
        <w:numPr>
          <w:ilvl w:val="0"/>
          <w:numId w:val="1"/>
        </w:numPr>
        <w:spacing w:after="180" w:line="288" w:lineRule="auto"/>
      </w:pPr>
      <w:r>
        <w:t xml:space="preserve">UCAS Program Office, ECD-ARCTIC-2026-001: The Economic Northern Horizon Outlook, June 2026 (methodology companion).</w:t>
      </w:r>
    </w:p>
    <w:p>
      <w:pPr>
        <w:numPr>
          <w:ilvl w:val="0"/>
          <w:numId w:val="1"/>
        </w:numPr>
        <w:spacing w:after="180" w:line="288" w:lineRule="auto"/>
      </w:pPr>
      <w:r>
        <w:t xml:space="preserve">PwC Canada, Bombardier Economic Footprint, 2025.</w:t>
      </w:r>
    </w:p>
    <w:p>
      <w:pPr>
        <w:numPr>
          <w:ilvl w:val="0"/>
          <w:numId w:val="1"/>
        </w:numPr>
        <w:spacing w:after="180" w:line="288" w:lineRule="auto"/>
      </w:pPr>
      <w:r>
        <w:t xml:space="preserve">Canadian Council for Aviation and Aerospace, Labour Market Information Report.</w:t>
      </w:r>
    </w:p>
    <w:p>
      <w:pPr>
        <w:numPr>
          <w:ilvl w:val="0"/>
          <w:numId w:val="1"/>
        </w:numPr>
        <w:spacing w:after="180" w:line="288" w:lineRule="auto"/>
      </w:pPr>
      <w:r>
        <w:t xml:space="preserve">HM Government, Joint statement from member countries of the Multilateral Defence Mechanism (UK, Netherlands, Finland, Poland), July 2026.</w:t>
      </w:r>
    </w:p>
    <w:p>
      <w:pPr>
        <w:numPr>
          <w:ilvl w:val="0"/>
          <w:numId w:val="1"/>
        </w:numPr>
        <w:spacing w:after="180" w:line="288" w:lineRule="auto"/>
      </w:pPr>
      <w:r>
        <w:t xml:space="preserve">GCAP Agency and Edgewing contract announcements, April and July 2026 (£686M design contract; £4.6B 18-month advanced concept and detailed design contract).</w:t>
      </w:r>
    </w:p>
    <w:p>
      <w:pPr>
        <w:numPr>
          <w:ilvl w:val="0"/>
          <w:numId w:val="1"/>
        </w:numPr>
        <w:spacing w:after="180" w:line="288" w:lineRule="auto"/>
      </w:pPr>
      <w:r>
        <w:t xml:space="preserve">BAE Systems, Leonardo, and JAIEC, Edgewing joint venture establishment with 33.3% equal shareholdings, December 2024.</w:t>
      </w:r>
    </w:p>
    <w:p>
      <w:pPr>
        <w:numPr>
          <w:ilvl w:val="0"/>
          <w:numId w:val="1"/>
        </w:numPr>
        <w:spacing w:after="180" w:line="288" w:lineRule="auto"/>
      </w:pPr>
      <w:r>
        <w:t xml:space="preserve">GCAP International Government Organisation (GIGO) treaty, Tokyo, December 2023; ratified by Japan, the UK, and Italy during 2024.</w:t>
      </w:r>
    </w:p>
    <w:p>
      <w:pPr>
        <w:numPr>
          <w:ilvl w:val="0"/>
          <w:numId w:val="1"/>
        </w:numPr>
        <w:spacing w:after="180" w:line="288" w:lineRule="auto"/>
      </w:pPr>
      <w:r>
        <w:t xml:space="preserve">Istituto Affari Internazionali, The New Partnership among Italy, Japan and the UK on the Global Combat Air Programme, 2026 (governance and workshare analysis).</w:t>
      </w:r>
    </w:p>
    <w:p>
      <w:pPr>
        <w:numPr>
          <w:ilvl w:val="0"/>
          <w:numId w:val="1"/>
        </w:numPr>
        <w:spacing w:after="180" w:line="288" w:lineRule="auto"/>
      </w:pPr>
      <w:r>
        <w:t xml:space="preserve">UK House of Commons Defence Committee, Global Combat Air Programme report (workshare flexibility recommendations), 2025.</w:t>
      </w:r>
    </w:p>
    <w:p>
      <w:pPr>
        <w:numPr>
          <w:ilvl w:val="0"/>
          <w:numId w:val="1"/>
        </w:numPr>
        <w:spacing w:after="180" w:line="288" w:lineRule="auto"/>
      </w:pPr>
      <w:r>
        <w:t xml:space="preserve">Office of the Prime Minister, Eight countries commit to supporting the Canada-led Defence, Security and Resilience Bank, NATO Summit, Ankara, July 2026.</w:t>
      </w:r>
    </w:p>
    <w:p>
      <w:pPr>
        <w:numPr>
          <w:ilvl w:val="0"/>
          <w:numId w:val="1"/>
        </w:numPr>
        <w:spacing w:after="180" w:line="288" w:lineRule="auto"/>
      </w:pPr>
      <w:r>
        <w:t xml:space="preserve">DSRB charter negotiations, Montréal, April 2026: 19 founding members, Canada selected as headquarters host.</w:t>
      </w:r>
    </w:p>
    <w:p>
      <w:pPr>
        <w:numPr>
          <w:ilvl w:val="0"/>
          <w:numId w:val="1"/>
        </w:numPr>
        <w:spacing w:after="180" w:line="288" w:lineRule="auto"/>
      </w:pPr>
      <w:r>
        <w:t xml:space="preserve">Japan Ministry of Defense, FY2026 Defense Budget: ¥160.2 billion for Next-Generation Fighter Aircraft development under GIGO, December 2025.</w:t>
      </w:r>
    </w:p>
    <w:p>
      <w:pPr>
        <w:numPr>
          <w:ilvl w:val="0"/>
          <w:numId w:val="1"/>
        </w:numPr>
        <w:spacing w:after="180" w:line="288" w:lineRule="auto"/>
      </w:pPr>
      <w:r>
        <w:t xml:space="preserve">Italian Parliament defence committee approval of €8.8 billion GCAP funding to 2037, February 2026.</w:t>
      </w:r>
    </w:p>
    <w:p>
      <w:pPr>
        <w:numPr>
          <w:ilvl w:val="0"/>
          <w:numId w:val="1"/>
        </w:numPr>
        <w:spacing w:after="180" w:line="288" w:lineRule="auto"/>
      </w:pPr>
      <w:r>
        <w:t xml:space="preserve">UK Defence Investment Plan, £8.6 billion GCAP commitment over four years, June 2026.</w:t>
      </w:r>
    </w:p>
    <w:p>
      <w:pPr>
        <w:numPr>
          <w:ilvl w:val="0"/>
          <w:numId w:val="1"/>
        </w:numPr>
        <w:spacing w:after="180" w:line="288" w:lineRule="auto"/>
      </w:pPr>
      <w:r>
        <w:t xml:space="preserve">Canada-Japan Equipment and Technology Transfer Agreement and Security of Information Agreement, January 2026.</w:t>
      </w:r>
    </w:p>
    <w:p>
      <w:pPr>
        <w:numPr>
          <w:ilvl w:val="0"/>
          <w:numId w:val="1"/>
        </w:numPr>
        <w:spacing w:after="180" w:line="288" w:lineRule="auto"/>
      </w:pPr>
      <w:r>
        <w:t xml:space="preserve">Canada-Korea Security and Defence Cooperation Partnership, October 2025.</w:t>
      </w:r>
    </w:p>
    <w:p>
      <w:pPr>
        <w:numPr>
          <w:ilvl w:val="0"/>
          <w:numId w:val="1"/>
        </w:numPr>
        <w:spacing w:after="180" w:line="288" w:lineRule="auto"/>
      </w:pPr>
      <w:r>
        <w:t xml:space="preserve">Finnish Ministry of Defence, HX Fighter Programme: 64 F-35A Block 4 aircraft, deliveries 2026 to 2030, first aircraft JF-501 rolled out December 2025.</w:t>
      </w:r>
    </w:p>
    <w:p>
      <w:pPr>
        <w:numPr>
          <w:ilvl w:val="0"/>
          <w:numId w:val="1"/>
        </w:numPr>
        <w:spacing w:after="180" w:line="288" w:lineRule="auto"/>
      </w:pPr>
      <w:r>
        <w:t xml:space="preserve">Boeing Defence Australia, MQ-28 Ghost Bat participation in Exercise Valiant Shield 2026, July 2026.</w:t>
      </w:r>
    </w:p>
    <w:sectPr>
      <w:headerReference w:type="default" r:id="R83c91bfdede24eab"/>
      <w:footerReference w:type="default" r:id="R097c86d812484797"/>
      <w:pgSz w:w="11906" w:h="16838"/>
      <w:pgMar w:top="1440" w:right="1440" w:bottom="1440" w:left="1440" w:header="720" w:footer="720"/>
    </w:sectPr>
  </w:body>
</w:document>
</file>

<file path=word/footer1.xml><?xml version="1.0" encoding="utf-8"?>
<w:ftr xmlns:w="http://schemas.openxmlformats.org/wordprocessingml/2006/main">
  <w:p>
    <w:pPr>
      <w:spacing w:before="60"/>
      <w:jc w:val="center"/>
    </w:pPr>
    <w:r>
      <w:rPr>
        <w:color w:val="718096"/>
        <w:sz w:val="17"/>
      </w:rPr>
      <w:t xml:space="preserve">Page </w:t>
    </w:r>
    <w:r>
      <w:rPr>
        <w:color w:val="718096"/>
        <w:sz w:val="17"/>
      </w:rPr>
      <w:fldChar w:fldCharType="begin"/>
    </w:r>
    <w:r>
      <w:rPr>
        <w:color w:val="718096"/>
        <w:sz w:val="17"/>
      </w:rPr>
      <w:instrText xml:space="preserve"> PAGE </w:instrText>
    </w:r>
    <w:r>
      <w:rPr>
        <w:color w:val="718096"/>
        <w:sz w:val="17"/>
      </w:rPr>
      <w:fldChar w:fldCharType="separate"/>
    </w:r>
    <w:r>
      <w:rPr>
        <w:color w:val="718096"/>
        <w:sz w:val="17"/>
      </w:rPr>
      <w:t>1</w:t>
    </w:r>
    <w:r>
      <w:rPr>
        <w:color w:val="718096"/>
        <w:sz w:val="17"/>
      </w:rPr>
      <w:fldChar w:fldCharType="end"/>
    </w:r>
    <w:r>
      <w:rPr>
        <w:color w:val="718096"/>
        <w:sz w:val="17"/>
      </w:rPr>
      <w:t xml:space="preserve"> of </w:t>
    </w:r>
    <w:r>
      <w:rPr>
        <w:color w:val="718096"/>
        <w:sz w:val="17"/>
      </w:rPr>
      <w:fldChar w:fldCharType="begin"/>
    </w:r>
    <w:r>
      <w:rPr>
        <w:color w:val="718096"/>
        <w:sz w:val="17"/>
      </w:rPr>
      <w:instrText xml:space="preserve"> NUMPAGES </w:instrText>
    </w:r>
    <w:r>
      <w:rPr>
        <w:color w:val="718096"/>
        <w:sz w:val="17"/>
      </w:rPr>
      <w:fldChar w:fldCharType="separate"/>
    </w:r>
    <w:r>
      <w:rPr>
        <w:color w:val="718096"/>
        <w:sz w:val="17"/>
      </w:rPr>
      <w:t>1</w:t>
    </w:r>
    <w:r>
      <w:rPr>
        <w:color w:val="718096"/>
        <w:sz w:val="17"/>
      </w:rPr>
      <w:fldChar w:fldCharType="end"/>
    </w:r>
  </w:p>
</w:ftr>
</file>

<file path=word/header1.xml><?xml version="1.0" encoding="utf-8"?>
<w:hdr xmlns:w="http://schemas.openxmlformats.org/wordprocessingml/2006/main">
  <w:p>
    <w:pPr>
      <w:pBdr>
        <w:bottom w:val="single" w:color="C8C4BC" w:sz="4"/>
      </w:pBdr>
      <w:tabs>
        <w:tab w:val="right" w:pos="9026"/>
      </w:tabs>
      <w:spacing w:after="0"/>
    </w:pPr>
    <w:r>
      <w:rPr>
        <w:color w:val="4A5568"/>
        <w:sz w:val="17"/>
      </w:rPr>
      <w:t>The Aurora Arrow Economic Outlook</w:t>
    </w:r>
    <w:r>
      <w:rPr>
        <w:color w:val="4A5568"/>
        <w:sz w:val="17"/>
      </w:rPr>
      <w:tab/>
    </w:r>
    <w:r>
      <w:rPr>
        <w:color w:val="4A5568"/>
        <w:sz w:val="17"/>
      </w:rPr>
      <w:t>ECD-AURORA-2026-001</w:t>
    </w:r>
  </w:p>
</w:hdr>
</file>

<file path=word/numbering.xml><?xml version="1.0" encoding="utf-8"?>
<w:numbering xmlns:w="http://schemas.openxmlformats.org/wordprocessingml/2006/main">
  <w:abstractNum w:abstractNumId="1">
    <w:lvl w:ilvl="0">
      <w:numFmt w:val="bullet"/>
      <w:lvlText w:val="•"/>
      <w:lvlJc w:val="left"/>
      <w:pPr>
        <w:ind w:left="460" w:hanging="260"/>
      </w:pPr>
      <w:rPr>
        <w:rFonts w:ascii="Calibri" w:hAnsi="Calibri"/>
      </w:r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80" w:line="288" w:lineRule="auto"/>
    </w:pPr>
    <w:rPr>
      <w:rFonts w:ascii="Calibri" w:hAnsi="Calibri" w:eastAsia="Microsoft YaHei"/>
      <w:color w:val="1A202C"/>
      <w:sz w:val="22"/>
      <w:lang w:val="en-CA"/>
    </w:rPr>
  </w:style>
  <w:style w:type="paragraph" w:styleId="Heading1">
    <w:name w:val="heading 1"/>
    <w:basedOn w:val="Normal"/>
    <w:pPr>
      <w:keepNext/>
      <w:keepLines/>
      <w:spacing w:before="480" w:after="200"/>
      <w:outlineLvl w:val="0"/>
    </w:pPr>
    <w:rPr>
      <w:rFonts w:ascii="Calibri" w:hAnsi="Calibri" w:eastAsia="Microsoft YaHei"/>
      <w:b/>
      <w:color w:val="1A2744"/>
      <w:sz w:val="40"/>
    </w:rPr>
  </w:style>
  <w:style w:type="paragraph" w:styleId="Heading2">
    <w:name w:val="heading 2"/>
    <w:basedOn w:val="Normal"/>
    <w:pPr>
      <w:keepNext/>
      <w:keepLines/>
      <w:spacing w:before="360" w:after="160"/>
      <w:outlineLvl w:val="1"/>
    </w:pPr>
    <w:rPr>
      <w:rFonts w:ascii="Calibri" w:hAnsi="Calibri" w:eastAsia="Microsoft YaHei"/>
      <w:b/>
      <w:color w:val="4A5568"/>
      <w:sz w:val="28"/>
    </w:rPr>
  </w:style>
  <w:style w:type="paragraph" w:styleId="Caption">
    <w:name w:val="Caption"/>
    <w:basedOn w:val="Normal"/>
    <w:pPr>
      <w:spacing w:before="60" w:after="240"/>
    </w:pPr>
    <w:rPr>
      <w:i/>
      <w:color w:val="718096"/>
      <w:sz w:val="18"/>
    </w:rPr>
  </w:style>
  <w:style w:type="paragraph" w:styleId="TOC1">
    <w:name w:val="toc 1"/>
    <w:basedOn w:val="Normal"/>
    <w:pPr>
      <w:tabs>
        <w:tab w:val="right" w:leader="dot" w:pos="9026"/>
      </w:tabs>
      <w:spacing w:before="20" w:after="8" w:line="200" w:lineRule="exact"/>
      <w:ind w:left="0"/>
    </w:pPr>
    <w:rPr>
      <w:b/>
      <w:color w:val="1A202C"/>
      <w:sz w:val="19"/>
    </w:rPr>
  </w:style>
  <w:style w:type="paragraph" w:styleId="TOC2">
    <w:name w:val="toc 2"/>
    <w:basedOn w:val="Normal"/>
    <w:pPr>
      <w:tabs>
        <w:tab w:val="right" w:leader="dot" w:pos="9026"/>
      </w:tabs>
      <w:spacing w:before="10" w:after="8" w:line="200" w:lineRule="exact"/>
      <w:ind w:left="360"/>
    </w:pPr>
    <w:rPr>
      <w:color w:val="4A5568"/>
      <w:sz w:val="19"/>
    </w:rPr>
  </w:style>
</w:styles>
</file>

<file path=word/_rels/document.xml.rels><?xml version='1.0' encoding='UTF-8'?>
<Relationships xmlns="http://schemas.openxmlformats.org/package/2006/relationships"><Relationship Type="http://schemas.openxmlformats.org/officeDocument/2006/relationships/styles" Target="styles.xml" Id="R2704070f9bd346e4" /><Relationship Type="http://schemas.openxmlformats.org/officeDocument/2006/relationships/numbering" Target="numbering.xml" Id="R9cd3a6abf5cf4312" /><Relationship Type="http://schemas.openxmlformats.org/officeDocument/2006/relationships/header" Target="header1.xml" Id="R83c91bfdede24eab" /><Relationship Type="http://schemas.openxmlformats.org/officeDocument/2006/relationships/footer" Target="footer1.xml" Id="R097c86d812484797" /><Relationship Type="http://schemas.openxmlformats.org/officeDocument/2006/relationships/settings" Target="settings.xml" Id="R1e0c5fb4855c4bce" /></Relationships>
</file>