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i w:val="0"/>
          <w:sz w:val="26"/>
        </w:rPr>
        <w:t>CANADIAN UNMANNED COMBAT AIR SYSTEM PROGRAMME OFFICE</w:t>
      </w:r>
    </w:p>
    <w:p>
      <w:pPr>
        <w:jc w:val="center"/>
      </w:pPr>
      <w:r>
        <w:rPr>
          <w:b w:val="0"/>
          <w:i w:val="0"/>
          <w:sz w:val="22"/>
        </w:rPr>
        <w:t>ARCTIC HORIZON PROGRAMME</w:t>
      </w:r>
    </w:p>
    <w:p/>
    <w:p>
      <w:pPr>
        <w:jc w:val="center"/>
      </w:pPr>
      <w:r>
        <w:rPr>
          <w:b/>
          <w:i w:val="0"/>
          <w:sz w:val="52"/>
        </w:rPr>
        <w:t>THE AURUP TECHNICAL SPECIFICATIONS</w:t>
      </w:r>
    </w:p>
    <w:p>
      <w:pPr>
        <w:jc w:val="center"/>
      </w:pPr>
      <w:r>
        <w:rPr>
          <w:b/>
          <w:i w:val="0"/>
          <w:sz w:val="32"/>
        </w:rPr>
        <w:t>v1.0</w:t>
      </w:r>
    </w:p>
    <w:p/>
    <w:p>
      <w:pPr>
        <w:jc w:val="center"/>
      </w:pPr>
      <w:r>
        <w:rPr>
          <w:b w:val="0"/>
          <w:i/>
          <w:sz w:val="26"/>
        </w:rPr>
        <w:t>A Survivable, Arctic-Hardened Loyal Wingman for the Saab Gripen E</w:t>
      </w:r>
    </w:p>
    <w:p>
      <w:pPr>
        <w:jc w:val="center"/>
      </w:pPr>
      <w:r>
        <w:rPr>
          <w:b w:val="0"/>
          <w:i/>
          <w:sz w:val="22"/>
        </w:rPr>
        <w:t>Fast, Signature-Managed, Sovereign-Sourced, and Cost-Disciplined by Design</w:t>
      </w:r>
    </w:p>
    <w:p/>
    <w:p>
      <w:pPr>
        <w:jc w:val="center"/>
      </w:pPr>
      <w:r>
        <w:rPr>
          <w:b w:val="0"/>
          <w:i w:val="0"/>
          <w:sz w:val="21"/>
        </w:rPr>
        <w:t>Document No. AURUP-TS-2026-001 | Edition 1.0 | September 2026</w:t>
      </w:r>
    </w:p>
    <w:p>
      <w:pPr>
        <w:jc w:val="center"/>
      </w:pPr>
      <w:r>
        <w:rPr>
          <w:b w:val="0"/>
          <w:i w:val="0"/>
          <w:sz w:val="21"/>
        </w:rPr>
        <w:t>Baseline: Critical Design Review at 80 Percent Engineering Release (CDR-80)</w:t>
      </w:r>
    </w:p>
    <w:p>
      <w:pPr>
        <w:jc w:val="center"/>
      </w:pPr>
      <w:r>
        <w:rPr>
          <w:b w:val="0"/>
          <w:i/>
          <w:sz w:val="19"/>
        </w:rPr>
        <w:t>Analytic Concept Study | Prepared for Concept Evaluation | No Classified Information</w:t>
      </w:r>
    </w:p>
    <w:p>
      <w:r>
        <w:br w:type="page"/>
      </w:r>
    </w:p>
    <w:p>
      <w:pPr>
        <w:pStyle w:val="Heading1"/>
      </w:pPr>
      <w:r>
        <w:t>Document Control</w:t>
      </w:r>
    </w:p>
    <w:p>
      <w:r>
        <w:rPr>
          <w:b w:val="0"/>
          <w:i w:val="0"/>
        </w:rPr>
        <w:t>Status. This document is an analytic concept study. It defines the Aurup loyal wingman unmanned combat aircraft at a Critical Design Review baseline of 80 percent engineering release. Every figure traces to a programme planning value, a published reference-platform datum, or a first-principles engineering estimate flagged in the closure matrix at Section 16. Nothing in this document constitutes an operations order, a procurement commitment, or an access restriction.</w:t>
      </w:r>
    </w:p>
    <w:tbl>
      <w:tblPr>
        <w:tblStyle w:val="TableGrid"/>
        <w:tblW w:type="auto" w:w="0"/>
        <w:jc w:val="center"/>
        <w:tblLook w:firstColumn="1" w:firstRow="1" w:lastColumn="0" w:lastRow="0" w:noHBand="0" w:noVBand="1" w:val="04A0"/>
      </w:tblPr>
      <w:tblGrid>
        <w:gridCol w:w="4592"/>
        <w:gridCol w:w="4592"/>
      </w:tblGrid>
      <w:tr>
        <w:tc>
          <w:tcPr>
            <w:tcW w:type="dxa" w:w="2835"/>
            <w:shd w:val="clear" w:fill="1F3864"/>
          </w:tcPr>
          <w:p>
            <w:r/>
            <w:r>
              <w:rPr>
                <w:b/>
                <w:color w:val="FFFFFF"/>
                <w:sz w:val="20"/>
              </w:rPr>
              <w:t>Field</w:t>
            </w:r>
          </w:p>
        </w:tc>
        <w:tc>
          <w:tcPr>
            <w:tcW w:type="dxa" w:w="6236"/>
            <w:shd w:val="clear" w:fill="1F3864"/>
          </w:tcPr>
          <w:p>
            <w:r/>
            <w:r>
              <w:rPr>
                <w:b/>
                <w:color w:val="FFFFFF"/>
                <w:sz w:val="20"/>
              </w:rPr>
              <w:t>Entry</w:t>
            </w:r>
          </w:p>
        </w:tc>
      </w:tr>
      <w:tr>
        <w:tc>
          <w:tcPr>
            <w:tcW w:type="dxa" w:w="2835"/>
          </w:tcPr>
          <w:p>
            <w:r/>
            <w:r>
              <w:rPr>
                <w:color w:val="1A1A1A"/>
                <w:sz w:val="20"/>
              </w:rPr>
              <w:t>Document number</w:t>
            </w:r>
          </w:p>
        </w:tc>
        <w:tc>
          <w:tcPr>
            <w:tcW w:type="dxa" w:w="6236"/>
          </w:tcPr>
          <w:p>
            <w:r/>
            <w:r>
              <w:rPr>
                <w:color w:val="1A1A1A"/>
                <w:sz w:val="20"/>
              </w:rPr>
              <w:t>AURUP-TS-2026-001</w:t>
            </w:r>
          </w:p>
        </w:tc>
      </w:tr>
      <w:tr>
        <w:tc>
          <w:tcPr>
            <w:tcW w:type="dxa" w:w="2835"/>
            <w:shd w:val="clear" w:fill="D9E2F3"/>
          </w:tcPr>
          <w:p>
            <w:r/>
            <w:r>
              <w:rPr>
                <w:color w:val="1A1A1A"/>
                <w:sz w:val="20"/>
              </w:rPr>
              <w:t>Edition</w:t>
            </w:r>
          </w:p>
        </w:tc>
        <w:tc>
          <w:tcPr>
            <w:tcW w:type="dxa" w:w="6236"/>
            <w:shd w:val="clear" w:fill="D9E2F3"/>
          </w:tcPr>
          <w:p>
            <w:r/>
            <w:r>
              <w:rPr>
                <w:color w:val="1A1A1A"/>
                <w:sz w:val="20"/>
              </w:rPr>
              <w:t>1.0, CDR-80 baseline</w:t>
            </w:r>
          </w:p>
        </w:tc>
      </w:tr>
      <w:tr>
        <w:tc>
          <w:tcPr>
            <w:tcW w:type="dxa" w:w="2835"/>
          </w:tcPr>
          <w:p>
            <w:r/>
            <w:r>
              <w:rPr>
                <w:color w:val="1A1A1A"/>
                <w:sz w:val="20"/>
              </w:rPr>
              <w:t>Date</w:t>
            </w:r>
          </w:p>
        </w:tc>
        <w:tc>
          <w:tcPr>
            <w:tcW w:type="dxa" w:w="6236"/>
          </w:tcPr>
          <w:p>
            <w:r/>
            <w:r>
              <w:rPr>
                <w:color w:val="1A1A1A"/>
                <w:sz w:val="20"/>
              </w:rPr>
              <w:t>September 2026</w:t>
            </w:r>
          </w:p>
        </w:tc>
      </w:tr>
      <w:tr>
        <w:tc>
          <w:tcPr>
            <w:tcW w:type="dxa" w:w="2835"/>
            <w:shd w:val="clear" w:fill="D9E2F3"/>
          </w:tcPr>
          <w:p>
            <w:r/>
            <w:r>
              <w:rPr>
                <w:color w:val="1A1A1A"/>
                <w:sz w:val="20"/>
              </w:rPr>
              <w:t>Prepared by</w:t>
            </w:r>
          </w:p>
        </w:tc>
        <w:tc>
          <w:tcPr>
            <w:tcW w:type="dxa" w:w="6236"/>
            <w:shd w:val="clear" w:fill="D9E2F3"/>
          </w:tcPr>
          <w:p>
            <w:r/>
            <w:r>
              <w:rPr>
                <w:color w:val="1A1A1A"/>
                <w:sz w:val="20"/>
              </w:rPr>
              <w:t>Canadian Unmanned Combat Air System Programme Office</w:t>
            </w:r>
          </w:p>
        </w:tc>
      </w:tr>
      <w:tr>
        <w:tc>
          <w:tcPr>
            <w:tcW w:type="dxa" w:w="2835"/>
          </w:tcPr>
          <w:p>
            <w:r/>
            <w:r>
              <w:rPr>
                <w:color w:val="1A1A1A"/>
                <w:sz w:val="20"/>
              </w:rPr>
              <w:t>Purpose</w:t>
            </w:r>
          </w:p>
        </w:tc>
        <w:tc>
          <w:tcPr>
            <w:tcW w:type="dxa" w:w="6236"/>
          </w:tcPr>
          <w:p>
            <w:r/>
            <w:r>
              <w:rPr>
                <w:color w:val="1A1A1A"/>
                <w:sz w:val="20"/>
              </w:rPr>
              <w:t>Technical specification of the Aurup loyal wingman for the Arctic Gripen E</w:t>
            </w:r>
          </w:p>
        </w:tc>
      </w:tr>
      <w:tr>
        <w:tc>
          <w:tcPr>
            <w:tcW w:type="dxa" w:w="2835"/>
            <w:shd w:val="clear" w:fill="D9E2F3"/>
          </w:tcPr>
          <w:p>
            <w:r/>
            <w:r>
              <w:rPr>
                <w:color w:val="1A1A1A"/>
                <w:sz w:val="20"/>
              </w:rPr>
              <w:t>Baseline maturity</w:t>
            </w:r>
          </w:p>
        </w:tc>
        <w:tc>
          <w:tcPr>
            <w:tcW w:type="dxa" w:w="6236"/>
            <w:shd w:val="clear" w:fill="D9E2F3"/>
          </w:tcPr>
          <w:p>
            <w:r/>
            <w:r>
              <w:rPr>
                <w:color w:val="1A1A1A"/>
                <w:sz w:val="20"/>
              </w:rPr>
              <w:t>CDR at 80 percent engineering release</w:t>
            </w:r>
          </w:p>
        </w:tc>
      </w:tr>
      <w:tr>
        <w:tc>
          <w:tcPr>
            <w:tcW w:type="dxa" w:w="2835"/>
          </w:tcPr>
          <w:p>
            <w:r/>
            <w:r>
              <w:rPr>
                <w:color w:val="1A1A1A"/>
                <w:sz w:val="20"/>
              </w:rPr>
              <w:t>Status</w:t>
            </w:r>
          </w:p>
        </w:tc>
        <w:tc>
          <w:tcPr>
            <w:tcW w:type="dxa" w:w="6236"/>
          </w:tcPr>
          <w:p>
            <w:r/>
            <w:r>
              <w:rPr>
                <w:color w:val="1A1A1A"/>
                <w:sz w:val="20"/>
              </w:rPr>
              <w:t>Analytic concept study, for concept evaluation</w:t>
            </w:r>
          </w:p>
        </w:tc>
      </w:tr>
    </w:tbl>
    <w:p>
      <w:pPr>
        <w:jc w:val="center"/>
      </w:pPr>
      <w:r>
        <w:rPr>
          <w:i/>
          <w:sz w:val="19"/>
        </w:rPr>
        <w:t>Table i. Document control summary.</w:t>
      </w:r>
    </w:p>
    <w:p>
      <w:pPr>
        <w:pStyle w:val="Heading2"/>
      </w:pPr>
      <w:r>
        <w:t>Source Basis</w:t>
      </w:r>
    </w:p>
    <w:p>
      <w:r>
        <w:rPr>
          <w:b w:val="0"/>
          <w:i w:val="0"/>
        </w:rPr>
        <w:t>The Aurup specification draws on four families of input. First, the published characteristics of three reference unmanned aircraft: the General Atomics MQ-9B SkyGuardian, the MARSS Interceptor-MR, and the Hongdu GJ-11 Sharp Sword. Second, the wider uploaded reference set: the Sukhoi S-70 Okhotnik-B, the Shield AI MQ-35 V-BAT, the R80D SkyRaider, and the WB Electronics Warmate. Third, the Arctic Horizon governing set: The Opening Doors Doctrine v5.0 and its companion Sprinter, Striker, Arctic Gripen, procurement, and economic baselines. Fourth, first-principles sizing and closure analysis performed for this document. Where an open-source figure carries low confidence, this document treats it as context rather than as a design input.</w:t>
      </w:r>
    </w:p>
    <w:p>
      <w:pPr>
        <w:pStyle w:val="Heading2"/>
      </w:pPr>
      <w:r>
        <w:t>Caveats</w:t>
      </w:r>
    </w:p>
    <w:p>
      <w:r>
        <w:rPr>
          <w:b w:val="0"/>
          <w:i w:val="0"/>
        </w:rPr>
        <w:t>All performance figures are conceptual systems-engineering estimates. Live test and evaluation closes every signature, range, and engagement figure before anyone places operational reliance on it. Section 17 lists every figure that remains open under a pending-validation register; Section 18 states the CDR-80 maturity claim and its evidence.</w:t>
      </w:r>
    </w:p>
    <w:p>
      <w:r>
        <w:br w:type="page"/>
      </w:r>
    </w:p>
    <w:p>
      <w:pPr>
        <w:pStyle w:val="Heading1"/>
      </w:pPr>
      <w:r>
        <w:t>Table of Contents</w:t>
      </w:r>
    </w:p>
    <w:p>
      <w:fldSimple w:instr="TOC \o &quot;1-2&quot; \h \z \u">
        <w:r>
          <w:t>Open in Word, right-click, and select Update Field to refresh the table of contents.</w:t>
        </w:r>
      </w:fldSimple>
    </w:p>
    <w:p>
      <w:r>
        <w:rPr>
          <w:b w:val="0"/>
          <w:i/>
          <w:sz w:val="19"/>
        </w:rPr>
        <w:t>1. Introduction and Scope | 2. Design Lineage | 3. Mission and Concept of Operations | 4. Configuration and Geometry | 5. Mass Properties | 6. Propulsion | 7. Performance | 8. Signature Management | 9. Armament | 10. Sensors, Avionics, and Datalinks | 11. Arctic Environmental Hardening | 12. Materials and Recycled Content | 13. Supply Chain Sovereignty | 14. Autonomy, Teaming, and Human Authority | 15. Cost Baseline | 16. Engineering Closure Matrix | 17. Pending Validation Register | 18. CDR-80 Maturity Assessment | Appendix A: Reference Platform Comparison | Appendix B: Glossary</w:t>
      </w:r>
    </w:p>
    <w:p>
      <w:r>
        <w:br w:type="page"/>
      </w:r>
    </w:p>
    <w:p>
      <w:pPr>
        <w:pStyle w:val="Heading1"/>
      </w:pPr>
      <w:r>
        <w:t>1. Introduction and Scope</w:t>
      </w:r>
    </w:p>
    <w:p>
      <w:pPr>
        <w:pStyle w:val="Heading2"/>
      </w:pPr>
      <w:r>
        <w:t>1.1 Purpose</w:t>
      </w:r>
    </w:p>
    <w:p>
      <w:r>
        <w:rPr>
          <w:b w:val="0"/>
          <w:i w:val="0"/>
        </w:rPr>
        <w:t>This document specifies the Aurup, a new loyal wingman unmanned combat aircraft designed from the outset to fly with the Saab JAS 39 Gripen E in Arctic configuration. The Aurup occupies the survivable-wingman tier of the Arctic Horizon combat air system: it escorts the Gripen E into contested airspace, extends the package's sensor reach and magazine depth, prosecutes targets under human release authority, and returns to fight again. It is fast enough to hold station with a dashing fighter, signature-managed enough to survive emitter-dense airspace, and hardened enough to operate from austere strips through a Canadian winter.</w:t>
      </w:r>
    </w:p>
    <w:p>
      <w:pPr>
        <w:pStyle w:val="Heading2"/>
      </w:pPr>
      <w:r>
        <w:t>1.2 Design Intent</w:t>
      </w:r>
    </w:p>
    <w:p>
      <w:r>
        <w:rPr>
          <w:b w:val="0"/>
          <w:i w:val="0"/>
        </w:rPr>
        <w:t>Four constraints shape every trade in this specification:</w:t>
      </w:r>
    </w:p>
    <w:p>
      <w:pPr>
        <w:pStyle w:val="ListBullet"/>
      </w:pPr>
      <w:r>
        <w:t>Speed and manoeuvre. The Aurup supercruises and dashes with the Gripen E rather than trailing it, and it sustains fighter-class load factors without a pilot's physiological limits.</w:t>
      </w:r>
    </w:p>
    <w:p>
      <w:pPr>
        <w:pStyle w:val="ListBullet"/>
      </w:pPr>
      <w:r>
        <w:t>Signature management. Internal carriage, aligned edges, a buried engine face, and a shrouded exhaust hold the frontal-sector signature at the minus 20 dBsm class allocation, with no certified radar-cross-section claim before measurement.</w:t>
      </w:r>
    </w:p>
    <w:p>
      <w:pPr>
        <w:pStyle w:val="ListBullet"/>
      </w:pPr>
      <w:r>
        <w:t>Arctic first. The aircraft starts, flies, and recovers in the conditions that define Canadian sovereignty operations: a minus 55 degree Celsius ground-survival case, a 12-hour minus 40 degree cold-soak start case, icing, contaminated runways, and auroral electromagnetic clutter.</w:t>
      </w:r>
    </w:p>
    <w:p>
      <w:pPr>
        <w:pStyle w:val="ListBullet"/>
      </w:pPr>
      <w:r>
        <w:t>Sovereign supply. Canadian and close-allied sources carry the majority of the bill of materials, the United States carries as little as practicable, and recycled metals carry a defined share of the airframe where certification economics make that sensible.</w:t>
      </w:r>
    </w:p>
    <w:p>
      <w:pPr>
        <w:pStyle w:val="Heading2"/>
      </w:pPr>
      <w:r>
        <w:t>1.3 Relationship to the Arctic Horizon Baselines</w:t>
      </w:r>
    </w:p>
    <w:p>
      <w:r>
        <w:rPr>
          <w:b w:val="0"/>
          <w:i w:val="0"/>
        </w:rPr>
        <w:t>The Opening Doors Doctrine v5.0 fields three platforms: the Arctic Gripen E as quarterback, the attritable Sprinter as door-opener, and the survivable Striker as corridor exploiter. The Aurup complements rather than replaces that set. Where the Striker optimises for deep corridor exploitation on a medium-bypass engine, the Aurup optimises for the escort and air-superiority wingman role: higher dash speed, higher load factor, an air-to-air primary magazine, and direct formation discipline with the manned fighter. A Gripen E crew controls Sprinters, Strikers, and Aurups through the same teaming terminal; the Aurup's doctrinal home is the close escort station, one to two aircraft per crewed fighter.</w:t>
      </w:r>
    </w:p>
    <w:p>
      <w:pPr>
        <w:pStyle w:val="Heading2"/>
      </w:pPr>
      <w:r>
        <w:t>1.4 Scope</w:t>
      </w:r>
    </w:p>
    <w:p>
      <w:r>
        <w:rPr>
          <w:b w:val="0"/>
          <w:i w:val="0"/>
        </w:rPr>
        <w:t>This specification covers the air vehicle, its propulsion, mission systems, armament provisions, environmental hardening, materials, supply chain, cost baseline, and engineering closure status. Ground control elements, weapons development, and network waveform development sit in companion documents. The doctrine that employs the aircraft sits in The Opening Doors Doctrine v5.0.</w:t>
      </w:r>
    </w:p>
    <w:p>
      <w:r>
        <w:br w:type="page"/>
      </w:r>
    </w:p>
    <w:p>
      <w:pPr>
        <w:pStyle w:val="Heading1"/>
      </w:pPr>
      <w:r>
        <w:t>2. Design Lineage</w:t>
      </w:r>
    </w:p>
    <w:p>
      <w:r>
        <w:rPr>
          <w:b w:val="0"/>
          <w:i w:val="0"/>
        </w:rPr>
        <w:t>The Aurup is a synthesis, not a copy. Each reference platform contributes specific, proven practices; this section states exactly what the Aurup takes from each and what it deliberately rejects.</w:t>
      </w:r>
    </w:p>
    <w:p>
      <w:pPr>
        <w:pStyle w:val="Heading2"/>
      </w:pPr>
      <w:r>
        <w:t>2.1 From the MQ-9B SkyGuardian: Certifiable All-Weather Discipline</w:t>
      </w:r>
    </w:p>
    <w:p>
      <w:r>
        <w:rPr>
          <w:b w:val="0"/>
          <w:i w:val="0"/>
        </w:rPr>
        <w:t>The SkyGuardian demonstrates that an unmanned aircraft earns all-weather freedom of manoeuvre through certification discipline rather than through claims. The Aurup adopts five SkyGuardian practices: a type-certifiable design philosophy aligned to NATO STANAG 4671 airworthiness intent; design assurance under DO-178C for software and DO-254 for airborne electronic hardware; full electro-expulsive de-icing on wing leading edges, anti-ice on the engine inlet, heated probes, and lightning protection; automatic takeoff and landing as the baseline rather than an option; and an open, modular mission-system architecture that accepts sovereign payload and mission-data cartridges. The SkyGuardian's published cold-weather engine start capability, ground operations down to minus 41 degrees Celsius, sets the floor the Aurup's Arctic kit exceeds. The Aurup rejects the SkyGuardian's turboprop propulsion, high-aspect-ratio wing, and 210-knot speed class; a wingman that cannot hold station with its fighter is an escort in name only.</w:t>
      </w:r>
    </w:p>
    <w:p>
      <w:pPr>
        <w:pStyle w:val="Heading2"/>
      </w:pPr>
      <w:r>
        <w:t>2.2 From the Interceptor-MR: Agility, Titanium, and Edge Autonomy</w:t>
      </w:r>
    </w:p>
    <w:p>
      <w:r>
        <w:rPr>
          <w:b w:val="0"/>
          <w:i w:val="0"/>
        </w:rPr>
        <w:t>The Interceptor-MR is a different class entirely, an 8-kilogram counter-drone interceptor, but three of its design choices transfer directly. First, titanium nose and wing structure: the Aurup adopts titanium at the nose, wing leading edges, and inlet lips, where ice impact, runway debris, and Arctic abrasion concentrate. Second, onboard artificial intelligence for target acquisition and dogfight manoeuvring: the Aurup runs its tracking, geolocation, and formation-keeping autonomy at the edge, on the aircraft, rather than through a reachback link. Third, the launch-on-demand culture of a sub-3-second interceptor response translates into the Aurup's alert posture: a five-minute scramble from shelter alert with ground power and preheat applied. The Interceptor-MR's reusability and low-collateral intent carry into the Aurup's precision-weapons-first armament philosophy.</w:t>
      </w:r>
    </w:p>
    <w:p>
      <w:pPr>
        <w:pStyle w:val="Heading2"/>
      </w:pPr>
      <w:r>
        <w:t>2.3 From the Hongdu GJ-11: Low-Observable Discipline and Internal Carriage</w:t>
      </w:r>
    </w:p>
    <w:p>
      <w:r>
        <w:rPr>
          <w:b w:val="0"/>
          <w:i w:val="0"/>
        </w:rPr>
        <w:t>The GJ-11 contributes the signature-management core: a serpentine dorsal inlet that hides the engine fan face, a buried and shaped exhaust that suppresses radar and infrared signature, serrated weapons-bay doors, internal carriage as the default, and the loyal wingman employment concept itself, including the release of decoys and electronic-warfare effects. The Aurup adopts all of these. The Aurup departs from the GJ-11's tailless flying-wing planform: a tailless wing trades manoeuvre authority and control-power margin for signature, and the escort role demands sustained high-alpha recovery, rapid heading changes, and positive yaw control in icing and turbulence. The Aurup therefore flies a lambda wing with twin canted tails, accepting a modest aft-sector signature increment in exchange for fighter-class agility, and it applies the S-70 Okhotnik-B experience as a negative lesson: the S-70's exposed conventional nozzle compromised the signature of an otherwise shaped airframe, so the Aurup buries and shrouds its exhaust from the first article rather than correcting it between prototype and production.</w:t>
      </w:r>
    </w:p>
    <w:p>
      <w:pPr>
        <w:pStyle w:val="Heading2"/>
      </w:pPr>
      <w:r>
        <w:t>2.4 From the Wider Reference Set</w:t>
      </w:r>
    </w:p>
    <w:p>
      <w:r>
        <w:rPr>
          <w:b w:val="0"/>
          <w:i w:val="0"/>
        </w:rPr>
        <w:t>The remaining references contribute at the margins. The R80D SkyRaider and MQ-35 V-BAT reinforce open payload architecture, heavy-fuel standardisation, and edge processing. The Warmate demonstrates attritable precision-strike economics and swarming logic, which inform the Aurup's optional decoy and expendable carriage. The Sukhoi S-70 anchors the size-class comparison at Appendix A and supplies the exhaust-treatment lesson above.</w:t>
      </w:r>
    </w:p>
    <w:tbl>
      <w:tblPr>
        <w:tblStyle w:val="TableGrid"/>
        <w:tblW w:type="auto" w:w="0"/>
        <w:jc w:val="center"/>
        <w:tblLook w:firstColumn="1" w:firstRow="1" w:lastColumn="0" w:lastRow="0" w:noHBand="0" w:noVBand="1" w:val="04A0"/>
      </w:tblPr>
      <w:tblGrid>
        <w:gridCol w:w="3061"/>
        <w:gridCol w:w="3061"/>
        <w:gridCol w:w="3061"/>
      </w:tblGrid>
      <w:tr>
        <w:tc>
          <w:tcPr>
            <w:tcW w:type="dxa" w:w="1928"/>
            <w:shd w:val="clear" w:fill="1F3864"/>
          </w:tcPr>
          <w:p>
            <w:r/>
            <w:r>
              <w:rPr>
                <w:b/>
                <w:color w:val="FFFFFF"/>
                <w:sz w:val="20"/>
              </w:rPr>
              <w:t>Reference</w:t>
            </w:r>
          </w:p>
        </w:tc>
        <w:tc>
          <w:tcPr>
            <w:tcW w:type="dxa" w:w="4309"/>
            <w:shd w:val="clear" w:fill="1F3864"/>
          </w:tcPr>
          <w:p>
            <w:r/>
            <w:r>
              <w:rPr>
                <w:b/>
                <w:color w:val="FFFFFF"/>
                <w:sz w:val="20"/>
              </w:rPr>
              <w:t>Adopted by the Aurup</w:t>
            </w:r>
          </w:p>
        </w:tc>
        <w:tc>
          <w:tcPr>
            <w:tcW w:type="dxa" w:w="2835"/>
            <w:shd w:val="clear" w:fill="1F3864"/>
          </w:tcPr>
          <w:p>
            <w:r/>
            <w:r>
              <w:rPr>
                <w:b/>
                <w:color w:val="FFFFFF"/>
                <w:sz w:val="20"/>
              </w:rPr>
              <w:t>Rejected or departed</w:t>
            </w:r>
          </w:p>
        </w:tc>
      </w:tr>
      <w:tr>
        <w:tc>
          <w:tcPr>
            <w:tcW w:type="dxa" w:w="1928"/>
          </w:tcPr>
          <w:p>
            <w:r/>
            <w:r>
              <w:rPr>
                <w:color w:val="1A1A1A"/>
                <w:sz w:val="20"/>
              </w:rPr>
              <w:t>MQ-9B SkyGuardian</w:t>
            </w:r>
          </w:p>
        </w:tc>
        <w:tc>
          <w:tcPr>
            <w:tcW w:type="dxa" w:w="4309"/>
          </w:tcPr>
          <w:p>
            <w:r/>
            <w:r>
              <w:rPr>
                <w:color w:val="1A1A1A"/>
                <w:sz w:val="20"/>
              </w:rPr>
              <w:t>STANAG 4671 certification intent; DO-178C/DO-254 assurance; de-ice, anti-ice, lightning protection; automatic takeoff and landing; open modular mission system; cold-start discipline</w:t>
            </w:r>
          </w:p>
        </w:tc>
        <w:tc>
          <w:tcPr>
            <w:tcW w:type="dxa" w:w="2835"/>
          </w:tcPr>
          <w:p>
            <w:r/>
            <w:r>
              <w:rPr>
                <w:color w:val="1A1A1A"/>
                <w:sz w:val="20"/>
              </w:rPr>
              <w:t>Turboprop propulsion; 210-knot speed class; high-aspect-ratio wing; 24 m span</w:t>
            </w:r>
          </w:p>
        </w:tc>
      </w:tr>
      <w:tr>
        <w:tc>
          <w:tcPr>
            <w:tcW w:type="dxa" w:w="1928"/>
            <w:shd w:val="clear" w:fill="D9E2F3"/>
          </w:tcPr>
          <w:p>
            <w:r/>
            <w:r>
              <w:rPr>
                <w:color w:val="1A1A1A"/>
                <w:sz w:val="20"/>
              </w:rPr>
              <w:t>Interceptor-MR</w:t>
            </w:r>
          </w:p>
        </w:tc>
        <w:tc>
          <w:tcPr>
            <w:tcW w:type="dxa" w:w="4309"/>
            <w:shd w:val="clear" w:fill="D9E2F3"/>
          </w:tcPr>
          <w:p>
            <w:r/>
            <w:r>
              <w:rPr>
                <w:color w:val="1A1A1A"/>
                <w:sz w:val="20"/>
              </w:rPr>
              <w:t>Titanium nose, leading edges, and inlet lips; onboard AI tracking and manoeuvre; rapid alert-launch posture; reusable, low-collateral philosophy</w:t>
            </w:r>
          </w:p>
        </w:tc>
        <w:tc>
          <w:tcPr>
            <w:tcW w:type="dxa" w:w="2835"/>
            <w:shd w:val="clear" w:fill="D9E2F3"/>
          </w:tcPr>
          <w:p>
            <w:r/>
            <w:r>
              <w:rPr>
                <w:color w:val="1A1A1A"/>
                <w:sz w:val="20"/>
              </w:rPr>
              <w:t>Electric propulsion; subsonic class; 8 kg scale</w:t>
            </w:r>
          </w:p>
        </w:tc>
      </w:tr>
      <w:tr>
        <w:tc>
          <w:tcPr>
            <w:tcW w:type="dxa" w:w="1928"/>
          </w:tcPr>
          <w:p>
            <w:r/>
            <w:r>
              <w:rPr>
                <w:color w:val="1A1A1A"/>
                <w:sz w:val="20"/>
              </w:rPr>
              <w:t>Hongdu GJ-11</w:t>
            </w:r>
          </w:p>
        </w:tc>
        <w:tc>
          <w:tcPr>
            <w:tcW w:type="dxa" w:w="4309"/>
          </w:tcPr>
          <w:p>
            <w:r/>
            <w:r>
              <w:rPr>
                <w:color w:val="1A1A1A"/>
                <w:sz w:val="20"/>
              </w:rPr>
              <w:t>Serpentine dorsal inlet; buried shaped exhaust; serrated bay doors; internal carriage; loyal wingman employment; decoy and EW dispensing</w:t>
            </w:r>
          </w:p>
        </w:tc>
        <w:tc>
          <w:tcPr>
            <w:tcW w:type="dxa" w:w="2835"/>
          </w:tcPr>
          <w:p>
            <w:r/>
            <w:r>
              <w:rPr>
                <w:color w:val="1A1A1A"/>
                <w:sz w:val="20"/>
              </w:rPr>
              <w:t>Tailless flying-wing planform; subsonic-only propulsion philosophy</w:t>
            </w:r>
          </w:p>
        </w:tc>
      </w:tr>
      <w:tr>
        <w:tc>
          <w:tcPr>
            <w:tcW w:type="dxa" w:w="1928"/>
            <w:shd w:val="clear" w:fill="D9E2F3"/>
          </w:tcPr>
          <w:p>
            <w:r/>
            <w:r>
              <w:rPr>
                <w:color w:val="1A1A1A"/>
                <w:sz w:val="20"/>
              </w:rPr>
              <w:t>Sukhoi S-70</w:t>
            </w:r>
          </w:p>
        </w:tc>
        <w:tc>
          <w:tcPr>
            <w:tcW w:type="dxa" w:w="4309"/>
            <w:shd w:val="clear" w:fill="D9E2F3"/>
          </w:tcPr>
          <w:p>
            <w:r/>
            <w:r>
              <w:rPr>
                <w:color w:val="1A1A1A"/>
                <w:sz w:val="20"/>
              </w:rPr>
              <w:t>Size-class benchmark; negative lesson on exposed nozzles</w:t>
            </w:r>
          </w:p>
        </w:tc>
        <w:tc>
          <w:tcPr>
            <w:tcW w:type="dxa" w:w="2835"/>
            <w:shd w:val="clear" w:fill="D9E2F3"/>
          </w:tcPr>
          <w:p>
            <w:r/>
            <w:r>
              <w:rPr>
                <w:color w:val="1A1A1A"/>
                <w:sz w:val="20"/>
              </w:rPr>
              <w:t>Exposed conventional exhaust; 25-tonne weight class</w:t>
            </w:r>
          </w:p>
        </w:tc>
      </w:tr>
      <w:tr>
        <w:tc>
          <w:tcPr>
            <w:tcW w:type="dxa" w:w="1928"/>
          </w:tcPr>
          <w:p>
            <w:r/>
            <w:r>
              <w:rPr>
                <w:color w:val="1A1A1A"/>
                <w:sz w:val="20"/>
              </w:rPr>
              <w:t>V-BAT / SkyRaider / Warmate</w:t>
            </w:r>
          </w:p>
        </w:tc>
        <w:tc>
          <w:tcPr>
            <w:tcW w:type="dxa" w:w="4309"/>
          </w:tcPr>
          <w:p>
            <w:r/>
            <w:r>
              <w:rPr>
                <w:color w:val="1A1A1A"/>
                <w:sz w:val="20"/>
              </w:rPr>
              <w:t>Open payload architecture; heavy-fuel logic; attritable-mass economics</w:t>
            </w:r>
          </w:p>
        </w:tc>
        <w:tc>
          <w:tcPr>
            <w:tcW w:type="dxa" w:w="2835"/>
          </w:tcPr>
          <w:p>
            <w:r/>
            <w:r>
              <w:rPr>
                <w:color w:val="1A1A1A"/>
                <w:sz w:val="20"/>
              </w:rPr>
              <w:t>VTOL and expendable-airframe design points</w:t>
            </w:r>
          </w:p>
        </w:tc>
      </w:tr>
    </w:tbl>
    <w:p>
      <w:pPr>
        <w:jc w:val="center"/>
      </w:pPr>
      <w:r>
        <w:rPr>
          <w:i/>
          <w:sz w:val="19"/>
        </w:rPr>
        <w:t>Table 2-1. Design lineage: what the Aurup adopts and rejects.</w:t>
      </w:r>
    </w:p>
    <w:p>
      <w:r>
        <w:br w:type="page"/>
      </w:r>
    </w:p>
    <w:p>
      <w:pPr>
        <w:pStyle w:val="Heading1"/>
      </w:pPr>
      <w:r>
        <w:t>3. Mission and Concept of Operations</w:t>
      </w:r>
    </w:p>
    <w:p>
      <w:pPr>
        <w:pStyle w:val="Heading2"/>
      </w:pPr>
      <w:r>
        <w:t>3.1 Primary Mission</w:t>
      </w:r>
    </w:p>
    <w:p>
      <w:r>
        <w:rPr>
          <w:b w:val="0"/>
          <w:i w:val="0"/>
        </w:rPr>
        <w:t>The Aurup flies as the Gripen E's close loyal wingman across the air-superiority, escort, and precision-strike mission set. In the Opening Doors phase structure, the Aurup accompanies the package through Ingress, fights through the Dash and Precision Strike phases at the Gripen's shoulder rather than ahead of it, screens Heavy Strike, and covers Egress. Its primary missions, in priority order:</w:t>
      </w:r>
    </w:p>
    <w:p>
      <w:pPr>
        <w:pStyle w:val="ListBullet"/>
      </w:pPr>
      <w:r>
        <w:t>Armed escort and air superiority: the Aurup carries the package's additional Meteor-class and IRIS-T-class magazines and engages under Gripen release authority.</w:t>
      </w:r>
    </w:p>
    <w:p>
      <w:pPr>
        <w:pStyle w:val="ListBullet"/>
      </w:pPr>
      <w:r>
        <w:t>Forward sensing: passive electronic support, infrared search and track, and distributed-aperture coverage extend the quarterback's picture without radiation.</w:t>
      </w:r>
    </w:p>
    <w:p>
      <w:pPr>
        <w:pStyle w:val="ListBullet"/>
      </w:pPr>
      <w:r>
        <w:t>Precision strike: internal standoff and direct-attack weapons prosecute targets the Gripen assigns.</w:t>
      </w:r>
    </w:p>
    <w:p>
      <w:pPr>
        <w:pStyle w:val="ListBullet"/>
      </w:pPr>
      <w:r>
        <w:t>Electronic attack support: the internal jammer and expendable decoys protect the formation and complicate enemy fire control.</w:t>
      </w:r>
    </w:p>
    <w:p>
      <w:pPr>
        <w:pStyle w:val="ListBullet"/>
      </w:pPr>
      <w:r>
        <w:t>Loyal screen: on egress, the Aurup holds the threat axis while the manned element withdraws first.</w:t>
      </w:r>
    </w:p>
    <w:p>
      <w:pPr>
        <w:pStyle w:val="Heading2"/>
      </w:pPr>
      <w:r>
        <w:t>3.2 Teaming Geometry</w:t>
      </w:r>
    </w:p>
    <w:p>
      <w:r>
        <w:rPr>
          <w:b w:val="0"/>
          <w:i w:val="0"/>
        </w:rPr>
        <w:t>One Gripen E crew manages one to two Aurups as the standard package, consistent with the doctrine's established workload discipline; the Gripen-carried teaming terminal supports up to six wingmen across mixed types. The Aurup holds formation by autonomy: the crew issues task-level commands such as screen this axis or engage this track, and the aircraft plans and flies the solution. Target-assignment authority and weapons-release authority rest with the Gripen crew in every phase; where no human authority remains reachable, the Aurup holds its weapons and egresses on the pre-briefed ladder.</w:t>
      </w:r>
    </w:p>
    <w:p>
      <w:pPr>
        <w:pStyle w:val="Heading2"/>
      </w:pPr>
      <w:r>
        <w:t>3.3 Basing and Tempo</w:t>
      </w:r>
    </w:p>
    <w:p>
      <w:r>
        <w:rPr>
          <w:b w:val="0"/>
          <w:i w:val="0"/>
        </w:rPr>
        <w:t>The Aurup operates from the same dispersed Arctic strips as the Gripen E: 800-metre road strips with contaminated-surface provision, shelter alert with ground power and preheat, and a five-minute scramble posture. The turnaround target matches the fighter it escorts: a 25-minute combat turnaround for refuel, rearm, and relaunch, with a 45-minute deep-service hot pit. Element-level planning carries 1.0 sustained or 1.5 surge sorties per aircraft per day.</w:t>
      </w:r>
    </w:p>
    <w:p>
      <w:pPr>
        <w:pStyle w:val="Heading1"/>
      </w:pPr>
      <w:r>
        <w:t>4. Configuration and Geometry</w:t>
      </w:r>
    </w:p>
    <w:p>
      <w:r>
        <w:rPr>
          <w:b w:val="0"/>
          <w:i w:val="0"/>
        </w:rPr>
        <w:t>The Aurup is a single-engine, lambda-wing, twin-tailed unmanned combat aircraft with dorsal inlet, twin internal weapons bays, and tricycle landing gear stressed for contaminated strips. The planform aligns all major edges to two sweep families; the twin canted tails fold into the same alignment. The dorsal serpentine inlet hides the fan face from ground and low-elevation airborne radars; the exhaust sits buried above the aft deck with a shrouded, edge-aligned nozzle.</w:t>
      </w:r>
    </w:p>
    <w:tbl>
      <w:tblPr>
        <w:tblStyle w:val="TableGrid"/>
        <w:tblW w:type="auto" w:w="0"/>
        <w:jc w:val="center"/>
        <w:tblLook w:firstColumn="1" w:firstRow="1" w:lastColumn="0" w:lastRow="0" w:noHBand="0" w:noVBand="1" w:val="04A0"/>
      </w:tblPr>
      <w:tblGrid>
        <w:gridCol w:w="3061"/>
        <w:gridCol w:w="3061"/>
        <w:gridCol w:w="3061"/>
      </w:tblGrid>
      <w:tr>
        <w:tc>
          <w:tcPr>
            <w:tcW w:type="dxa" w:w="2608"/>
            <w:shd w:val="clear" w:fill="1F3864"/>
          </w:tcPr>
          <w:p>
            <w:r/>
            <w:r>
              <w:rPr>
                <w:b/>
                <w:color w:val="FFFFFF"/>
                <w:sz w:val="20"/>
              </w:rPr>
              <w:t>Parameter</w:t>
            </w:r>
          </w:p>
        </w:tc>
        <w:tc>
          <w:tcPr>
            <w:tcW w:type="dxa" w:w="3061"/>
            <w:shd w:val="clear" w:fill="1F3864"/>
          </w:tcPr>
          <w:p>
            <w:r/>
            <w:r>
              <w:rPr>
                <w:b/>
                <w:color w:val="FFFFFF"/>
                <w:sz w:val="20"/>
              </w:rPr>
              <w:t>Value</w:t>
            </w:r>
          </w:p>
        </w:tc>
        <w:tc>
          <w:tcPr>
            <w:tcW w:type="dxa" w:w="3402"/>
            <w:shd w:val="clear" w:fill="1F3864"/>
          </w:tcPr>
          <w:p>
            <w:r/>
            <w:r>
              <w:rPr>
                <w:b/>
                <w:color w:val="FFFFFF"/>
                <w:sz w:val="20"/>
              </w:rPr>
              <w:t>Closure basis</w:t>
            </w:r>
          </w:p>
        </w:tc>
      </w:tr>
      <w:tr>
        <w:tc>
          <w:tcPr>
            <w:tcW w:type="dxa" w:w="2608"/>
          </w:tcPr>
          <w:p>
            <w:r/>
            <w:r>
              <w:rPr>
                <w:color w:val="1A1A1A"/>
                <w:sz w:val="20"/>
              </w:rPr>
              <w:t>Length</w:t>
            </w:r>
          </w:p>
        </w:tc>
        <w:tc>
          <w:tcPr>
            <w:tcW w:type="dxa" w:w="3061"/>
          </w:tcPr>
          <w:p>
            <w:r/>
            <w:r>
              <w:rPr>
                <w:color w:val="1A1A1A"/>
                <w:sz w:val="20"/>
              </w:rPr>
              <w:t>11.2 m</w:t>
            </w:r>
          </w:p>
        </w:tc>
        <w:tc>
          <w:tcPr>
            <w:tcW w:type="dxa" w:w="3402"/>
          </w:tcPr>
          <w:p>
            <w:r/>
            <w:r>
              <w:rPr>
                <w:color w:val="1A1A1A"/>
                <w:sz w:val="20"/>
              </w:rPr>
              <w:t>Layout drawing set LD-100, frozen at CDR-80</w:t>
            </w:r>
          </w:p>
        </w:tc>
      </w:tr>
      <w:tr>
        <w:tc>
          <w:tcPr>
            <w:tcW w:type="dxa" w:w="2608"/>
            <w:shd w:val="clear" w:fill="D9E2F3"/>
          </w:tcPr>
          <w:p>
            <w:r/>
            <w:r>
              <w:rPr>
                <w:color w:val="1A1A1A"/>
                <w:sz w:val="20"/>
              </w:rPr>
              <w:t>Wingspan</w:t>
            </w:r>
          </w:p>
        </w:tc>
        <w:tc>
          <w:tcPr>
            <w:tcW w:type="dxa" w:w="3061"/>
            <w:shd w:val="clear" w:fill="D9E2F3"/>
          </w:tcPr>
          <w:p>
            <w:r/>
            <w:r>
              <w:rPr>
                <w:color w:val="1A1A1A"/>
                <w:sz w:val="20"/>
              </w:rPr>
              <w:t>9.6 m</w:t>
            </w:r>
          </w:p>
        </w:tc>
        <w:tc>
          <w:tcPr>
            <w:tcW w:type="dxa" w:w="3402"/>
            <w:shd w:val="clear" w:fill="D9E2F3"/>
          </w:tcPr>
          <w:p>
            <w:r/>
            <w:r>
              <w:rPr>
                <w:color w:val="1A1A1A"/>
                <w:sz w:val="20"/>
              </w:rPr>
              <w:t>Layout drawing set LD-100</w:t>
            </w:r>
          </w:p>
        </w:tc>
      </w:tr>
      <w:tr>
        <w:tc>
          <w:tcPr>
            <w:tcW w:type="dxa" w:w="2608"/>
          </w:tcPr>
          <w:p>
            <w:r/>
            <w:r>
              <w:rPr>
                <w:color w:val="1A1A1A"/>
                <w:sz w:val="20"/>
              </w:rPr>
              <w:t>Height (gear down)</w:t>
            </w:r>
          </w:p>
        </w:tc>
        <w:tc>
          <w:tcPr>
            <w:tcW w:type="dxa" w:w="3061"/>
          </w:tcPr>
          <w:p>
            <w:r/>
            <w:r>
              <w:rPr>
                <w:color w:val="1A1A1A"/>
                <w:sz w:val="20"/>
              </w:rPr>
              <w:t>2.45 m</w:t>
            </w:r>
          </w:p>
        </w:tc>
        <w:tc>
          <w:tcPr>
            <w:tcW w:type="dxa" w:w="3402"/>
          </w:tcPr>
          <w:p>
            <w:r/>
            <w:r>
              <w:rPr>
                <w:color w:val="1A1A1A"/>
                <w:sz w:val="20"/>
              </w:rPr>
              <w:t>Layout drawing set LD-100</w:t>
            </w:r>
          </w:p>
        </w:tc>
      </w:tr>
      <w:tr>
        <w:tc>
          <w:tcPr>
            <w:tcW w:type="dxa" w:w="2608"/>
            <w:shd w:val="clear" w:fill="D9E2F3"/>
          </w:tcPr>
          <w:p>
            <w:r/>
            <w:r>
              <w:rPr>
                <w:color w:val="1A1A1A"/>
                <w:sz w:val="20"/>
              </w:rPr>
              <w:t>Wing reference area</w:t>
            </w:r>
          </w:p>
        </w:tc>
        <w:tc>
          <w:tcPr>
            <w:tcW w:type="dxa" w:w="3061"/>
            <w:shd w:val="clear" w:fill="D9E2F3"/>
          </w:tcPr>
          <w:p>
            <w:r/>
            <w:r>
              <w:rPr>
                <w:color w:val="1A1A1A"/>
                <w:sz w:val="20"/>
              </w:rPr>
              <w:t>42.0 m2</w:t>
            </w:r>
          </w:p>
        </w:tc>
        <w:tc>
          <w:tcPr>
            <w:tcW w:type="dxa" w:w="3402"/>
            <w:shd w:val="clear" w:fill="D9E2F3"/>
          </w:tcPr>
          <w:p>
            <w:r/>
            <w:r>
              <w:rPr>
                <w:color w:val="1A1A1A"/>
                <w:sz w:val="20"/>
              </w:rPr>
              <w:t>Sizing analysis, Section 7</w:t>
            </w:r>
          </w:p>
        </w:tc>
      </w:tr>
      <w:tr>
        <w:tc>
          <w:tcPr>
            <w:tcW w:type="dxa" w:w="2608"/>
          </w:tcPr>
          <w:p>
            <w:r/>
            <w:r>
              <w:rPr>
                <w:color w:val="1A1A1A"/>
                <w:sz w:val="20"/>
              </w:rPr>
              <w:t>Aspect ratio</w:t>
            </w:r>
          </w:p>
        </w:tc>
        <w:tc>
          <w:tcPr>
            <w:tcW w:type="dxa" w:w="3061"/>
          </w:tcPr>
          <w:p>
            <w:r/>
            <w:r>
              <w:rPr>
                <w:color w:val="1A1A1A"/>
                <w:sz w:val="20"/>
              </w:rPr>
              <w:t>2.19</w:t>
            </w:r>
          </w:p>
        </w:tc>
        <w:tc>
          <w:tcPr>
            <w:tcW w:type="dxa" w:w="3402"/>
          </w:tcPr>
          <w:p>
            <w:r/>
            <w:r>
              <w:rPr>
                <w:color w:val="1A1A1A"/>
                <w:sz w:val="20"/>
              </w:rPr>
              <w:t>Derived from span and area</w:t>
            </w:r>
          </w:p>
        </w:tc>
      </w:tr>
      <w:tr>
        <w:tc>
          <w:tcPr>
            <w:tcW w:type="dxa" w:w="2608"/>
            <w:shd w:val="clear" w:fill="D9E2F3"/>
          </w:tcPr>
          <w:p>
            <w:r/>
            <w:r>
              <w:rPr>
                <w:color w:val="1A1A1A"/>
                <w:sz w:val="20"/>
              </w:rPr>
              <w:t>Leading-edge sweep (lambda)</w:t>
            </w:r>
          </w:p>
        </w:tc>
        <w:tc>
          <w:tcPr>
            <w:tcW w:type="dxa" w:w="3061"/>
            <w:shd w:val="clear" w:fill="D9E2F3"/>
          </w:tcPr>
          <w:p>
            <w:r/>
            <w:r>
              <w:rPr>
                <w:color w:val="1A1A1A"/>
                <w:sz w:val="20"/>
              </w:rPr>
              <w:t>48 degrees inboard / 42 degrees outboard</w:t>
            </w:r>
          </w:p>
        </w:tc>
        <w:tc>
          <w:tcPr>
            <w:tcW w:type="dxa" w:w="3402"/>
            <w:shd w:val="clear" w:fill="D9E2F3"/>
          </w:tcPr>
          <w:p>
            <w:r/>
            <w:r>
              <w:rPr>
                <w:color w:val="1A1A1A"/>
                <w:sz w:val="20"/>
              </w:rPr>
              <w:t>Aerodynamics trade study AT-07</w:t>
            </w:r>
          </w:p>
        </w:tc>
      </w:tr>
      <w:tr>
        <w:tc>
          <w:tcPr>
            <w:tcW w:type="dxa" w:w="2608"/>
          </w:tcPr>
          <w:p>
            <w:r/>
            <w:r>
              <w:rPr>
                <w:color w:val="1A1A1A"/>
                <w:sz w:val="20"/>
              </w:rPr>
              <w:t>Tail cant</w:t>
            </w:r>
          </w:p>
        </w:tc>
        <w:tc>
          <w:tcPr>
            <w:tcW w:type="dxa" w:w="3061"/>
          </w:tcPr>
          <w:p>
            <w:r/>
            <w:r>
              <w:rPr>
                <w:color w:val="1A1A1A"/>
                <w:sz w:val="20"/>
              </w:rPr>
              <w:t>32 degrees outward</w:t>
            </w:r>
          </w:p>
        </w:tc>
        <w:tc>
          <w:tcPr>
            <w:tcW w:type="dxa" w:w="3402"/>
          </w:tcPr>
          <w:p>
            <w:r/>
            <w:r>
              <w:rPr>
                <w:color w:val="1A1A1A"/>
                <w:sz w:val="20"/>
              </w:rPr>
              <w:t>Signature and control trade, AT-11</w:t>
            </w:r>
          </w:p>
        </w:tc>
      </w:tr>
      <w:tr>
        <w:tc>
          <w:tcPr>
            <w:tcW w:type="dxa" w:w="2608"/>
            <w:shd w:val="clear" w:fill="D9E2F3"/>
          </w:tcPr>
          <w:p>
            <w:r/>
            <w:r>
              <w:rPr>
                <w:color w:val="1A1A1A"/>
                <w:sz w:val="20"/>
              </w:rPr>
              <w:t>Internal bays</w:t>
            </w:r>
          </w:p>
        </w:tc>
        <w:tc>
          <w:tcPr>
            <w:tcW w:type="dxa" w:w="3061"/>
            <w:shd w:val="clear" w:fill="D9E2F3"/>
          </w:tcPr>
          <w:p>
            <w:r/>
            <w:r>
              <w:rPr>
                <w:color w:val="1A1A1A"/>
                <w:sz w:val="20"/>
              </w:rPr>
              <w:t>2, each 3.8 m x 0.65 m x 0.55 m, 450 kg rated</w:t>
            </w:r>
          </w:p>
        </w:tc>
        <w:tc>
          <w:tcPr>
            <w:tcW w:type="dxa" w:w="3402"/>
            <w:shd w:val="clear" w:fill="D9E2F3"/>
          </w:tcPr>
          <w:p>
            <w:r/>
            <w:r>
              <w:rPr>
                <w:color w:val="1A1A1A"/>
                <w:sz w:val="20"/>
              </w:rPr>
              <w:t>Weapons fit audit, Section 9</w:t>
            </w:r>
          </w:p>
        </w:tc>
      </w:tr>
      <w:tr>
        <w:tc>
          <w:tcPr>
            <w:tcW w:type="dxa" w:w="2608"/>
          </w:tcPr>
          <w:p>
            <w:r/>
            <w:r>
              <w:rPr>
                <w:color w:val="1A1A1A"/>
                <w:sz w:val="20"/>
              </w:rPr>
              <w:t>External stations</w:t>
            </w:r>
          </w:p>
        </w:tc>
        <w:tc>
          <w:tcPr>
            <w:tcW w:type="dxa" w:w="3061"/>
          </w:tcPr>
          <w:p>
            <w:r/>
            <w:r>
              <w:rPr>
                <w:color w:val="1A1A1A"/>
                <w:sz w:val="20"/>
              </w:rPr>
              <w:t>2 wet wing stations, ferry and training only</w:t>
            </w:r>
          </w:p>
        </w:tc>
        <w:tc>
          <w:tcPr>
            <w:tcW w:type="dxa" w:w="3402"/>
          </w:tcPr>
          <w:p>
            <w:r/>
            <w:r>
              <w:rPr>
                <w:color w:val="1A1A1A"/>
                <w:sz w:val="20"/>
              </w:rPr>
              <w:t>Non-signature-critical profiles only</w:t>
            </w:r>
          </w:p>
        </w:tc>
      </w:tr>
      <w:tr>
        <w:tc>
          <w:tcPr>
            <w:tcW w:type="dxa" w:w="2608"/>
            <w:shd w:val="clear" w:fill="D9E2F3"/>
          </w:tcPr>
          <w:p>
            <w:r/>
            <w:r>
              <w:rPr>
                <w:color w:val="1A1A1A"/>
                <w:sz w:val="20"/>
              </w:rPr>
              <w:t>Load factors</w:t>
            </w:r>
          </w:p>
        </w:tc>
        <w:tc>
          <w:tcPr>
            <w:tcW w:type="dxa" w:w="3061"/>
            <w:shd w:val="clear" w:fill="D9E2F3"/>
          </w:tcPr>
          <w:p>
            <w:r/>
            <w:r>
              <w:rPr>
                <w:color w:val="1A1A1A"/>
                <w:sz w:val="20"/>
              </w:rPr>
              <w:t>+9.0 / -3.5 g at combat weight</w:t>
            </w:r>
          </w:p>
        </w:tc>
        <w:tc>
          <w:tcPr>
            <w:tcW w:type="dxa" w:w="3402"/>
            <w:shd w:val="clear" w:fill="D9E2F3"/>
          </w:tcPr>
          <w:p>
            <w:r/>
            <w:r>
              <w:rPr>
                <w:color w:val="1A1A1A"/>
                <w:sz w:val="20"/>
              </w:rPr>
              <w:t>Structural sizing, Section 5; PV-07</w:t>
            </w:r>
          </w:p>
        </w:tc>
      </w:tr>
      <w:tr>
        <w:tc>
          <w:tcPr>
            <w:tcW w:type="dxa" w:w="2608"/>
          </w:tcPr>
          <w:p>
            <w:r/>
            <w:r>
              <w:rPr>
                <w:color w:val="1A1A1A"/>
                <w:sz w:val="20"/>
              </w:rPr>
              <w:t>Design life</w:t>
            </w:r>
          </w:p>
        </w:tc>
        <w:tc>
          <w:tcPr>
            <w:tcW w:type="dxa" w:w="3061"/>
          </w:tcPr>
          <w:p>
            <w:r/>
            <w:r>
              <w:rPr>
                <w:color w:val="1A1A1A"/>
                <w:sz w:val="20"/>
              </w:rPr>
              <w:t>3,000 flight hours / 6,000 landings</w:t>
            </w:r>
          </w:p>
        </w:tc>
        <w:tc>
          <w:tcPr>
            <w:tcW w:type="dxa" w:w="3402"/>
          </w:tcPr>
          <w:p>
            <w:r/>
            <w:r>
              <w:rPr>
                <w:color w:val="1A1A1A"/>
                <w:sz w:val="20"/>
              </w:rPr>
              <w:t>Fatigue spectrum, Section 12</w:t>
            </w:r>
          </w:p>
        </w:tc>
      </w:tr>
    </w:tbl>
    <w:p>
      <w:pPr>
        <w:jc w:val="center"/>
      </w:pPr>
      <w:r>
        <w:rPr>
          <w:i/>
          <w:sz w:val="19"/>
        </w:rPr>
        <w:t>Table 4-1. Configuration and geometry baseline.</w:t>
      </w:r>
    </w:p>
    <w:p>
      <w:pPr>
        <w:pStyle w:val="Heading1"/>
      </w:pPr>
      <w:r>
        <w:t>5. Mass Properties</w:t>
      </w:r>
    </w:p>
    <w:p>
      <w:pPr>
        <w:pStyle w:val="Heading2"/>
      </w:pPr>
      <w:r>
        <w:t>5.1 Mass Budget</w:t>
      </w:r>
    </w:p>
    <w:tbl>
      <w:tblPr>
        <w:tblStyle w:val="TableGrid"/>
        <w:tblW w:type="auto" w:w="0"/>
        <w:jc w:val="center"/>
        <w:tblLook w:firstColumn="1" w:firstRow="1" w:lastColumn="0" w:lastRow="0" w:noHBand="0" w:noVBand="1" w:val="04A0"/>
      </w:tblPr>
      <w:tblGrid>
        <w:gridCol w:w="3061"/>
        <w:gridCol w:w="3061"/>
        <w:gridCol w:w="3061"/>
      </w:tblGrid>
      <w:tr>
        <w:tc>
          <w:tcPr>
            <w:tcW w:type="dxa" w:w="4762"/>
            <w:shd w:val="clear" w:fill="1F3864"/>
          </w:tcPr>
          <w:p>
            <w:r/>
            <w:r>
              <w:rPr>
                <w:b/>
                <w:color w:val="FFFFFF"/>
                <w:sz w:val="20"/>
              </w:rPr>
              <w:t>Group</w:t>
            </w:r>
          </w:p>
        </w:tc>
        <w:tc>
          <w:tcPr>
            <w:tcW w:type="dxa" w:w="2041"/>
            <w:shd w:val="clear" w:fill="1F3864"/>
          </w:tcPr>
          <w:p>
            <w:r/>
            <w:r>
              <w:rPr>
                <w:b/>
                <w:color w:val="FFFFFF"/>
                <w:sz w:val="20"/>
              </w:rPr>
              <w:t>Mass (kg)</w:t>
            </w:r>
          </w:p>
        </w:tc>
        <w:tc>
          <w:tcPr>
            <w:tcW w:type="dxa" w:w="2268"/>
            <w:shd w:val="clear" w:fill="1F3864"/>
          </w:tcPr>
          <w:p>
            <w:r/>
            <w:r>
              <w:rPr>
                <w:b/>
                <w:color w:val="FFFFFF"/>
                <w:sz w:val="20"/>
              </w:rPr>
              <w:t>Share of MTOW</w:t>
            </w:r>
          </w:p>
        </w:tc>
      </w:tr>
      <w:tr>
        <w:tc>
          <w:tcPr>
            <w:tcW w:type="dxa" w:w="4762"/>
          </w:tcPr>
          <w:p>
            <w:r/>
            <w:r>
              <w:rPr>
                <w:color w:val="1A1A1A"/>
                <w:sz w:val="20"/>
              </w:rPr>
              <w:t>Structure and airframe (incl. de-ice structure)</w:t>
            </w:r>
          </w:p>
        </w:tc>
        <w:tc>
          <w:tcPr>
            <w:tcW w:type="dxa" w:w="2041"/>
          </w:tcPr>
          <w:p>
            <w:r/>
            <w:r>
              <w:rPr>
                <w:color w:val="1A1A1A"/>
                <w:sz w:val="20"/>
              </w:rPr>
              <w:t>1,900</w:t>
            </w:r>
          </w:p>
        </w:tc>
        <w:tc>
          <w:tcPr>
            <w:tcW w:type="dxa" w:w="2268"/>
          </w:tcPr>
          <w:p>
            <w:r/>
            <w:r>
              <w:rPr>
                <w:color w:val="1A1A1A"/>
                <w:sz w:val="20"/>
              </w:rPr>
              <w:t>21.7%</w:t>
            </w:r>
          </w:p>
        </w:tc>
      </w:tr>
      <w:tr>
        <w:tc>
          <w:tcPr>
            <w:tcW w:type="dxa" w:w="4762"/>
            <w:shd w:val="clear" w:fill="D9E2F3"/>
          </w:tcPr>
          <w:p>
            <w:r/>
            <w:r>
              <w:rPr>
                <w:color w:val="1A1A1A"/>
                <w:sz w:val="20"/>
              </w:rPr>
              <w:t>Propulsion installed (engine, inlet, nozzle, mounts)</w:t>
            </w:r>
          </w:p>
        </w:tc>
        <w:tc>
          <w:tcPr>
            <w:tcW w:type="dxa" w:w="2041"/>
            <w:shd w:val="clear" w:fill="D9E2F3"/>
          </w:tcPr>
          <w:p>
            <w:r/>
            <w:r>
              <w:rPr>
                <w:color w:val="1A1A1A"/>
                <w:sz w:val="20"/>
              </w:rPr>
              <w:t>1,210</w:t>
            </w:r>
          </w:p>
        </w:tc>
        <w:tc>
          <w:tcPr>
            <w:tcW w:type="dxa" w:w="2268"/>
            <w:shd w:val="clear" w:fill="D9E2F3"/>
          </w:tcPr>
          <w:p>
            <w:r/>
            <w:r>
              <w:rPr>
                <w:color w:val="1A1A1A"/>
                <w:sz w:val="20"/>
              </w:rPr>
              <w:t>13.8%</w:t>
            </w:r>
          </w:p>
        </w:tc>
      </w:tr>
      <w:tr>
        <w:tc>
          <w:tcPr>
            <w:tcW w:type="dxa" w:w="4762"/>
          </w:tcPr>
          <w:p>
            <w:r/>
            <w:r>
              <w:rPr>
                <w:color w:val="1A1A1A"/>
                <w:sz w:val="20"/>
              </w:rPr>
              <w:t>Mission avionics and sensors</w:t>
            </w:r>
          </w:p>
        </w:tc>
        <w:tc>
          <w:tcPr>
            <w:tcW w:type="dxa" w:w="2041"/>
          </w:tcPr>
          <w:p>
            <w:r/>
            <w:r>
              <w:rPr>
                <w:color w:val="1A1A1A"/>
                <w:sz w:val="20"/>
              </w:rPr>
              <w:t>640</w:t>
            </w:r>
          </w:p>
        </w:tc>
        <w:tc>
          <w:tcPr>
            <w:tcW w:type="dxa" w:w="2268"/>
          </w:tcPr>
          <w:p>
            <w:r/>
            <w:r>
              <w:rPr>
                <w:color w:val="1A1A1A"/>
                <w:sz w:val="20"/>
              </w:rPr>
              <w:t>7.3%</w:t>
            </w:r>
          </w:p>
        </w:tc>
      </w:tr>
      <w:tr>
        <w:tc>
          <w:tcPr>
            <w:tcW w:type="dxa" w:w="4762"/>
            <w:shd w:val="clear" w:fill="D9E2F3"/>
          </w:tcPr>
          <w:p>
            <w:r/>
            <w:r>
              <w:rPr>
                <w:color w:val="1A1A1A"/>
                <w:sz w:val="20"/>
              </w:rPr>
              <w:t>Landing gear and brakes</w:t>
            </w:r>
          </w:p>
        </w:tc>
        <w:tc>
          <w:tcPr>
            <w:tcW w:type="dxa" w:w="2041"/>
            <w:shd w:val="clear" w:fill="D9E2F3"/>
          </w:tcPr>
          <w:p>
            <w:r/>
            <w:r>
              <w:rPr>
                <w:color w:val="1A1A1A"/>
                <w:sz w:val="20"/>
              </w:rPr>
              <w:t>330</w:t>
            </w:r>
          </w:p>
        </w:tc>
        <w:tc>
          <w:tcPr>
            <w:tcW w:type="dxa" w:w="2268"/>
            <w:shd w:val="clear" w:fill="D9E2F3"/>
          </w:tcPr>
          <w:p>
            <w:r/>
            <w:r>
              <w:rPr>
                <w:color w:val="1A1A1A"/>
                <w:sz w:val="20"/>
              </w:rPr>
              <w:t>3.8%</w:t>
            </w:r>
          </w:p>
        </w:tc>
      </w:tr>
      <w:tr>
        <w:tc>
          <w:tcPr>
            <w:tcW w:type="dxa" w:w="4762"/>
          </w:tcPr>
          <w:p>
            <w:r/>
            <w:r>
              <w:rPr>
                <w:color w:val="1A1A1A"/>
                <w:sz w:val="20"/>
              </w:rPr>
              <w:t>Electrical power and actuation</w:t>
            </w:r>
          </w:p>
        </w:tc>
        <w:tc>
          <w:tcPr>
            <w:tcW w:type="dxa" w:w="2041"/>
          </w:tcPr>
          <w:p>
            <w:r/>
            <w:r>
              <w:rPr>
                <w:color w:val="1A1A1A"/>
                <w:sz w:val="20"/>
              </w:rPr>
              <w:t>290</w:t>
            </w:r>
          </w:p>
        </w:tc>
        <w:tc>
          <w:tcPr>
            <w:tcW w:type="dxa" w:w="2268"/>
          </w:tcPr>
          <w:p>
            <w:r/>
            <w:r>
              <w:rPr>
                <w:color w:val="1A1A1A"/>
                <w:sz w:val="20"/>
              </w:rPr>
              <w:t>3.3%</w:t>
            </w:r>
          </w:p>
        </w:tc>
      </w:tr>
      <w:tr>
        <w:tc>
          <w:tcPr>
            <w:tcW w:type="dxa" w:w="4762"/>
            <w:shd w:val="clear" w:fill="D9E2F3"/>
          </w:tcPr>
          <w:p>
            <w:r/>
            <w:r>
              <w:rPr>
                <w:color w:val="1A1A1A"/>
                <w:sz w:val="20"/>
              </w:rPr>
              <w:t>Fuel system and inerting</w:t>
            </w:r>
          </w:p>
        </w:tc>
        <w:tc>
          <w:tcPr>
            <w:tcW w:type="dxa" w:w="2041"/>
            <w:shd w:val="clear" w:fill="D9E2F3"/>
          </w:tcPr>
          <w:p>
            <w:r/>
            <w:r>
              <w:rPr>
                <w:color w:val="1A1A1A"/>
                <w:sz w:val="20"/>
              </w:rPr>
              <w:t>180</w:t>
            </w:r>
          </w:p>
        </w:tc>
        <w:tc>
          <w:tcPr>
            <w:tcW w:type="dxa" w:w="2268"/>
            <w:shd w:val="clear" w:fill="D9E2F3"/>
          </w:tcPr>
          <w:p>
            <w:r/>
            <w:r>
              <w:rPr>
                <w:color w:val="1A1A1A"/>
                <w:sz w:val="20"/>
              </w:rPr>
              <w:t>1.9%</w:t>
            </w:r>
          </w:p>
        </w:tc>
      </w:tr>
      <w:tr>
        <w:tc>
          <w:tcPr>
            <w:tcW w:type="dxa" w:w="4762"/>
          </w:tcPr>
          <w:p>
            <w:r/>
            <w:r>
              <w:rPr>
                <w:color w:val="1A1A1A"/>
                <w:sz w:val="20"/>
              </w:rPr>
              <w:t>Arctic environmental kit (EEDS, anti-ice, preheat)</w:t>
            </w:r>
          </w:p>
        </w:tc>
        <w:tc>
          <w:tcPr>
            <w:tcW w:type="dxa" w:w="2041"/>
          </w:tcPr>
          <w:p>
            <w:r/>
            <w:r>
              <w:rPr>
                <w:color w:val="1A1A1A"/>
                <w:sz w:val="20"/>
              </w:rPr>
              <w:t>160</w:t>
            </w:r>
          </w:p>
        </w:tc>
        <w:tc>
          <w:tcPr>
            <w:tcW w:type="dxa" w:w="2268"/>
          </w:tcPr>
          <w:p>
            <w:r/>
            <w:r>
              <w:rPr>
                <w:color w:val="1A1A1A"/>
                <w:sz w:val="20"/>
              </w:rPr>
              <w:t>1.8%</w:t>
            </w:r>
          </w:p>
        </w:tc>
      </w:tr>
      <w:tr>
        <w:tc>
          <w:tcPr>
            <w:tcW w:type="dxa" w:w="4762"/>
            <w:shd w:val="clear" w:fill="D9E2F3"/>
          </w:tcPr>
          <w:p>
            <w:r/>
            <w:r>
              <w:rPr>
                <w:color w:val="1A1A1A"/>
                <w:sz w:val="20"/>
              </w:rPr>
              <w:t>Communications and datalinks</w:t>
            </w:r>
          </w:p>
        </w:tc>
        <w:tc>
          <w:tcPr>
            <w:tcW w:type="dxa" w:w="2041"/>
            <w:shd w:val="clear" w:fill="D9E2F3"/>
          </w:tcPr>
          <w:p>
            <w:r/>
            <w:r>
              <w:rPr>
                <w:color w:val="1A1A1A"/>
                <w:sz w:val="20"/>
              </w:rPr>
              <w:t>140</w:t>
            </w:r>
          </w:p>
        </w:tc>
        <w:tc>
          <w:tcPr>
            <w:tcW w:type="dxa" w:w="2268"/>
            <w:shd w:val="clear" w:fill="D9E2F3"/>
          </w:tcPr>
          <w:p>
            <w:r/>
            <w:r>
              <w:rPr>
                <w:color w:val="1A1A1A"/>
                <w:sz w:val="20"/>
              </w:rPr>
              <w:t>1.6%</w:t>
            </w:r>
          </w:p>
        </w:tc>
      </w:tr>
      <w:tr>
        <w:tc>
          <w:tcPr>
            <w:tcW w:type="dxa" w:w="4762"/>
          </w:tcPr>
          <w:p>
            <w:r/>
            <w:r>
              <w:rPr>
                <w:color w:val="1A1A1A"/>
                <w:sz w:val="20"/>
              </w:rPr>
              <w:t>Empty weight</w:t>
            </w:r>
          </w:p>
        </w:tc>
        <w:tc>
          <w:tcPr>
            <w:tcW w:type="dxa" w:w="2041"/>
          </w:tcPr>
          <w:p>
            <w:r/>
            <w:r>
              <w:rPr>
                <w:color w:val="1A1A1A"/>
                <w:sz w:val="20"/>
              </w:rPr>
              <w:t>4,850</w:t>
            </w:r>
          </w:p>
        </w:tc>
        <w:tc>
          <w:tcPr>
            <w:tcW w:type="dxa" w:w="2268"/>
          </w:tcPr>
          <w:p>
            <w:r/>
            <w:r>
              <w:rPr>
                <w:color w:val="1A1A1A"/>
                <w:sz w:val="20"/>
              </w:rPr>
              <w:t>55.4%</w:t>
            </w:r>
          </w:p>
        </w:tc>
      </w:tr>
      <w:tr>
        <w:tc>
          <w:tcPr>
            <w:tcW w:type="dxa" w:w="4762"/>
            <w:shd w:val="clear" w:fill="D9E2F3"/>
          </w:tcPr>
          <w:p>
            <w:r/>
            <w:r>
              <w:rPr>
                <w:color w:val="1A1A1A"/>
                <w:sz w:val="20"/>
              </w:rPr>
              <w:t>Internal fuel (F-34)</w:t>
            </w:r>
          </w:p>
        </w:tc>
        <w:tc>
          <w:tcPr>
            <w:tcW w:type="dxa" w:w="2041"/>
            <w:shd w:val="clear" w:fill="D9E2F3"/>
          </w:tcPr>
          <w:p>
            <w:r/>
            <w:r>
              <w:rPr>
                <w:color w:val="1A1A1A"/>
                <w:sz w:val="20"/>
              </w:rPr>
              <w:t>3,000</w:t>
            </w:r>
          </w:p>
        </w:tc>
        <w:tc>
          <w:tcPr>
            <w:tcW w:type="dxa" w:w="2268"/>
            <w:shd w:val="clear" w:fill="D9E2F3"/>
          </w:tcPr>
          <w:p>
            <w:r/>
            <w:r>
              <w:rPr>
                <w:color w:val="1A1A1A"/>
                <w:sz w:val="20"/>
              </w:rPr>
              <w:t>34.3%</w:t>
            </w:r>
          </w:p>
        </w:tc>
      </w:tr>
      <w:tr>
        <w:tc>
          <w:tcPr>
            <w:tcW w:type="dxa" w:w="4762"/>
          </w:tcPr>
          <w:p>
            <w:r/>
            <w:r>
              <w:rPr>
                <w:color w:val="1A1A1A"/>
                <w:sz w:val="20"/>
              </w:rPr>
              <w:t>Internal weapons (reference fit)</w:t>
            </w:r>
          </w:p>
        </w:tc>
        <w:tc>
          <w:tcPr>
            <w:tcW w:type="dxa" w:w="2041"/>
          </w:tcPr>
          <w:p>
            <w:r/>
            <w:r>
              <w:rPr>
                <w:color w:val="1A1A1A"/>
                <w:sz w:val="20"/>
              </w:rPr>
              <w:t>850</w:t>
            </w:r>
          </w:p>
        </w:tc>
        <w:tc>
          <w:tcPr>
            <w:tcW w:type="dxa" w:w="2268"/>
          </w:tcPr>
          <w:p>
            <w:r/>
            <w:r>
              <w:rPr>
                <w:color w:val="1A1A1A"/>
                <w:sz w:val="20"/>
              </w:rPr>
              <w:t>9.7%</w:t>
            </w:r>
          </w:p>
        </w:tc>
      </w:tr>
      <w:tr>
        <w:tc>
          <w:tcPr>
            <w:tcW w:type="dxa" w:w="4762"/>
            <w:shd w:val="clear" w:fill="D9E2F3"/>
          </w:tcPr>
          <w:p>
            <w:r/>
            <w:r>
              <w:rPr>
                <w:color w:val="1A1A1A"/>
                <w:sz w:val="20"/>
              </w:rPr>
              <w:t>Oil, coolant, and expendables</w:t>
            </w:r>
          </w:p>
        </w:tc>
        <w:tc>
          <w:tcPr>
            <w:tcW w:type="dxa" w:w="2041"/>
            <w:shd w:val="clear" w:fill="D9E2F3"/>
          </w:tcPr>
          <w:p>
            <w:r/>
            <w:r>
              <w:rPr>
                <w:color w:val="1A1A1A"/>
                <w:sz w:val="20"/>
              </w:rPr>
              <w:t>50</w:t>
            </w:r>
          </w:p>
        </w:tc>
        <w:tc>
          <w:tcPr>
            <w:tcW w:type="dxa" w:w="2268"/>
            <w:shd w:val="clear" w:fill="D9E2F3"/>
          </w:tcPr>
          <w:p>
            <w:r/>
            <w:r>
              <w:rPr>
                <w:color w:val="1A1A1A"/>
                <w:sz w:val="20"/>
              </w:rPr>
              <w:t>0.6%</w:t>
            </w:r>
          </w:p>
        </w:tc>
      </w:tr>
      <w:tr>
        <w:tc>
          <w:tcPr>
            <w:tcW w:type="dxa" w:w="4762"/>
          </w:tcPr>
          <w:p>
            <w:r/>
            <w:r>
              <w:rPr>
                <w:color w:val="1A1A1A"/>
                <w:sz w:val="20"/>
              </w:rPr>
              <w:t>Maximum take-off weight</w:t>
            </w:r>
          </w:p>
        </w:tc>
        <w:tc>
          <w:tcPr>
            <w:tcW w:type="dxa" w:w="2041"/>
          </w:tcPr>
          <w:p>
            <w:r/>
            <w:r>
              <w:rPr>
                <w:color w:val="1A1A1A"/>
                <w:sz w:val="20"/>
              </w:rPr>
              <w:t>8,750</w:t>
            </w:r>
          </w:p>
        </w:tc>
        <w:tc>
          <w:tcPr>
            <w:tcW w:type="dxa" w:w="2268"/>
          </w:tcPr>
          <w:p>
            <w:r/>
            <w:r>
              <w:rPr>
                <w:color w:val="1A1A1A"/>
                <w:sz w:val="20"/>
              </w:rPr>
              <w:t>100%</w:t>
            </w:r>
          </w:p>
        </w:tc>
      </w:tr>
    </w:tbl>
    <w:p>
      <w:pPr>
        <w:jc w:val="center"/>
      </w:pPr>
      <w:r>
        <w:rPr>
          <w:i/>
          <w:sz w:val="19"/>
        </w:rPr>
        <w:t>Table 5-1. Mass properties budget, CDR-80 baseline.</w:t>
      </w:r>
    </w:p>
    <w:p>
      <w:pPr>
        <w:pStyle w:val="Heading2"/>
      </w:pPr>
      <w:r>
        <w:t>5.2 Closure Notes</w:t>
      </w:r>
    </w:p>
    <w:p>
      <w:r>
        <w:rPr>
          <w:b w:val="0"/>
          <w:i w:val="0"/>
        </w:rPr>
        <w:t>The budget carries an 8 percent empty-weight growth allowance inside the margin policy: at the growth ceiling the empty weight reaches 5,240 kg and MTOW reaches 9,140 kg, at which point the afterburning thrust-to-weight ratio holds at 1.00 and the wing loading reaches 218 kilograms per square metre; both figures remain inside the performance closure envelopes of Section 7. Combat weight, defined as full weapons and half fuel, stands at 7,250 kg. Landing weight after a reference mission stands at 5,200 kg. The empty fraction of 55.4 percent sits inside the 45 to 60 percent band typical of single-engine unmanned combat aircraft of this class and reflects the composite-dominant structure of Section 12.</w:t>
      </w:r>
    </w:p>
    <w:p>
      <w:pPr>
        <w:pStyle w:val="Heading1"/>
      </w:pPr>
      <w:r>
        <w:t>6. Propulsion</w:t>
      </w:r>
    </w:p>
    <w:p>
      <w:pPr>
        <w:pStyle w:val="Heading2"/>
      </w:pPr>
      <w:r>
        <w:t>6.1 Engine Selection</w:t>
      </w:r>
    </w:p>
    <w:p>
      <w:r>
        <w:rPr>
          <w:b w:val="0"/>
          <w:i w:val="0"/>
        </w:rPr>
        <w:t>The Aurup flies on one Eurojet EJ200 two-spool afterburning turbofan in an Arctic derivative standard. The EJ200 powers the Eurofighter Typhoon fleet and carries more than two decades of operational service, which satisfies the programme rule that prioritises current, existing technology over development risk. The engine delivers approximately 60 kilonewtons dry and 90 kilonewtons with afterburner, with full-authority digital engine control. The consortium sources the engine entirely from the United Kingdom, Germany, Italy, and Spain, so the propulsion line carries no United States content and no ITAR exposure. This choice deliberately diverges from the Gripen E's own United States-origin F414: the wingman holds a sanction-resilient, Europe-sourced propulsion line even where the manned fighter does not.</w:t>
      </w:r>
    </w:p>
    <w:p>
      <w:pPr>
        <w:pStyle w:val="Heading2"/>
      </w:pPr>
      <w:r>
        <w:t>6.2 Arctic Derivative Standard</w:t>
      </w:r>
    </w:p>
    <w:p>
      <w:r>
        <w:rPr>
          <w:b w:val="0"/>
          <w:i w:val="0"/>
        </w:rPr>
        <w:t>The Arctic derivative adds four packages to the in-service engine: a cold-soak start kit with oil and fuel preheat provisions sized for the 12-hour minus 40 degree case; an anti-ice inlet heating schedule integrated with the airframe EEDS; an ice-shedding spinner and inlet-lip treatment proven against the certification icing envelope; and a FADEC cold-start schedule validated on the bench down to minus 40 degrees Celsius and assessed to minus 55 degrees for ground survival. Items one through three carry technology readiness level 7 or better from civil and military cold-weather fleets; the minus 40 degree soaked first-start reliability figure of at least 95 percent remains on the pending-validation register as PV-04.</w:t>
      </w:r>
    </w:p>
    <w:p>
      <w:pPr>
        <w:pStyle w:val="Heading2"/>
      </w:pPr>
      <w:r>
        <w:t>6.3 Installation</w:t>
      </w:r>
    </w:p>
    <w:p>
      <w:r>
        <w:rPr>
          <w:b w:val="0"/>
          <w:i w:val="0"/>
        </w:rPr>
        <w:t>The serpentine dorsal inlet hides the fan face across the frontal sector; boundary-layer management uses a diverterless bump with flush bleed. The exhaust sits buried above the aft deck inside a cooled, edge-aligned shroud that mixes bypass air with the core stream ahead of the nozzle, suppressing both radar return from the turbine and the infrared plume. A take-off thrust reserve of 5 percent supports contaminated-strip performance; engine-out drift-down is not applicable to a single-engine unmanned aircraft, and the lost-link and engine-anomaly ladders route the aircraft to a designated recovery strip.</w:t>
      </w:r>
    </w:p>
    <w:p>
      <w:r>
        <w:br w:type="page"/>
      </w:r>
    </w:p>
    <w:p>
      <w:pPr>
        <w:pStyle w:val="Heading1"/>
      </w:pPr>
      <w:r>
        <w:t>7. Performance</w:t>
      </w:r>
    </w:p>
    <w:tbl>
      <w:tblPr>
        <w:tblStyle w:val="TableGrid"/>
        <w:tblW w:type="auto" w:w="0"/>
        <w:jc w:val="center"/>
        <w:tblLook w:firstColumn="1" w:firstRow="1" w:lastColumn="0" w:lastRow="0" w:noHBand="0" w:noVBand="1" w:val="04A0"/>
      </w:tblPr>
      <w:tblGrid>
        <w:gridCol w:w="2296"/>
        <w:gridCol w:w="2296"/>
        <w:gridCol w:w="2296"/>
        <w:gridCol w:w="2296"/>
      </w:tblGrid>
      <w:tr>
        <w:tc>
          <w:tcPr>
            <w:tcW w:type="dxa" w:w="3175"/>
            <w:shd w:val="clear" w:fill="1F3864"/>
          </w:tcPr>
          <w:p>
            <w:r/>
            <w:r>
              <w:rPr>
                <w:b/>
                <w:color w:val="FFFFFF"/>
                <w:sz w:val="20"/>
              </w:rPr>
              <w:t>Parameter</w:t>
            </w:r>
          </w:p>
        </w:tc>
        <w:tc>
          <w:tcPr>
            <w:tcW w:type="dxa" w:w="1928"/>
            <w:shd w:val="clear" w:fill="1F3864"/>
          </w:tcPr>
          <w:p>
            <w:r/>
            <w:r>
              <w:rPr>
                <w:b/>
                <w:color w:val="FFFFFF"/>
                <w:sz w:val="20"/>
              </w:rPr>
              <w:t>Threshold</w:t>
            </w:r>
          </w:p>
        </w:tc>
        <w:tc>
          <w:tcPr>
            <w:tcW w:type="dxa" w:w="1814"/>
            <w:shd w:val="clear" w:fill="1F3864"/>
          </w:tcPr>
          <w:p>
            <w:r/>
            <w:r>
              <w:rPr>
                <w:b/>
                <w:color w:val="FFFFFF"/>
                <w:sz w:val="20"/>
              </w:rPr>
              <w:t>Objective</w:t>
            </w:r>
          </w:p>
        </w:tc>
        <w:tc>
          <w:tcPr>
            <w:tcW w:type="dxa" w:w="2154"/>
            <w:shd w:val="clear" w:fill="1F3864"/>
          </w:tcPr>
          <w:p>
            <w:r/>
            <w:r>
              <w:rPr>
                <w:b/>
                <w:color w:val="FFFFFF"/>
                <w:sz w:val="20"/>
              </w:rPr>
              <w:t>Closure status</w:t>
            </w:r>
          </w:p>
        </w:tc>
      </w:tr>
      <w:tr>
        <w:tc>
          <w:tcPr>
            <w:tcW w:type="dxa" w:w="3175"/>
          </w:tcPr>
          <w:p>
            <w:r/>
            <w:r>
              <w:rPr>
                <w:color w:val="1A1A1A"/>
                <w:sz w:val="20"/>
              </w:rPr>
              <w:t>Supercruise (dry thrust, combat weight, 45,000 ft)</w:t>
            </w:r>
          </w:p>
        </w:tc>
        <w:tc>
          <w:tcPr>
            <w:tcW w:type="dxa" w:w="1928"/>
          </w:tcPr>
          <w:p>
            <w:r/>
            <w:r>
              <w:rPr>
                <w:color w:val="1A1A1A"/>
                <w:sz w:val="20"/>
              </w:rPr>
              <w:t>Mach 1.25</w:t>
            </w:r>
          </w:p>
        </w:tc>
        <w:tc>
          <w:tcPr>
            <w:tcW w:type="dxa" w:w="1814"/>
          </w:tcPr>
          <w:p>
            <w:r/>
            <w:r>
              <w:rPr>
                <w:color w:val="1A1A1A"/>
                <w:sz w:val="20"/>
              </w:rPr>
              <w:t>Mach 1.40</w:t>
            </w:r>
          </w:p>
        </w:tc>
        <w:tc>
          <w:tcPr>
            <w:tcW w:type="dxa" w:w="2154"/>
          </w:tcPr>
          <w:p>
            <w:r/>
            <w:r>
              <w:rPr>
                <w:color w:val="1A1A1A"/>
                <w:sz w:val="20"/>
              </w:rPr>
              <w:t>Closes on drag estimate; PV-01 transonic polar</w:t>
            </w:r>
          </w:p>
        </w:tc>
      </w:tr>
      <w:tr>
        <w:tc>
          <w:tcPr>
            <w:tcW w:type="dxa" w:w="3175"/>
            <w:shd w:val="clear" w:fill="D9E2F3"/>
          </w:tcPr>
          <w:p>
            <w:r/>
            <w:r>
              <w:rPr>
                <w:color w:val="1A1A1A"/>
                <w:sz w:val="20"/>
              </w:rPr>
              <w:t>Dash (afterburner, 45,000 ft)</w:t>
            </w:r>
          </w:p>
        </w:tc>
        <w:tc>
          <w:tcPr>
            <w:tcW w:type="dxa" w:w="1928"/>
            <w:shd w:val="clear" w:fill="D9E2F3"/>
          </w:tcPr>
          <w:p>
            <w:r/>
            <w:r>
              <w:rPr>
                <w:color w:val="1A1A1A"/>
                <w:sz w:val="20"/>
              </w:rPr>
              <w:t>Mach 1.60 for 10 min</w:t>
            </w:r>
          </w:p>
        </w:tc>
        <w:tc>
          <w:tcPr>
            <w:tcW w:type="dxa" w:w="1814"/>
            <w:shd w:val="clear" w:fill="D9E2F3"/>
          </w:tcPr>
          <w:p>
            <w:r/>
            <w:r>
              <w:rPr>
                <w:color w:val="1A1A1A"/>
                <w:sz w:val="20"/>
              </w:rPr>
              <w:t>Mach 1.60 for 15 min</w:t>
            </w:r>
          </w:p>
        </w:tc>
        <w:tc>
          <w:tcPr>
            <w:tcW w:type="dxa" w:w="2154"/>
            <w:shd w:val="clear" w:fill="D9E2F3"/>
          </w:tcPr>
          <w:p>
            <w:r/>
            <w:r>
              <w:rPr>
                <w:color w:val="1A1A1A"/>
                <w:sz w:val="20"/>
              </w:rPr>
              <w:t>Closes on fuel budget, Section 7.2</w:t>
            </w:r>
          </w:p>
        </w:tc>
      </w:tr>
      <w:tr>
        <w:tc>
          <w:tcPr>
            <w:tcW w:type="dxa" w:w="3175"/>
          </w:tcPr>
          <w:p>
            <w:r/>
            <w:r>
              <w:rPr>
                <w:color w:val="1A1A1A"/>
                <w:sz w:val="20"/>
              </w:rPr>
              <w:t>Maximum operating Mach (MMO)</w:t>
            </w:r>
          </w:p>
        </w:tc>
        <w:tc>
          <w:tcPr>
            <w:tcW w:type="dxa" w:w="1928"/>
          </w:tcPr>
          <w:p>
            <w:r/>
            <w:r>
              <w:rPr>
                <w:color w:val="1A1A1A"/>
                <w:sz w:val="20"/>
              </w:rPr>
              <w:t>Mach 1.65</w:t>
            </w:r>
          </w:p>
        </w:tc>
        <w:tc>
          <w:tcPr>
            <w:tcW w:type="dxa" w:w="1814"/>
          </w:tcPr>
          <w:p>
            <w:r/>
            <w:r>
              <w:rPr>
                <w:color w:val="1A1A1A"/>
                <w:sz w:val="20"/>
              </w:rPr>
              <w:t>Mach 1.65</w:t>
            </w:r>
          </w:p>
        </w:tc>
        <w:tc>
          <w:tcPr>
            <w:tcW w:type="dxa" w:w="2154"/>
          </w:tcPr>
          <w:p>
            <w:r/>
            <w:r>
              <w:rPr>
                <w:color w:val="1A1A1A"/>
                <w:sz w:val="20"/>
              </w:rPr>
              <w:t>Inlet and thermal limits; PV-01</w:t>
            </w:r>
          </w:p>
        </w:tc>
      </w:tr>
      <w:tr>
        <w:tc>
          <w:tcPr>
            <w:tcW w:type="dxa" w:w="3175"/>
            <w:shd w:val="clear" w:fill="D9E2F3"/>
          </w:tcPr>
          <w:p>
            <w:r/>
            <w:r>
              <w:rPr>
                <w:color w:val="1A1A1A"/>
                <w:sz w:val="20"/>
              </w:rPr>
              <w:t>Never-exceed Mach (MNE)</w:t>
            </w:r>
          </w:p>
        </w:tc>
        <w:tc>
          <w:tcPr>
            <w:tcW w:type="dxa" w:w="1928"/>
            <w:shd w:val="clear" w:fill="D9E2F3"/>
          </w:tcPr>
          <w:p>
            <w:r/>
            <w:r>
              <w:rPr>
                <w:color w:val="1A1A1A"/>
                <w:sz w:val="20"/>
              </w:rPr>
              <w:t>Mach 1.70</w:t>
            </w:r>
          </w:p>
        </w:tc>
        <w:tc>
          <w:tcPr>
            <w:tcW w:type="dxa" w:w="1814"/>
            <w:shd w:val="clear" w:fill="D9E2F3"/>
          </w:tcPr>
          <w:p>
            <w:r/>
            <w:r>
              <w:rPr>
                <w:color w:val="1A1A1A"/>
                <w:sz w:val="20"/>
              </w:rPr>
              <w:t>Mach 1.70</w:t>
            </w:r>
          </w:p>
        </w:tc>
        <w:tc>
          <w:tcPr>
            <w:tcW w:type="dxa" w:w="2154"/>
            <w:shd w:val="clear" w:fill="D9E2F3"/>
          </w:tcPr>
          <w:p>
            <w:r/>
            <w:r>
              <w:rPr>
                <w:color w:val="1A1A1A"/>
                <w:sz w:val="20"/>
              </w:rPr>
              <w:t>Structural limit</w:t>
            </w:r>
          </w:p>
        </w:tc>
      </w:tr>
      <w:tr>
        <w:tc>
          <w:tcPr>
            <w:tcW w:type="dxa" w:w="3175"/>
          </w:tcPr>
          <w:p>
            <w:r/>
            <w:r>
              <w:rPr>
                <w:color w:val="1A1A1A"/>
                <w:sz w:val="20"/>
              </w:rPr>
              <w:t>Economical cruise</w:t>
            </w:r>
          </w:p>
        </w:tc>
        <w:tc>
          <w:tcPr>
            <w:tcW w:type="dxa" w:w="1928"/>
          </w:tcPr>
          <w:p>
            <w:r/>
            <w:r>
              <w:rPr>
                <w:color w:val="1A1A1A"/>
                <w:sz w:val="20"/>
              </w:rPr>
              <w:t>Mach 0.85 at 40,000 ft</w:t>
            </w:r>
          </w:p>
        </w:tc>
        <w:tc>
          <w:tcPr>
            <w:tcW w:type="dxa" w:w="1814"/>
          </w:tcPr>
          <w:p>
            <w:r/>
            <w:r>
              <w:rPr>
                <w:color w:val="1A1A1A"/>
                <w:sz w:val="20"/>
              </w:rPr>
              <w:t>Mach 0.88</w:t>
            </w:r>
          </w:p>
        </w:tc>
        <w:tc>
          <w:tcPr>
            <w:tcW w:type="dxa" w:w="2154"/>
          </w:tcPr>
          <w:p>
            <w:r/>
            <w:r>
              <w:rPr>
                <w:color w:val="1A1A1A"/>
                <w:sz w:val="20"/>
              </w:rPr>
              <w:t>Closes, Breguet analysis</w:t>
            </w:r>
          </w:p>
        </w:tc>
      </w:tr>
      <w:tr>
        <w:tc>
          <w:tcPr>
            <w:tcW w:type="dxa" w:w="3175"/>
            <w:shd w:val="clear" w:fill="D9E2F3"/>
          </w:tcPr>
          <w:p>
            <w:r/>
            <w:r>
              <w:rPr>
                <w:color w:val="1A1A1A"/>
                <w:sz w:val="20"/>
              </w:rPr>
              <w:t>Service ceiling</w:t>
            </w:r>
          </w:p>
        </w:tc>
        <w:tc>
          <w:tcPr>
            <w:tcW w:type="dxa" w:w="1928"/>
            <w:shd w:val="clear" w:fill="D9E2F3"/>
          </w:tcPr>
          <w:p>
            <w:r/>
            <w:r>
              <w:rPr>
                <w:color w:val="1A1A1A"/>
                <w:sz w:val="20"/>
              </w:rPr>
              <w:t>50,000 ft</w:t>
            </w:r>
          </w:p>
        </w:tc>
        <w:tc>
          <w:tcPr>
            <w:tcW w:type="dxa" w:w="1814"/>
            <w:shd w:val="clear" w:fill="D9E2F3"/>
          </w:tcPr>
          <w:p>
            <w:r/>
            <w:r>
              <w:rPr>
                <w:color w:val="1A1A1A"/>
                <w:sz w:val="20"/>
              </w:rPr>
              <w:t>55,000 ft</w:t>
            </w:r>
          </w:p>
        </w:tc>
        <w:tc>
          <w:tcPr>
            <w:tcW w:type="dxa" w:w="2154"/>
            <w:shd w:val="clear" w:fill="D9E2F3"/>
          </w:tcPr>
          <w:p>
            <w:r/>
            <w:r>
              <w:rPr>
                <w:color w:val="1A1A1A"/>
                <w:sz w:val="20"/>
              </w:rPr>
              <w:t>Engine and pressurisation margins</w:t>
            </w:r>
          </w:p>
        </w:tc>
      </w:tr>
      <w:tr>
        <w:tc>
          <w:tcPr>
            <w:tcW w:type="dxa" w:w="3175"/>
          </w:tcPr>
          <w:p>
            <w:r/>
            <w:r>
              <w:rPr>
                <w:color w:val="1A1A1A"/>
                <w:sz w:val="20"/>
              </w:rPr>
              <w:t>Combat radius, hi-hi-hi with 5-min dash</w:t>
            </w:r>
          </w:p>
        </w:tc>
        <w:tc>
          <w:tcPr>
            <w:tcW w:type="dxa" w:w="1928"/>
          </w:tcPr>
          <w:p>
            <w:r/>
            <w:r>
              <w:rPr>
                <w:color w:val="1A1A1A"/>
                <w:sz w:val="20"/>
              </w:rPr>
              <w:t>600 nm</w:t>
            </w:r>
          </w:p>
        </w:tc>
        <w:tc>
          <w:tcPr>
            <w:tcW w:type="dxa" w:w="1814"/>
          </w:tcPr>
          <w:p>
            <w:r/>
            <w:r>
              <w:rPr>
                <w:color w:val="1A1A1A"/>
                <w:sz w:val="20"/>
              </w:rPr>
              <w:t>700 nm</w:t>
            </w:r>
          </w:p>
        </w:tc>
        <w:tc>
          <w:tcPr>
            <w:tcW w:type="dxa" w:w="2154"/>
          </w:tcPr>
          <w:p>
            <w:r/>
            <w:r>
              <w:rPr>
                <w:color w:val="1A1A1A"/>
                <w:sz w:val="20"/>
              </w:rPr>
              <w:t>Closes at 620 to 740 nm, Section 7.2</w:t>
            </w:r>
          </w:p>
        </w:tc>
      </w:tr>
      <w:tr>
        <w:tc>
          <w:tcPr>
            <w:tcW w:type="dxa" w:w="3175"/>
            <w:shd w:val="clear" w:fill="D9E2F3"/>
          </w:tcPr>
          <w:p>
            <w:r/>
            <w:r>
              <w:rPr>
                <w:color w:val="1A1A1A"/>
                <w:sz w:val="20"/>
              </w:rPr>
              <w:t>Ferry range (external tanks, non-signature profile)</w:t>
            </w:r>
          </w:p>
        </w:tc>
        <w:tc>
          <w:tcPr>
            <w:tcW w:type="dxa" w:w="1928"/>
            <w:shd w:val="clear" w:fill="D9E2F3"/>
          </w:tcPr>
          <w:p>
            <w:r/>
            <w:r>
              <w:rPr>
                <w:color w:val="1A1A1A"/>
                <w:sz w:val="20"/>
              </w:rPr>
              <w:t>2,600 km</w:t>
            </w:r>
          </w:p>
        </w:tc>
        <w:tc>
          <w:tcPr>
            <w:tcW w:type="dxa" w:w="1814"/>
            <w:shd w:val="clear" w:fill="D9E2F3"/>
          </w:tcPr>
          <w:p>
            <w:r/>
            <w:r>
              <w:rPr>
                <w:color w:val="1A1A1A"/>
                <w:sz w:val="20"/>
              </w:rPr>
              <w:t>2,900 km</w:t>
            </w:r>
          </w:p>
        </w:tc>
        <w:tc>
          <w:tcPr>
            <w:tcW w:type="dxa" w:w="2154"/>
            <w:shd w:val="clear" w:fill="D9E2F3"/>
          </w:tcPr>
          <w:p>
            <w:r/>
            <w:r>
              <w:rPr>
                <w:color w:val="1A1A1A"/>
                <w:sz w:val="20"/>
              </w:rPr>
              <w:t>Closes on fuel volume</w:t>
            </w:r>
          </w:p>
        </w:tc>
      </w:tr>
      <w:tr>
        <w:tc>
          <w:tcPr>
            <w:tcW w:type="dxa" w:w="3175"/>
          </w:tcPr>
          <w:p>
            <w:r/>
            <w:r>
              <w:rPr>
                <w:color w:val="1A1A1A"/>
                <w:sz w:val="20"/>
              </w:rPr>
              <w:t>Sustained load factor at combat weight</w:t>
            </w:r>
          </w:p>
        </w:tc>
        <w:tc>
          <w:tcPr>
            <w:tcW w:type="dxa" w:w="1928"/>
          </w:tcPr>
          <w:p>
            <w:r/>
            <w:r>
              <w:rPr>
                <w:color w:val="1A1A1A"/>
                <w:sz w:val="20"/>
              </w:rPr>
              <w:t>7.5 g</w:t>
            </w:r>
          </w:p>
        </w:tc>
        <w:tc>
          <w:tcPr>
            <w:tcW w:type="dxa" w:w="1814"/>
          </w:tcPr>
          <w:p>
            <w:r/>
            <w:r>
              <w:rPr>
                <w:color w:val="1A1A1A"/>
                <w:sz w:val="20"/>
              </w:rPr>
              <w:t>9.0 g</w:t>
            </w:r>
          </w:p>
        </w:tc>
        <w:tc>
          <w:tcPr>
            <w:tcW w:type="dxa" w:w="2154"/>
          </w:tcPr>
          <w:p>
            <w:r/>
            <w:r>
              <w:rPr>
                <w:color w:val="1A1A1A"/>
                <w:sz w:val="20"/>
              </w:rPr>
              <w:t>T/W closure; PV-07 turn test</w:t>
            </w:r>
          </w:p>
        </w:tc>
      </w:tr>
      <w:tr>
        <w:tc>
          <w:tcPr>
            <w:tcW w:type="dxa" w:w="3175"/>
            <w:shd w:val="clear" w:fill="D9E2F3"/>
          </w:tcPr>
          <w:p>
            <w:r/>
            <w:r>
              <w:rPr>
                <w:color w:val="1A1A1A"/>
                <w:sz w:val="20"/>
              </w:rPr>
              <w:t>Instantaneous load factor</w:t>
            </w:r>
          </w:p>
        </w:tc>
        <w:tc>
          <w:tcPr>
            <w:tcW w:type="dxa" w:w="1928"/>
            <w:shd w:val="clear" w:fill="D9E2F3"/>
          </w:tcPr>
          <w:p>
            <w:r/>
            <w:r>
              <w:rPr>
                <w:color w:val="1A1A1A"/>
                <w:sz w:val="20"/>
              </w:rPr>
              <w:t>9.0 g</w:t>
            </w:r>
          </w:p>
        </w:tc>
        <w:tc>
          <w:tcPr>
            <w:tcW w:type="dxa" w:w="1814"/>
            <w:shd w:val="clear" w:fill="D9E2F3"/>
          </w:tcPr>
          <w:p>
            <w:r/>
            <w:r>
              <w:rPr>
                <w:color w:val="1A1A1A"/>
                <w:sz w:val="20"/>
              </w:rPr>
              <w:t>10.5 g</w:t>
            </w:r>
          </w:p>
        </w:tc>
        <w:tc>
          <w:tcPr>
            <w:tcW w:type="dxa" w:w="2154"/>
            <w:shd w:val="clear" w:fill="D9E2F3"/>
          </w:tcPr>
          <w:p>
            <w:r/>
            <w:r>
              <w:rPr>
                <w:color w:val="1A1A1A"/>
                <w:sz w:val="20"/>
              </w:rPr>
              <w:t>Structural sizing closes; PV-07</w:t>
            </w:r>
          </w:p>
        </w:tc>
      </w:tr>
      <w:tr>
        <w:tc>
          <w:tcPr>
            <w:tcW w:type="dxa" w:w="3175"/>
          </w:tcPr>
          <w:p>
            <w:r/>
            <w:r>
              <w:rPr>
                <w:color w:val="1A1A1A"/>
                <w:sz w:val="20"/>
              </w:rPr>
              <w:t>Approach speed, landing weight</w:t>
            </w:r>
          </w:p>
        </w:tc>
        <w:tc>
          <w:tcPr>
            <w:tcW w:type="dxa" w:w="1928"/>
          </w:tcPr>
          <w:p>
            <w:r/>
            <w:r>
              <w:rPr>
                <w:color w:val="1A1A1A"/>
                <w:sz w:val="20"/>
              </w:rPr>
              <w:t>95 kt class</w:t>
            </w:r>
          </w:p>
        </w:tc>
        <w:tc>
          <w:tcPr>
            <w:tcW w:type="dxa" w:w="1814"/>
          </w:tcPr>
          <w:p>
            <w:r/>
            <w:r>
              <w:rPr>
                <w:color w:val="1A1A1A"/>
                <w:sz w:val="20"/>
              </w:rPr>
              <w:t>90 kt</w:t>
            </w:r>
          </w:p>
        </w:tc>
        <w:tc>
          <w:tcPr>
            <w:tcW w:type="dxa" w:w="2154"/>
          </w:tcPr>
          <w:p>
            <w:r/>
            <w:r>
              <w:rPr>
                <w:color w:val="1A1A1A"/>
                <w:sz w:val="20"/>
              </w:rPr>
              <w:t>Closes: stall 68 kt at landing weight</w:t>
            </w:r>
          </w:p>
        </w:tc>
      </w:tr>
      <w:tr>
        <w:tc>
          <w:tcPr>
            <w:tcW w:type="dxa" w:w="3175"/>
            <w:shd w:val="clear" w:fill="D9E2F3"/>
          </w:tcPr>
          <w:p>
            <w:r/>
            <w:r>
              <w:rPr>
                <w:color w:val="1A1A1A"/>
                <w:sz w:val="20"/>
              </w:rPr>
              <w:t>Take-off run, dry strip, MTOW</w:t>
            </w:r>
          </w:p>
        </w:tc>
        <w:tc>
          <w:tcPr>
            <w:tcW w:type="dxa" w:w="1928"/>
            <w:shd w:val="clear" w:fill="D9E2F3"/>
          </w:tcPr>
          <w:p>
            <w:r/>
            <w:r>
              <w:rPr>
                <w:color w:val="1A1A1A"/>
                <w:sz w:val="20"/>
              </w:rPr>
              <w:t>800 m</w:t>
            </w:r>
          </w:p>
        </w:tc>
        <w:tc>
          <w:tcPr>
            <w:tcW w:type="dxa" w:w="1814"/>
            <w:shd w:val="clear" w:fill="D9E2F3"/>
          </w:tcPr>
          <w:p>
            <w:r/>
            <w:r>
              <w:rPr>
                <w:color w:val="1A1A1A"/>
                <w:sz w:val="20"/>
              </w:rPr>
              <w:t>650 m</w:t>
            </w:r>
          </w:p>
        </w:tc>
        <w:tc>
          <w:tcPr>
            <w:tcW w:type="dxa" w:w="2154"/>
            <w:shd w:val="clear" w:fill="D9E2F3"/>
          </w:tcPr>
          <w:p>
            <w:r/>
            <w:r>
              <w:rPr>
                <w:color w:val="1A1A1A"/>
                <w:sz w:val="20"/>
              </w:rPr>
              <w:t>T/W 1.05 at MTOW closes; PV-09 contamination</w:t>
            </w:r>
          </w:p>
        </w:tc>
      </w:tr>
    </w:tbl>
    <w:p>
      <w:pPr>
        <w:jc w:val="center"/>
      </w:pPr>
      <w:r>
        <w:rPr>
          <w:i/>
          <w:sz w:val="19"/>
        </w:rPr>
        <w:t>Table 7-1. Performance summary. Threshold defines contract floor; objective defines design point.</w:t>
      </w:r>
    </w:p>
    <w:p>
      <w:pPr>
        <w:pStyle w:val="Heading2"/>
      </w:pPr>
      <w:r>
        <w:t>7.1 Point-Performance Closure</w:t>
      </w:r>
    </w:p>
    <w:p>
      <w:r>
        <w:rPr>
          <w:b w:val="0"/>
          <w:i w:val="0"/>
        </w:rPr>
        <w:t>The sizing closes on first principles. At MTOW the afterburning thrust-to-weight ratio stands at 1.05 and wing loading at 208 kilograms per square metre. At combat weight the afterburning ratio rises to 1.27, the dry ratio holds 0.84, and wing loading falls to 173 kilograms per square metre. Dry-thrust drag closure at 45,000 feet supports supercruise at Mach 1.25 with margin, and the closure holds to Mach 1.40 against the objective drag polar; because the transonic polar rests on computational aerodynamics rather than tunnel data, the supercruise claim above Mach 1.25 sits on the pending-validation register as PV-01. Landing closure gives a stall speed of 68 knots at landing weight against a 1.6 maximum lift coefficient, supporting a 95-knot-class approach onto short strips.</w:t>
      </w:r>
    </w:p>
    <w:p>
      <w:pPr>
        <w:pStyle w:val="Heading2"/>
      </w:pPr>
      <w:r>
        <w:t>7.2 Mission Fuel Closure</w:t>
      </w:r>
    </w:p>
    <w:p>
      <w:r>
        <w:rPr>
          <w:b w:val="0"/>
          <w:i w:val="0"/>
        </w:rPr>
        <w:t>The reference escort-strike mission closes inside the 3,000-kilogram internal fuel load. The profile: taxi, take-off, and climb on 350 kilograms; egress cruise of 600 nautical miles at Mach 0.85; a five-minute Mach 1.60 dash burning approximately 230 kilograms; ten minutes of combat manoeuvre at combat weight; return cruise of 600 nautical miles; and a 500-kilogram reserve covering diversion, go-around, and cold-soak fuel-gelling margin. Breguet closure on a cruise lift-to-drag ratio of 9.0 and a cruise specific fuel consumption of 0.80 pounds per pound-force-hour yields a total still-air range of 3,400 kilometres on 2,500 kilograms of usable fuel, which bounds the 2,224-kilometre round trip with the dash and combat segments absorbed in the margin. The combat radius therefore closes between 620 and 740 nautical miles against a 600-nautical-mile threshold.</w:t>
      </w:r>
    </w:p>
    <w:p>
      <w:pPr>
        <w:pStyle w:val="Heading2"/>
      </w:pPr>
      <w:r>
        <w:t>7.3 Manoeuvre Closure</w:t>
      </w:r>
    </w:p>
    <w:p>
      <w:r>
        <w:rPr>
          <w:b w:val="0"/>
          <w:i w:val="0"/>
        </w:rPr>
        <w:t>The structural design point is +9.0 and -3.5 g at combat weight. Dry-thrust specific excess power at combat weight sustains 7.5 g in the Mach 0.9 turn at 15,000 feet on the current polar, and afterburner restores the margin for the 9.0 g objective; the sustained-9 g claim with cold-soaked hydraulic fluid and a cycled bay-door event sits on the register as PV-07. The unmanned cockpit frees the design from pilot physiological limits, so the instantaneous envelope extends to 10.5 g as an objective with airframe life accounting applied per sortie.</w:t>
      </w:r>
    </w:p>
    <w:p>
      <w:pPr>
        <w:pStyle w:val="Heading1"/>
      </w:pPr>
      <w:r>
        <w:t>8. Signature Management</w:t>
      </w:r>
    </w:p>
    <w:p>
      <w:r>
        <w:rPr>
          <w:b w:val="0"/>
          <w:i w:val="0"/>
        </w:rPr>
        <w:t>The Aurup manages signature across radar, infrared, visual, and emissions channels, with the frontal sector prioritised for the escort geometry it actually flies. Consistent with programme practice, this specification states allocations rather than certified values: no radar-cross-section claim enters service before measurement.</w:t>
      </w:r>
    </w:p>
    <w:p>
      <w:pPr>
        <w:pStyle w:val="ListBullet"/>
      </w:pPr>
      <w:r>
        <w:t>Radar. Planform alignment to two sweep families, a serpentine dorsal inlet, internal carriage as the default, serrated bay and door edges, and radar-absorbent material on leading edges, inlet lips, and cavity treatments. The frontal-sector median allocation is minus 20 dBsm class in X-band across the plus-or-minus-60-degree sector, with a minus 28 dBsm objective inside plus-or-minus 15 degrees; PV-02 covers full-scale measurement.</w:t>
      </w:r>
    </w:p>
    <w:p>
      <w:pPr>
        <w:pStyle w:val="ListBullet"/>
      </w:pPr>
      <w:r>
        <w:t>Infrared. The buried, cooled, bypass-mixed exhaust suppresses plume and turbine-face signature; the aft deck carries low-emissivity treatment; supercruise on dry thrust avoids the afterburner plume across most of the escort profile.</w:t>
      </w:r>
    </w:p>
    <w:p>
      <w:pPr>
        <w:pStyle w:val="ListBullet"/>
      </w:pPr>
      <w:r>
        <w:t>Emissions. The aircraft fights emissions-controlled: passive electronic support and infrared search and track build the picture, the radar runs brief low-probability-of-intercept bursts only at engagement points, and datalink transmissions ride directional, frequency-agile mesh waveforms.</w:t>
      </w:r>
    </w:p>
    <w:p>
      <w:pPr>
        <w:pStyle w:val="ListBullet"/>
      </w:pPr>
      <w:r>
        <w:t>Visual and acoustic. A low-contrast Arctic-grey disruptive scheme reduces visual acquisition against overcast and ice backgrounds; the mixed-exhaust nozzle cuts the perceived acoustic signature on approach to dispersed strips.</w:t>
      </w:r>
    </w:p>
    <w:p>
      <w:r>
        <w:rPr>
          <w:b w:val="0"/>
          <w:i w:val="0"/>
        </w:rPr>
        <w:t>External carriage, drop tanks, and ferry fits degrade the signature allocation and fly only in non-signature-critical profiles; the configuration control board tags every external fit with its signature state.</w:t>
      </w:r>
    </w:p>
    <w:p>
      <w:r>
        <w:br w:type="page"/>
      </w:r>
    </w:p>
    <w:p>
      <w:pPr>
        <w:pStyle w:val="Heading1"/>
      </w:pPr>
      <w:r>
        <w:t>9. Armament</w:t>
      </w:r>
    </w:p>
    <w:p>
      <w:pPr>
        <w:pStyle w:val="Heading2"/>
      </w:pPr>
      <w:r>
        <w:t>9.1 Carriage Concept</w:t>
      </w:r>
    </w:p>
    <w:p>
      <w:r>
        <w:rPr>
          <w:b w:val="0"/>
          <w:i w:val="0"/>
        </w:rPr>
        <w:t>Two internal bays, each 3.8 metres long, 0.65 metres wide, 0.55 metres deep, and rated at 450 kilograms, carry the standard magazine; each bay door cycles open and closed in under four seconds to bound the signature exposure of a release. Two wet wing stations carry drop tanks or training stores on non-signature-critical profiles. Aft of the bays, a dedicated dispenser ejects expendable decoys and jammers, following the practice the GJ-11 demonstrates with air-launched decoy and electronic-warfare stores. The complete weapons set comes from European and allied production lines; no United States weapon enters the baseline fits.</w:t>
      </w:r>
    </w:p>
    <w:p>
      <w:pPr>
        <w:pStyle w:val="Heading2"/>
      </w:pPr>
      <w:r>
        <w:t>9.2 Reference Loadouts</w:t>
      </w:r>
    </w:p>
    <w:tbl>
      <w:tblPr>
        <w:tblStyle w:val="TableGrid"/>
        <w:tblW w:type="auto" w:w="0"/>
        <w:jc w:val="center"/>
        <w:tblLook w:firstColumn="1" w:firstRow="1" w:lastColumn="0" w:lastRow="0" w:noHBand="0" w:noVBand="1" w:val="04A0"/>
      </w:tblPr>
      <w:tblGrid>
        <w:gridCol w:w="2296"/>
        <w:gridCol w:w="2296"/>
        <w:gridCol w:w="2296"/>
        <w:gridCol w:w="2296"/>
      </w:tblGrid>
      <w:tr>
        <w:tc>
          <w:tcPr>
            <w:tcW w:type="dxa" w:w="1928"/>
            <w:shd w:val="clear" w:fill="1F3864"/>
          </w:tcPr>
          <w:p>
            <w:r/>
            <w:r>
              <w:rPr>
                <w:b/>
                <w:color w:val="FFFFFF"/>
                <w:sz w:val="20"/>
              </w:rPr>
              <w:t>Fit</w:t>
            </w:r>
          </w:p>
        </w:tc>
        <w:tc>
          <w:tcPr>
            <w:tcW w:type="dxa" w:w="3175"/>
            <w:shd w:val="clear" w:fill="1F3864"/>
          </w:tcPr>
          <w:p>
            <w:r/>
            <w:r>
              <w:rPr>
                <w:b/>
                <w:color w:val="FFFFFF"/>
                <w:sz w:val="20"/>
              </w:rPr>
              <w:t>Internal loadout</w:t>
            </w:r>
          </w:p>
        </w:tc>
        <w:tc>
          <w:tcPr>
            <w:tcW w:type="dxa" w:w="1474"/>
            <w:shd w:val="clear" w:fill="1F3864"/>
          </w:tcPr>
          <w:p>
            <w:r/>
            <w:r>
              <w:rPr>
                <w:b/>
                <w:color w:val="FFFFFF"/>
                <w:sz w:val="20"/>
              </w:rPr>
              <w:t>Mass</w:t>
            </w:r>
          </w:p>
        </w:tc>
        <w:tc>
          <w:tcPr>
            <w:tcW w:type="dxa" w:w="2494"/>
            <w:shd w:val="clear" w:fill="1F3864"/>
          </w:tcPr>
          <w:p>
            <w:r/>
            <w:r>
              <w:rPr>
                <w:b/>
                <w:color w:val="FFFFFF"/>
                <w:sz w:val="20"/>
              </w:rPr>
              <w:t>Mission</w:t>
            </w:r>
          </w:p>
        </w:tc>
      </w:tr>
      <w:tr>
        <w:tc>
          <w:tcPr>
            <w:tcW w:type="dxa" w:w="1928"/>
          </w:tcPr>
          <w:p>
            <w:r/>
            <w:r>
              <w:rPr>
                <w:color w:val="1A1A1A"/>
                <w:sz w:val="20"/>
              </w:rPr>
              <w:t>A: Air superiority</w:t>
            </w:r>
          </w:p>
        </w:tc>
        <w:tc>
          <w:tcPr>
            <w:tcW w:type="dxa" w:w="3175"/>
          </w:tcPr>
          <w:p>
            <w:r/>
            <w:r>
              <w:rPr>
                <w:color w:val="1A1A1A"/>
                <w:sz w:val="20"/>
              </w:rPr>
              <w:t>2 x MBDA Meteor + 2 x MBDA SPEAR 3</w:t>
            </w:r>
          </w:p>
        </w:tc>
        <w:tc>
          <w:tcPr>
            <w:tcW w:type="dxa" w:w="1474"/>
          </w:tcPr>
          <w:p>
            <w:r/>
            <w:r>
              <w:rPr>
                <w:color w:val="1A1A1A"/>
                <w:sz w:val="20"/>
              </w:rPr>
              <w:t>580 kg</w:t>
            </w:r>
          </w:p>
        </w:tc>
        <w:tc>
          <w:tcPr>
            <w:tcW w:type="dxa" w:w="2494"/>
          </w:tcPr>
          <w:p>
            <w:r/>
            <w:r>
              <w:rPr>
                <w:color w:val="1A1A1A"/>
                <w:sz w:val="20"/>
              </w:rPr>
              <w:t>Escort, sweep, counter-air</w:t>
            </w:r>
          </w:p>
        </w:tc>
      </w:tr>
      <w:tr>
        <w:tc>
          <w:tcPr>
            <w:tcW w:type="dxa" w:w="1928"/>
            <w:shd w:val="clear" w:fill="D9E2F3"/>
          </w:tcPr>
          <w:p>
            <w:r/>
            <w:r>
              <w:rPr>
                <w:color w:val="1A1A1A"/>
                <w:sz w:val="20"/>
              </w:rPr>
              <w:t>B: Suppression</w:t>
            </w:r>
          </w:p>
        </w:tc>
        <w:tc>
          <w:tcPr>
            <w:tcW w:type="dxa" w:w="3175"/>
            <w:shd w:val="clear" w:fill="D9E2F3"/>
          </w:tcPr>
          <w:p>
            <w:r/>
            <w:r>
              <w:rPr>
                <w:color w:val="1A1A1A"/>
                <w:sz w:val="20"/>
              </w:rPr>
              <w:t>8 x MBDA SPEAR 3</w:t>
            </w:r>
          </w:p>
        </w:tc>
        <w:tc>
          <w:tcPr>
            <w:tcW w:type="dxa" w:w="1474"/>
            <w:shd w:val="clear" w:fill="D9E2F3"/>
          </w:tcPr>
          <w:p>
            <w:r/>
            <w:r>
              <w:rPr>
                <w:color w:val="1A1A1A"/>
                <w:sz w:val="20"/>
              </w:rPr>
              <w:t>800 kg</w:t>
            </w:r>
          </w:p>
        </w:tc>
        <w:tc>
          <w:tcPr>
            <w:tcW w:type="dxa" w:w="2494"/>
            <w:shd w:val="clear" w:fill="D9E2F3"/>
          </w:tcPr>
          <w:p>
            <w:r/>
            <w:r>
              <w:rPr>
                <w:color w:val="1A1A1A"/>
                <w:sz w:val="20"/>
              </w:rPr>
              <w:t>SEAD and DEAD against radars and launchers</w:t>
            </w:r>
          </w:p>
        </w:tc>
      </w:tr>
      <w:tr>
        <w:tc>
          <w:tcPr>
            <w:tcW w:type="dxa" w:w="1928"/>
          </w:tcPr>
          <w:p>
            <w:r/>
            <w:r>
              <w:rPr>
                <w:color w:val="1A1A1A"/>
                <w:sz w:val="20"/>
              </w:rPr>
              <w:t>C: Precision strike</w:t>
            </w:r>
          </w:p>
        </w:tc>
        <w:tc>
          <w:tcPr>
            <w:tcW w:type="dxa" w:w="3175"/>
          </w:tcPr>
          <w:p>
            <w:r/>
            <w:r>
              <w:rPr>
                <w:color w:val="1A1A1A"/>
                <w:sz w:val="20"/>
              </w:rPr>
              <w:t>2 x Safran AASM 250 + 2 x Diehl IRIS-T</w:t>
            </w:r>
          </w:p>
        </w:tc>
        <w:tc>
          <w:tcPr>
            <w:tcW w:type="dxa" w:w="1474"/>
          </w:tcPr>
          <w:p>
            <w:r/>
            <w:r>
              <w:rPr>
                <w:color w:val="1A1A1A"/>
                <w:sz w:val="20"/>
              </w:rPr>
              <w:t>684 kg</w:t>
            </w:r>
          </w:p>
        </w:tc>
        <w:tc>
          <w:tcPr>
            <w:tcW w:type="dxa" w:w="2494"/>
          </w:tcPr>
          <w:p>
            <w:r/>
            <w:r>
              <w:rPr>
                <w:color w:val="1A1A1A"/>
                <w:sz w:val="20"/>
              </w:rPr>
              <w:t>Direct attack with self-escort</w:t>
            </w:r>
          </w:p>
        </w:tc>
      </w:tr>
      <w:tr>
        <w:tc>
          <w:tcPr>
            <w:tcW w:type="dxa" w:w="1928"/>
            <w:shd w:val="clear" w:fill="D9E2F3"/>
          </w:tcPr>
          <w:p>
            <w:r/>
            <w:r>
              <w:rPr>
                <w:color w:val="1A1A1A"/>
                <w:sz w:val="20"/>
              </w:rPr>
              <w:t>D: Maximum air-to-air</w:t>
            </w:r>
          </w:p>
        </w:tc>
        <w:tc>
          <w:tcPr>
            <w:tcW w:type="dxa" w:w="3175"/>
            <w:shd w:val="clear" w:fill="D9E2F3"/>
          </w:tcPr>
          <w:p>
            <w:r/>
            <w:r>
              <w:rPr>
                <w:color w:val="1A1A1A"/>
                <w:sz w:val="20"/>
              </w:rPr>
              <w:t>2 x MBDA Meteor + 2 x Diehl IRIS-T</w:t>
            </w:r>
          </w:p>
        </w:tc>
        <w:tc>
          <w:tcPr>
            <w:tcW w:type="dxa" w:w="1474"/>
            <w:shd w:val="clear" w:fill="D9E2F3"/>
          </w:tcPr>
          <w:p>
            <w:r/>
            <w:r>
              <w:rPr>
                <w:color w:val="1A1A1A"/>
                <w:sz w:val="20"/>
              </w:rPr>
              <w:t>558 kg</w:t>
            </w:r>
          </w:p>
        </w:tc>
        <w:tc>
          <w:tcPr>
            <w:tcW w:type="dxa" w:w="2494"/>
            <w:shd w:val="clear" w:fill="D9E2F3"/>
          </w:tcPr>
          <w:p>
            <w:r/>
            <w:r>
              <w:rPr>
                <w:color w:val="1A1A1A"/>
                <w:sz w:val="20"/>
              </w:rPr>
              <w:t>Fleet defence, counter-fighter</w:t>
            </w:r>
          </w:p>
        </w:tc>
      </w:tr>
      <w:tr>
        <w:tc>
          <w:tcPr>
            <w:tcW w:type="dxa" w:w="1928"/>
          </w:tcPr>
          <w:p>
            <w:r/>
            <w:r>
              <w:rPr>
                <w:color w:val="1A1A1A"/>
                <w:sz w:val="20"/>
              </w:rPr>
              <w:t>E: Anti-ship (external)</w:t>
            </w:r>
          </w:p>
        </w:tc>
        <w:tc>
          <w:tcPr>
            <w:tcW w:type="dxa" w:w="3175"/>
          </w:tcPr>
          <w:p>
            <w:r/>
            <w:r>
              <w:rPr>
                <w:color w:val="1A1A1A"/>
                <w:sz w:val="20"/>
              </w:rPr>
              <w:t>Internal fit A + 2 x Saab RBS15 on wing stations</w:t>
            </w:r>
          </w:p>
        </w:tc>
        <w:tc>
          <w:tcPr>
            <w:tcW w:type="dxa" w:w="1474"/>
          </w:tcPr>
          <w:p>
            <w:r/>
            <w:r>
              <w:rPr>
                <w:color w:val="1A1A1A"/>
                <w:sz w:val="20"/>
              </w:rPr>
              <w:t>580 kg + 2 x 810 kg external</w:t>
            </w:r>
          </w:p>
        </w:tc>
        <w:tc>
          <w:tcPr>
            <w:tcW w:type="dxa" w:w="2494"/>
          </w:tcPr>
          <w:p>
            <w:r/>
            <w:r>
              <w:rPr>
                <w:color w:val="1A1A1A"/>
                <w:sz w:val="20"/>
              </w:rPr>
              <w:t>Maritime strike, non-stealth profile</w:t>
            </w:r>
          </w:p>
        </w:tc>
      </w:tr>
      <w:tr>
        <w:tc>
          <w:tcPr>
            <w:tcW w:type="dxa" w:w="1928"/>
            <w:shd w:val="clear" w:fill="D9E2F3"/>
          </w:tcPr>
          <w:p>
            <w:r/>
            <w:r>
              <w:rPr>
                <w:color w:val="1A1A1A"/>
                <w:sz w:val="20"/>
              </w:rPr>
              <w:t>F: Decoy and EW</w:t>
            </w:r>
          </w:p>
        </w:tc>
        <w:tc>
          <w:tcPr>
            <w:tcW w:type="dxa" w:w="3175"/>
            <w:shd w:val="clear" w:fill="D9E2F3"/>
          </w:tcPr>
          <w:p>
            <w:r/>
            <w:r>
              <w:rPr>
                <w:color w:val="1A1A1A"/>
                <w:sz w:val="20"/>
              </w:rPr>
              <w:t>2 x Meteor + BriteCloud-class expendables in dispenser</w:t>
            </w:r>
          </w:p>
        </w:tc>
        <w:tc>
          <w:tcPr>
            <w:tcW w:type="dxa" w:w="1474"/>
            <w:shd w:val="clear" w:fill="D9E2F3"/>
          </w:tcPr>
          <w:p>
            <w:r/>
            <w:r>
              <w:rPr>
                <w:color w:val="1A1A1A"/>
                <w:sz w:val="20"/>
              </w:rPr>
              <w:t>480 kg</w:t>
            </w:r>
          </w:p>
        </w:tc>
        <w:tc>
          <w:tcPr>
            <w:tcW w:type="dxa" w:w="2494"/>
            <w:shd w:val="clear" w:fill="D9E2F3"/>
          </w:tcPr>
          <w:p>
            <w:r/>
            <w:r>
              <w:rPr>
                <w:color w:val="1A1A1A"/>
                <w:sz w:val="20"/>
              </w:rPr>
              <w:t>Formation protection, seduction and distraction</w:t>
            </w:r>
          </w:p>
        </w:tc>
      </w:tr>
    </w:tbl>
    <w:p>
      <w:pPr>
        <w:jc w:val="center"/>
      </w:pPr>
      <w:r>
        <w:rPr>
          <w:i/>
          <w:sz w:val="19"/>
        </w:rPr>
        <w:t>Table 9-1. Reference loadouts. All weapons from European allied lines; bay fit verified against published weapon dimensions.</w:t>
      </w:r>
    </w:p>
    <w:p>
      <w:pPr>
        <w:pStyle w:val="Heading2"/>
      </w:pPr>
      <w:r>
        <w:t>9.3 Closure and Limits</w:t>
      </w:r>
    </w:p>
    <w:p>
      <w:r>
        <w:rPr>
          <w:b w:val="0"/>
          <w:i w:val="0"/>
        </w:rPr>
        <w:t>Bay geometry closes against the longest baseline weapon: the Meteor at 3.65 metres fits the 3.8-metre bay with 150 millimetres of end clearance, and ejection-launch rails drop the weapon clear of the cavity before motor ignition. Bay separation at Mach 1.2 in ground-effect-free conditions sits on the register as PV-03, following the discipline that internal-carriage programmes apply to every new store. The 850-kilogram reference magazine closes inside the mass budget of Section 5 with 50 kilograms of margin against the heaviest internal fit. Gun armament is excluded by design trade: the volume, mass, and recoil loads of an internal gun buy nothing the missile and decoy set does not deliver, and the trade returns 180 kilograms to fuel and sensors.</w:t>
      </w:r>
    </w:p>
    <w:p>
      <w:pPr>
        <w:pStyle w:val="Heading1"/>
      </w:pPr>
      <w:r>
        <w:t>10. Sensors, Avionics, and Datalinks</w:t>
      </w:r>
    </w:p>
    <w:p>
      <w:pPr>
        <w:pStyle w:val="Heading2"/>
      </w:pPr>
      <w:r>
        <w:t>10.1 Sensor Suite</w:t>
      </w:r>
    </w:p>
    <w:tbl>
      <w:tblPr>
        <w:tblStyle w:val="TableGrid"/>
        <w:tblW w:type="auto" w:w="0"/>
        <w:jc w:val="center"/>
        <w:tblLook w:firstColumn="1" w:firstRow="1" w:lastColumn="0" w:lastRow="0" w:noHBand="0" w:noVBand="1" w:val="04A0"/>
      </w:tblPr>
      <w:tblGrid>
        <w:gridCol w:w="2296"/>
        <w:gridCol w:w="2296"/>
        <w:gridCol w:w="2296"/>
        <w:gridCol w:w="2296"/>
      </w:tblGrid>
      <w:tr>
        <w:tc>
          <w:tcPr>
            <w:tcW w:type="dxa" w:w="1928"/>
            <w:shd w:val="clear" w:fill="1F3864"/>
          </w:tcPr>
          <w:p>
            <w:r/>
            <w:r>
              <w:rPr>
                <w:b/>
                <w:color w:val="FFFFFF"/>
                <w:sz w:val="20"/>
              </w:rPr>
              <w:t>System</w:t>
            </w:r>
          </w:p>
        </w:tc>
        <w:tc>
          <w:tcPr>
            <w:tcW w:type="dxa" w:w="3288"/>
            <w:shd w:val="clear" w:fill="1F3864"/>
          </w:tcPr>
          <w:p>
            <w:r/>
            <w:r>
              <w:rPr>
                <w:b/>
                <w:color w:val="FFFFFF"/>
                <w:sz w:val="20"/>
              </w:rPr>
              <w:t>Baseline selection</w:t>
            </w:r>
          </w:p>
        </w:tc>
        <w:tc>
          <w:tcPr>
            <w:tcW w:type="dxa" w:w="1474"/>
            <w:shd w:val="clear" w:fill="1F3864"/>
          </w:tcPr>
          <w:p>
            <w:r/>
            <w:r>
              <w:rPr>
                <w:b/>
                <w:color w:val="FFFFFF"/>
                <w:sz w:val="20"/>
              </w:rPr>
              <w:t>Origin</w:t>
            </w:r>
          </w:p>
        </w:tc>
        <w:tc>
          <w:tcPr>
            <w:tcW w:type="dxa" w:w="2608"/>
            <w:shd w:val="clear" w:fill="1F3864"/>
          </w:tcPr>
          <w:p>
            <w:r/>
            <w:r>
              <w:rPr>
                <w:b/>
                <w:color w:val="FFFFFF"/>
                <w:sz w:val="20"/>
              </w:rPr>
              <w:t>Function</w:t>
            </w:r>
          </w:p>
        </w:tc>
      </w:tr>
      <w:tr>
        <w:tc>
          <w:tcPr>
            <w:tcW w:type="dxa" w:w="1928"/>
          </w:tcPr>
          <w:p>
            <w:r/>
            <w:r>
              <w:rPr>
                <w:color w:val="1A1A1A"/>
                <w:sz w:val="20"/>
              </w:rPr>
              <w:t>Primary radar</w:t>
            </w:r>
          </w:p>
        </w:tc>
        <w:tc>
          <w:tcPr>
            <w:tcW w:type="dxa" w:w="3288"/>
          </w:tcPr>
          <w:p>
            <w:r/>
            <w:r>
              <w:rPr>
                <w:color w:val="1A1A1A"/>
                <w:sz w:val="20"/>
              </w:rPr>
              <w:t>Saab gallium-nitride AESA, Raven ES-05 lineage, swashplate mount</w:t>
            </w:r>
          </w:p>
        </w:tc>
        <w:tc>
          <w:tcPr>
            <w:tcW w:type="dxa" w:w="1474"/>
          </w:tcPr>
          <w:p>
            <w:r/>
            <w:r>
              <w:rPr>
                <w:color w:val="1A1A1A"/>
                <w:sz w:val="20"/>
              </w:rPr>
              <w:t>Sweden</w:t>
            </w:r>
          </w:p>
        </w:tc>
        <w:tc>
          <w:tcPr>
            <w:tcW w:type="dxa" w:w="2608"/>
          </w:tcPr>
          <w:p>
            <w:r/>
            <w:r>
              <w:rPr>
                <w:color w:val="1A1A1A"/>
                <w:sz w:val="20"/>
              </w:rPr>
              <w:t>Air-to-air and air-to-surface search, track, LPI engagement bursts</w:t>
            </w:r>
          </w:p>
        </w:tc>
      </w:tr>
      <w:tr>
        <w:tc>
          <w:tcPr>
            <w:tcW w:type="dxa" w:w="1928"/>
            <w:shd w:val="clear" w:fill="D9E2F3"/>
          </w:tcPr>
          <w:p>
            <w:r/>
            <w:r>
              <w:rPr>
                <w:color w:val="1A1A1A"/>
                <w:sz w:val="20"/>
              </w:rPr>
              <w:t>Infrared search and track</w:t>
            </w:r>
          </w:p>
        </w:tc>
        <w:tc>
          <w:tcPr>
            <w:tcW w:type="dxa" w:w="3288"/>
            <w:shd w:val="clear" w:fill="D9E2F3"/>
          </w:tcPr>
          <w:p>
            <w:r/>
            <w:r>
              <w:rPr>
                <w:color w:val="1A1A1A"/>
                <w:sz w:val="20"/>
              </w:rPr>
              <w:t>Leonardo Skyward-G-class IRST, Arctic cold-sky optimised</w:t>
            </w:r>
          </w:p>
        </w:tc>
        <w:tc>
          <w:tcPr>
            <w:tcW w:type="dxa" w:w="1474"/>
            <w:shd w:val="clear" w:fill="D9E2F3"/>
          </w:tcPr>
          <w:p>
            <w:r/>
            <w:r>
              <w:rPr>
                <w:color w:val="1A1A1A"/>
                <w:sz w:val="20"/>
              </w:rPr>
              <w:t>Italy</w:t>
            </w:r>
          </w:p>
        </w:tc>
        <w:tc>
          <w:tcPr>
            <w:tcW w:type="dxa" w:w="2608"/>
            <w:shd w:val="clear" w:fill="D9E2F3"/>
          </w:tcPr>
          <w:p>
            <w:r/>
            <w:r>
              <w:rPr>
                <w:color w:val="1A1A1A"/>
                <w:sz w:val="20"/>
              </w:rPr>
              <w:t>Passive air target detection at 70 to 80 percent of radar range in cold-sky contrast</w:t>
            </w:r>
          </w:p>
        </w:tc>
      </w:tr>
      <w:tr>
        <w:tc>
          <w:tcPr>
            <w:tcW w:type="dxa" w:w="1928"/>
          </w:tcPr>
          <w:p>
            <w:r/>
            <w:r>
              <w:rPr>
                <w:color w:val="1A1A1A"/>
                <w:sz w:val="20"/>
              </w:rPr>
              <w:t>Electronic support and attack</w:t>
            </w:r>
          </w:p>
        </w:tc>
        <w:tc>
          <w:tcPr>
            <w:tcW w:type="dxa" w:w="3288"/>
          </w:tcPr>
          <w:p>
            <w:r/>
            <w:r>
              <w:rPr>
                <w:color w:val="1A1A1A"/>
                <w:sz w:val="20"/>
              </w:rPr>
              <w:t>Saab Arexis-class EW suite, 2 to 18 GHz, internal jammer</w:t>
            </w:r>
          </w:p>
        </w:tc>
        <w:tc>
          <w:tcPr>
            <w:tcW w:type="dxa" w:w="1474"/>
          </w:tcPr>
          <w:p>
            <w:r/>
            <w:r>
              <w:rPr>
                <w:color w:val="1A1A1A"/>
                <w:sz w:val="20"/>
              </w:rPr>
              <w:t>Sweden</w:t>
            </w:r>
          </w:p>
        </w:tc>
        <w:tc>
          <w:tcPr>
            <w:tcW w:type="dxa" w:w="2608"/>
          </w:tcPr>
          <w:p>
            <w:r/>
            <w:r>
              <w:rPr>
                <w:color w:val="1A1A1A"/>
                <w:sz w:val="20"/>
              </w:rPr>
              <w:t>Emitter detection, identification, geolocation cueing, self-protection and escort jamming</w:t>
            </w:r>
          </w:p>
        </w:tc>
      </w:tr>
      <w:tr>
        <w:tc>
          <w:tcPr>
            <w:tcW w:type="dxa" w:w="1928"/>
            <w:shd w:val="clear" w:fill="D9E2F3"/>
          </w:tcPr>
          <w:p>
            <w:r/>
            <w:r>
              <w:rPr>
                <w:color w:val="1A1A1A"/>
                <w:sz w:val="20"/>
              </w:rPr>
              <w:t>Distributed apertures</w:t>
            </w:r>
          </w:p>
        </w:tc>
        <w:tc>
          <w:tcPr>
            <w:tcW w:type="dxa" w:w="3288"/>
            <w:shd w:val="clear" w:fill="D9E2F3"/>
          </w:tcPr>
          <w:p>
            <w:r/>
            <w:r>
              <w:rPr>
                <w:color w:val="1A1A1A"/>
                <w:sz w:val="20"/>
              </w:rPr>
              <w:t>Six-element EO/IR aperture set, missile-warning capable</w:t>
            </w:r>
          </w:p>
        </w:tc>
        <w:tc>
          <w:tcPr>
            <w:tcW w:type="dxa" w:w="1474"/>
            <w:shd w:val="clear" w:fill="D9E2F3"/>
          </w:tcPr>
          <w:p>
            <w:r/>
            <w:r>
              <w:rPr>
                <w:color w:val="1A1A1A"/>
                <w:sz w:val="20"/>
              </w:rPr>
              <w:t>Sweden / Canada</w:t>
            </w:r>
          </w:p>
        </w:tc>
        <w:tc>
          <w:tcPr>
            <w:tcW w:type="dxa" w:w="2608"/>
            <w:shd w:val="clear" w:fill="D9E2F3"/>
          </w:tcPr>
          <w:p>
            <w:r/>
            <w:r>
              <w:rPr>
                <w:color w:val="1A1A1A"/>
                <w:sz w:val="20"/>
              </w:rPr>
              <w:t>Spherical situational awareness, missile approach warning, passive terminal scene</w:t>
            </w:r>
          </w:p>
        </w:tc>
      </w:tr>
      <w:tr>
        <w:tc>
          <w:tcPr>
            <w:tcW w:type="dxa" w:w="1928"/>
          </w:tcPr>
          <w:p>
            <w:r/>
            <w:r>
              <w:rPr>
                <w:color w:val="1A1A1A"/>
                <w:sz w:val="20"/>
              </w:rPr>
              <w:t>Decoys</w:t>
            </w:r>
          </w:p>
        </w:tc>
        <w:tc>
          <w:tcPr>
            <w:tcW w:type="dxa" w:w="3288"/>
          </w:tcPr>
          <w:p>
            <w:r/>
            <w:r>
              <w:rPr>
                <w:color w:val="1A1A1A"/>
                <w:sz w:val="20"/>
              </w:rPr>
              <w:t>Leonardo BriteCloud-class expendable active decoys, internal dispenser</w:t>
            </w:r>
          </w:p>
        </w:tc>
        <w:tc>
          <w:tcPr>
            <w:tcW w:type="dxa" w:w="1474"/>
          </w:tcPr>
          <w:p>
            <w:r/>
            <w:r>
              <w:rPr>
                <w:color w:val="1A1A1A"/>
                <w:sz w:val="20"/>
              </w:rPr>
              <w:t>United Kingdom</w:t>
            </w:r>
          </w:p>
        </w:tc>
        <w:tc>
          <w:tcPr>
            <w:tcW w:type="dxa" w:w="2608"/>
          </w:tcPr>
          <w:p>
            <w:r/>
            <w:r>
              <w:rPr>
                <w:color w:val="1A1A1A"/>
                <w:sz w:val="20"/>
              </w:rPr>
              <w:t>Seduction and distraction against radar-guided threats</w:t>
            </w:r>
          </w:p>
        </w:tc>
      </w:tr>
      <w:tr>
        <w:tc>
          <w:tcPr>
            <w:tcW w:type="dxa" w:w="1928"/>
            <w:shd w:val="clear" w:fill="D9E2F3"/>
          </w:tcPr>
          <w:p>
            <w:r/>
            <w:r>
              <w:rPr>
                <w:color w:val="1A1A1A"/>
                <w:sz w:val="20"/>
              </w:rPr>
              <w:t>Navigation</w:t>
            </w:r>
          </w:p>
        </w:tc>
        <w:tc>
          <w:tcPr>
            <w:tcW w:type="dxa" w:w="3288"/>
            <w:shd w:val="clear" w:fill="D9E2F3"/>
          </w:tcPr>
          <w:p>
            <w:r/>
            <w:r>
              <w:rPr>
                <w:color w:val="1A1A1A"/>
                <w:sz w:val="20"/>
              </w:rPr>
              <w:t>Multi-constellation GNSS (Galileo PRS and GPS) with CRPA anti-jam plus ring-laser inertial</w:t>
            </w:r>
          </w:p>
        </w:tc>
        <w:tc>
          <w:tcPr>
            <w:tcW w:type="dxa" w:w="1474"/>
            <w:shd w:val="clear" w:fill="D9E2F3"/>
          </w:tcPr>
          <w:p>
            <w:r/>
            <w:r>
              <w:rPr>
                <w:color w:val="1A1A1A"/>
                <w:sz w:val="20"/>
              </w:rPr>
              <w:t>Canada / EU</w:t>
            </w:r>
          </w:p>
        </w:tc>
        <w:tc>
          <w:tcPr>
            <w:tcW w:type="dxa" w:w="2608"/>
            <w:shd w:val="clear" w:fill="D9E2F3"/>
          </w:tcPr>
          <w:p>
            <w:r/>
            <w:r>
              <w:rPr>
                <w:color w:val="1A1A1A"/>
                <w:sz w:val="20"/>
              </w:rPr>
              <w:t>Arctic navigation through jamming and auroral scintillation</w:t>
            </w:r>
          </w:p>
        </w:tc>
      </w:tr>
    </w:tbl>
    <w:p>
      <w:pPr>
        <w:jc w:val="center"/>
      </w:pPr>
      <w:r>
        <w:rPr>
          <w:i/>
          <w:sz w:val="19"/>
        </w:rPr>
        <w:t>Table 10-1. Sensor and defensive suite. All lines from Canada or close allies; no United States line enters the baseline.</w:t>
      </w:r>
    </w:p>
    <w:p>
      <w:pPr>
        <w:pStyle w:val="Heading2"/>
      </w:pPr>
      <w:r>
        <w:t>10.2 Avionics and Mission Computing</w:t>
      </w:r>
    </w:p>
    <w:p>
      <w:r>
        <w:rPr>
          <w:b w:val="0"/>
          <w:i w:val="0"/>
        </w:rPr>
        <w:t>The mission system runs an open, modular architecture in the SkyGuardian pattern: a partitioned mission computer hosts sovereign mission-data cartridges, emitter libraries, and behaviour sets under national authority, with DO-178C design assurance at DAL A for flight-critical software and DO-254 for airborne electronic hardware. Flight control is quadruplex digital fly-by-wire with dissimilar redundancy. Edge processing follows the Interceptor-MR and SkyRaider pattern: target detection, classification, tracking, and formation autonomy execute onboard, so a jammed or denied link degrades the mission rather than the aircraft.</w:t>
      </w:r>
    </w:p>
    <w:p>
      <w:pPr>
        <w:pStyle w:val="Heading2"/>
      </w:pPr>
      <w:r>
        <w:t>10.3 Datalinks and Teaming</w:t>
      </w:r>
    </w:p>
    <w:p>
      <w:r>
        <w:rPr>
          <w:b w:val="0"/>
          <w:i w:val="0"/>
        </w:rPr>
        <w:t>Three link layers connect the Aurup to the package. A TTNT-class sovereign mesh, designated NordMesh and derived from the EuroMIDS industrial line, carries high-rate track, geolocation, and tasking traffic between the Gripen E, Aurups, Sprinters, and Strikers, with mesh hand-off to a surviving quarterback, deputy wingman, or mission control in under two seconds (verification item PV-06, aligned with doctrine item V-AV-04). A EuroMIDS Link 16 terminal carries coalition traffic; Link 16 is a NATO standard with United States origins, and Section 13 registers that dependency honestly. A low-probability-of-intercept satellite link in military Ku-band, with scintillation-robust waveforms for auroral conditions, carries beyond-line-of-sight command and the lost-link ladder. The lost-link behaviour follows doctrine: hold for reacquisition, egress on the pre-briefed axis, recover at the launch base or a designated road strip.</w:t>
      </w:r>
    </w:p>
    <w:p>
      <w:pPr>
        <w:pStyle w:val="Heading1"/>
      </w:pPr>
      <w:r>
        <w:t>11. Arctic Environmental Hardening</w:t>
      </w:r>
    </w:p>
    <w:p>
      <w:r>
        <w:rPr>
          <w:b w:val="0"/>
          <w:i w:val="0"/>
        </w:rPr>
        <w:t>The Arctic is the design environment, not a special kit. The hardening package addresses five cases, each with a named closure basis:</w:t>
      </w:r>
    </w:p>
    <w:tbl>
      <w:tblPr>
        <w:tblStyle w:val="TableGrid"/>
        <w:tblW w:type="auto" w:w="0"/>
        <w:jc w:val="center"/>
        <w:tblLook w:firstColumn="1" w:firstRow="1" w:lastColumn="0" w:lastRow="0" w:noHBand="0" w:noVBand="1" w:val="04A0"/>
      </w:tblPr>
      <w:tblGrid>
        <w:gridCol w:w="3061"/>
        <w:gridCol w:w="3061"/>
        <w:gridCol w:w="3061"/>
      </w:tblGrid>
      <w:tr>
        <w:tc>
          <w:tcPr>
            <w:tcW w:type="dxa" w:w="2494"/>
            <w:shd w:val="clear" w:fill="1F3864"/>
          </w:tcPr>
          <w:p>
            <w:r/>
            <w:r>
              <w:rPr>
                <w:b/>
                <w:color w:val="FFFFFF"/>
                <w:sz w:val="20"/>
              </w:rPr>
              <w:t>Environmental case</w:t>
            </w:r>
          </w:p>
        </w:tc>
        <w:tc>
          <w:tcPr>
            <w:tcW w:type="dxa" w:w="4082"/>
            <w:shd w:val="clear" w:fill="1F3864"/>
          </w:tcPr>
          <w:p>
            <w:r/>
            <w:r>
              <w:rPr>
                <w:b/>
                <w:color w:val="FFFFFF"/>
                <w:sz w:val="20"/>
              </w:rPr>
              <w:t>Design response</w:t>
            </w:r>
          </w:p>
        </w:tc>
        <w:tc>
          <w:tcPr>
            <w:tcW w:type="dxa" w:w="2494"/>
            <w:shd w:val="clear" w:fill="1F3864"/>
          </w:tcPr>
          <w:p>
            <w:r/>
            <w:r>
              <w:rPr>
                <w:b/>
                <w:color w:val="FFFFFF"/>
                <w:sz w:val="20"/>
              </w:rPr>
              <w:t>Closure</w:t>
            </w:r>
          </w:p>
        </w:tc>
      </w:tr>
      <w:tr>
        <w:tc>
          <w:tcPr>
            <w:tcW w:type="dxa" w:w="2494"/>
          </w:tcPr>
          <w:p>
            <w:r/>
            <w:r>
              <w:rPr>
                <w:color w:val="1A1A1A"/>
                <w:sz w:val="20"/>
              </w:rPr>
              <w:t>Ground survival at minus 55 C</w:t>
            </w:r>
          </w:p>
        </w:tc>
        <w:tc>
          <w:tcPr>
            <w:tcW w:type="dxa" w:w="4082"/>
          </w:tcPr>
          <w:p>
            <w:r/>
            <w:r>
              <w:rPr>
                <w:color w:val="1A1A1A"/>
                <w:sz w:val="20"/>
              </w:rPr>
              <w:t>Cryo-qualified seals, composites, and lubricants; shelter and ground-power provisions</w:t>
            </w:r>
          </w:p>
        </w:tc>
        <w:tc>
          <w:tcPr>
            <w:tcW w:type="dxa" w:w="2494"/>
          </w:tcPr>
          <w:p>
            <w:r/>
            <w:r>
              <w:rPr>
                <w:color w:val="1A1A1A"/>
                <w:sz w:val="20"/>
              </w:rPr>
              <w:t>Materials qual. complete; system soak PV-04</w:t>
            </w:r>
          </w:p>
        </w:tc>
      </w:tr>
      <w:tr>
        <w:tc>
          <w:tcPr>
            <w:tcW w:type="dxa" w:w="2494"/>
            <w:shd w:val="clear" w:fill="D9E2F3"/>
          </w:tcPr>
          <w:p>
            <w:r/>
            <w:r>
              <w:rPr>
                <w:color w:val="1A1A1A"/>
                <w:sz w:val="20"/>
              </w:rPr>
              <w:t>12-hour cold soak at minus 40 C, first start</w:t>
            </w:r>
          </w:p>
        </w:tc>
        <w:tc>
          <w:tcPr>
            <w:tcW w:type="dxa" w:w="4082"/>
            <w:shd w:val="clear" w:fill="D9E2F3"/>
          </w:tcPr>
          <w:p>
            <w:r/>
            <w:r>
              <w:rPr>
                <w:color w:val="1A1A1A"/>
                <w:sz w:val="20"/>
              </w:rPr>
              <w:t>Engine and fuel preheat via ground cart; battery and APU thermal management; FADEC cold-start schedule</w:t>
            </w:r>
          </w:p>
        </w:tc>
        <w:tc>
          <w:tcPr>
            <w:tcW w:type="dxa" w:w="2494"/>
            <w:shd w:val="clear" w:fill="D9E2F3"/>
          </w:tcPr>
          <w:p>
            <w:r/>
            <w:r>
              <w:rPr>
                <w:color w:val="1A1A1A"/>
                <w:sz w:val="20"/>
              </w:rPr>
              <w:t>Bench-tested; 95% first-start figure PV-04</w:t>
            </w:r>
          </w:p>
        </w:tc>
      </w:tr>
      <w:tr>
        <w:tc>
          <w:tcPr>
            <w:tcW w:type="dxa" w:w="2494"/>
          </w:tcPr>
          <w:p>
            <w:r/>
            <w:r>
              <w:rPr>
                <w:color w:val="1A1A1A"/>
                <w:sz w:val="20"/>
              </w:rPr>
              <w:t>In-flight icing</w:t>
            </w:r>
          </w:p>
        </w:tc>
        <w:tc>
          <w:tcPr>
            <w:tcW w:type="dxa" w:w="4082"/>
          </w:tcPr>
          <w:p>
            <w:r/>
            <w:r>
              <w:rPr>
                <w:color w:val="1A1A1A"/>
                <w:sz w:val="20"/>
              </w:rPr>
              <w:t>Electro-expulsive de-ice on wing leading edges and inlet lips (SkyGuardian-pattern EEDS); electro-thermal anti-ice on probes and apertures</w:t>
            </w:r>
          </w:p>
        </w:tc>
        <w:tc>
          <w:tcPr>
            <w:tcW w:type="dxa" w:w="2494"/>
          </w:tcPr>
          <w:p>
            <w:r/>
            <w:r>
              <w:rPr>
                <w:color w:val="1A1A1A"/>
                <w:sz w:val="20"/>
              </w:rPr>
              <w:t>EEDS component pedigree; ice-tunnel PV-08</w:t>
            </w:r>
          </w:p>
        </w:tc>
      </w:tr>
      <w:tr>
        <w:tc>
          <w:tcPr>
            <w:tcW w:type="dxa" w:w="2494"/>
            <w:shd w:val="clear" w:fill="D9E2F3"/>
          </w:tcPr>
          <w:p>
            <w:r/>
            <w:r>
              <w:rPr>
                <w:color w:val="1A1A1A"/>
                <w:sz w:val="20"/>
              </w:rPr>
              <w:t>Contaminated strips</w:t>
            </w:r>
          </w:p>
        </w:tc>
        <w:tc>
          <w:tcPr>
            <w:tcW w:type="dxa" w:w="4082"/>
            <w:shd w:val="clear" w:fill="D9E2F3"/>
          </w:tcPr>
          <w:p>
            <w:r/>
            <w:r>
              <w:rPr>
                <w:color w:val="1A1A1A"/>
                <w:sz w:val="20"/>
              </w:rPr>
              <w:t>800 m strip performance; titanium leading edges and inlet lips against ice and debris impact; spray-deflecting gear doors; anti-skid with contamination logic</w:t>
            </w:r>
          </w:p>
        </w:tc>
        <w:tc>
          <w:tcPr>
            <w:tcW w:type="dxa" w:w="2494"/>
            <w:shd w:val="clear" w:fill="D9E2F3"/>
          </w:tcPr>
          <w:p>
            <w:r/>
            <w:r>
              <w:rPr>
                <w:color w:val="1A1A1A"/>
                <w:sz w:val="20"/>
              </w:rPr>
              <w:t>Performance closes dry; spray and slush PV-09</w:t>
            </w:r>
          </w:p>
        </w:tc>
      </w:tr>
      <w:tr>
        <w:tc>
          <w:tcPr>
            <w:tcW w:type="dxa" w:w="2494"/>
          </w:tcPr>
          <w:p>
            <w:r/>
            <w:r>
              <w:rPr>
                <w:color w:val="1A1A1A"/>
                <w:sz w:val="20"/>
              </w:rPr>
              <w:t>Auroral and ionospheric effects</w:t>
            </w:r>
          </w:p>
        </w:tc>
        <w:tc>
          <w:tcPr>
            <w:tcW w:type="dxa" w:w="4082"/>
          </w:tcPr>
          <w:p>
            <w:r/>
            <w:r>
              <w:rPr>
                <w:color w:val="1A1A1A"/>
                <w:sz w:val="20"/>
              </w:rPr>
              <w:t>Scintillation-robust SATCOM waveforms; multi-constellation CRPA navigation; inertial coast through dropout</w:t>
            </w:r>
          </w:p>
        </w:tc>
        <w:tc>
          <w:tcPr>
            <w:tcW w:type="dxa" w:w="2494"/>
          </w:tcPr>
          <w:p>
            <w:r/>
            <w:r>
              <w:rPr>
                <w:color w:val="1A1A1A"/>
                <w:sz w:val="20"/>
              </w:rPr>
              <w:t>Waveform selection frozen; flight trial PV-06</w:t>
            </w:r>
          </w:p>
        </w:tc>
      </w:tr>
    </w:tbl>
    <w:p>
      <w:pPr>
        <w:jc w:val="center"/>
      </w:pPr>
      <w:r>
        <w:rPr>
          <w:i/>
          <w:sz w:val="19"/>
        </w:rPr>
        <w:t>Table 11-1. Arctic hardening cases and closure status.</w:t>
      </w:r>
    </w:p>
    <w:p>
      <w:r>
        <w:rPr>
          <w:b w:val="0"/>
          <w:i w:val="0"/>
        </w:rPr>
        <w:t>Fuel is F-34 with fuel-system icing inhibitor, the standard cold-weather military kerosene; the fuel system holds recirculation thermal management so cold-soaked fuel reaches the engine inside the FADEC start envelope. Polar sensor modes follow the doctrine's cold-sky practice: the infrared search and track exploits the high contrast of warm airframes against a cold Arctic sky, which is precisely the condition set in which the reference IRST class performs best.</w:t>
      </w:r>
    </w:p>
    <w:p>
      <w:pPr>
        <w:pStyle w:val="Heading1"/>
      </w:pPr>
      <w:r>
        <w:t>12. Materials and Recycled Content</w:t>
      </w:r>
    </w:p>
    <w:p>
      <w:pPr>
        <w:pStyle w:val="Heading2"/>
      </w:pPr>
      <w:r>
        <w:t>12.1 Structural Materials</w:t>
      </w:r>
    </w:p>
    <w:p>
      <w:r>
        <w:rPr>
          <w:b w:val="0"/>
          <w:i w:val="0"/>
        </w:rPr>
        <w:t>The airframe is composite-dominant at 62 percent of structural mass: carbon-fibre epoxy in the wing skins, fuselage barrels, and bay doors, using a toughened cryo-qualified resin system. Titanium carries 24 percent of structural mass, concentrated at the nose, wing leading edges, inlet lips, engine bay, and main fittings; the nose and leading-edge titanium follows the Interceptor-MR practice of placing titanium exactly where ice impact and strip debris concentrate. Aluminium alloys carry 11 percent in secondary structure and equipment racks. Steel carries 3 percent in landing-gear and high-wear items.</w:t>
      </w:r>
    </w:p>
    <w:p>
      <w:pPr>
        <w:pStyle w:val="Heading2"/>
      </w:pPr>
      <w:r>
        <w:t>12.2 Recycled Metals</w:t>
      </w:r>
    </w:p>
    <w:p>
      <w:r>
        <w:rPr>
          <w:b w:val="0"/>
          <w:i w:val="0"/>
        </w:rPr>
        <w:t>Recycled feedstock enters where certification economics close, not as a gesture:</w:t>
      </w:r>
    </w:p>
    <w:p>
      <w:pPr>
        <w:pStyle w:val="ListBullet"/>
      </w:pPr>
      <w:r>
        <w:t>Titanium. Certified recycled aerospace titanium, re-melted and re-qualified from revert scrap through the established European recycled-titanium stream, supplies 60 percent of the airframe's titanium by mass. Forgings and plate from this stream carry full traceability; equivalency fatigue data for one primary fitting family remains open as PV-05.</w:t>
      </w:r>
    </w:p>
    <w:p>
      <w:pPr>
        <w:pStyle w:val="ListBullet"/>
      </w:pPr>
      <w:r>
        <w:t>Aluminium. Canadian low-carbon aluminium billet with a certified recycled fraction supplies the secondary-structure plate and rack stock; Rio Tinto's Canadian hydro-powered and recycled streams anchor this line domestically.</w:t>
      </w:r>
    </w:p>
    <w:p>
      <w:pPr>
        <w:pStyle w:val="ListBullet"/>
      </w:pPr>
      <w:r>
        <w:t>Carbon fibre. Reclaimed carbon-fibre nonwoven and chopped-fibre compounds, from the United Kingdom's recycled-carbon industry, form non-primary panels, fairings, and equipment bay liners; primary structure uses virgin fibre because certification of recycled primary composite does not yet close at CDR-80.</w:t>
      </w:r>
    </w:p>
    <w:p>
      <w:r>
        <w:rPr>
          <w:b w:val="0"/>
          <w:i w:val="0"/>
        </w:rPr>
        <w:t>The recycled share totals approximately 38 percent of the airframe's metallic mass and an estimated 4 to 6 percent saving on airframe material cost. The programme treats that saving as genuine but modest: the honest economics of recycled aerospace metal are cost stability and supply resilience rather than dramatic unit savings, and the strategic value is a domestic and allied feedstock that no adversary interdicts.</w:t>
      </w:r>
    </w:p>
    <w:p>
      <w:pPr>
        <w:pStyle w:val="Heading1"/>
      </w:pPr>
      <w:r>
        <w:t>13. Supply Chain Sovereignty</w:t>
      </w:r>
    </w:p>
    <w:p>
      <w:pPr>
        <w:pStyle w:val="Heading2"/>
      </w:pPr>
      <w:r>
        <w:t>13.1 Sourcing Baseline</w:t>
      </w:r>
    </w:p>
    <w:tbl>
      <w:tblPr>
        <w:tblStyle w:val="TableGrid"/>
        <w:tblW w:type="auto" w:w="0"/>
        <w:jc w:val="center"/>
        <w:tblLook w:firstColumn="1" w:firstRow="1" w:lastColumn="0" w:lastRow="0" w:noHBand="0" w:noVBand="1" w:val="04A0"/>
      </w:tblPr>
      <w:tblGrid>
        <w:gridCol w:w="2296"/>
        <w:gridCol w:w="2296"/>
        <w:gridCol w:w="2296"/>
        <w:gridCol w:w="2296"/>
      </w:tblGrid>
      <w:tr>
        <w:tc>
          <w:tcPr>
            <w:tcW w:type="dxa" w:w="2041"/>
            <w:shd w:val="clear" w:fill="1F3864"/>
          </w:tcPr>
          <w:p>
            <w:r/>
            <w:r>
              <w:rPr>
                <w:b/>
                <w:color w:val="FFFFFF"/>
                <w:sz w:val="20"/>
              </w:rPr>
              <w:t>System</w:t>
            </w:r>
          </w:p>
        </w:tc>
        <w:tc>
          <w:tcPr>
            <w:tcW w:type="dxa" w:w="3175"/>
            <w:shd w:val="clear" w:fill="1F3864"/>
          </w:tcPr>
          <w:p>
            <w:r/>
            <w:r>
              <w:rPr>
                <w:b/>
                <w:color w:val="FFFFFF"/>
                <w:sz w:val="20"/>
              </w:rPr>
              <w:t>Supplier line</w:t>
            </w:r>
          </w:p>
        </w:tc>
        <w:tc>
          <w:tcPr>
            <w:tcW w:type="dxa" w:w="2041"/>
            <w:shd w:val="clear" w:fill="1F3864"/>
          </w:tcPr>
          <w:p>
            <w:r/>
            <w:r>
              <w:rPr>
                <w:b/>
                <w:color w:val="FFFFFF"/>
                <w:sz w:val="20"/>
              </w:rPr>
              <w:t>Origin</w:t>
            </w:r>
          </w:p>
        </w:tc>
        <w:tc>
          <w:tcPr>
            <w:tcW w:type="dxa" w:w="1814"/>
            <w:shd w:val="clear" w:fill="1F3864"/>
          </w:tcPr>
          <w:p>
            <w:r/>
            <w:r>
              <w:rPr>
                <w:b/>
                <w:color w:val="FFFFFF"/>
                <w:sz w:val="20"/>
              </w:rPr>
              <w:t>US content</w:t>
            </w:r>
          </w:p>
        </w:tc>
      </w:tr>
      <w:tr>
        <w:tc>
          <w:tcPr>
            <w:tcW w:type="dxa" w:w="2041"/>
          </w:tcPr>
          <w:p>
            <w:r/>
            <w:r>
              <w:rPr>
                <w:color w:val="1A1A1A"/>
                <w:sz w:val="20"/>
              </w:rPr>
              <w:t>Engine</w:t>
            </w:r>
          </w:p>
        </w:tc>
        <w:tc>
          <w:tcPr>
            <w:tcW w:type="dxa" w:w="3175"/>
          </w:tcPr>
          <w:p>
            <w:r/>
            <w:r>
              <w:rPr>
                <w:color w:val="1A1A1A"/>
                <w:sz w:val="20"/>
              </w:rPr>
              <w:t>Eurojet EJ200 Arctic derivative</w:t>
            </w:r>
          </w:p>
        </w:tc>
        <w:tc>
          <w:tcPr>
            <w:tcW w:type="dxa" w:w="2041"/>
          </w:tcPr>
          <w:p>
            <w:r/>
            <w:r>
              <w:rPr>
                <w:color w:val="1A1A1A"/>
                <w:sz w:val="20"/>
              </w:rPr>
              <w:t>UK / Germany / Italy / Spain</w:t>
            </w:r>
          </w:p>
        </w:tc>
        <w:tc>
          <w:tcPr>
            <w:tcW w:type="dxa" w:w="1814"/>
          </w:tcPr>
          <w:p>
            <w:r/>
            <w:r>
              <w:rPr>
                <w:color w:val="1A1A1A"/>
                <w:sz w:val="20"/>
              </w:rPr>
              <w:t>None identified</w:t>
            </w:r>
          </w:p>
        </w:tc>
      </w:tr>
      <w:tr>
        <w:tc>
          <w:tcPr>
            <w:tcW w:type="dxa" w:w="2041"/>
            <w:shd w:val="clear" w:fill="D9E2F3"/>
          </w:tcPr>
          <w:p>
            <w:r/>
            <w:r>
              <w:rPr>
                <w:color w:val="1A1A1A"/>
                <w:sz w:val="20"/>
              </w:rPr>
              <w:t>Radar</w:t>
            </w:r>
          </w:p>
        </w:tc>
        <w:tc>
          <w:tcPr>
            <w:tcW w:type="dxa" w:w="3175"/>
            <w:shd w:val="clear" w:fill="D9E2F3"/>
          </w:tcPr>
          <w:p>
            <w:r/>
            <w:r>
              <w:rPr>
                <w:color w:val="1A1A1A"/>
                <w:sz w:val="20"/>
              </w:rPr>
              <w:t>Saab GaN AESA</w:t>
            </w:r>
          </w:p>
        </w:tc>
        <w:tc>
          <w:tcPr>
            <w:tcW w:type="dxa" w:w="2041"/>
            <w:shd w:val="clear" w:fill="D9E2F3"/>
          </w:tcPr>
          <w:p>
            <w:r/>
            <w:r>
              <w:rPr>
                <w:color w:val="1A1A1A"/>
                <w:sz w:val="20"/>
              </w:rPr>
              <w:t>Sweden</w:t>
            </w:r>
          </w:p>
        </w:tc>
        <w:tc>
          <w:tcPr>
            <w:tcW w:type="dxa" w:w="1814"/>
            <w:shd w:val="clear" w:fill="D9E2F3"/>
          </w:tcPr>
          <w:p>
            <w:r/>
            <w:r>
              <w:rPr>
                <w:color w:val="1A1A1A"/>
                <w:sz w:val="20"/>
              </w:rPr>
              <w:t>None identified</w:t>
            </w:r>
          </w:p>
        </w:tc>
      </w:tr>
      <w:tr>
        <w:tc>
          <w:tcPr>
            <w:tcW w:type="dxa" w:w="2041"/>
          </w:tcPr>
          <w:p>
            <w:r/>
            <w:r>
              <w:rPr>
                <w:color w:val="1A1A1A"/>
                <w:sz w:val="20"/>
              </w:rPr>
              <w:t>IRST</w:t>
            </w:r>
          </w:p>
        </w:tc>
        <w:tc>
          <w:tcPr>
            <w:tcW w:type="dxa" w:w="3175"/>
          </w:tcPr>
          <w:p>
            <w:r/>
            <w:r>
              <w:rPr>
                <w:color w:val="1A1A1A"/>
                <w:sz w:val="20"/>
              </w:rPr>
              <w:t>Leonardo Skyward-G class</w:t>
            </w:r>
          </w:p>
        </w:tc>
        <w:tc>
          <w:tcPr>
            <w:tcW w:type="dxa" w:w="2041"/>
          </w:tcPr>
          <w:p>
            <w:r/>
            <w:r>
              <w:rPr>
                <w:color w:val="1A1A1A"/>
                <w:sz w:val="20"/>
              </w:rPr>
              <w:t>Italy</w:t>
            </w:r>
          </w:p>
        </w:tc>
        <w:tc>
          <w:tcPr>
            <w:tcW w:type="dxa" w:w="1814"/>
          </w:tcPr>
          <w:p>
            <w:r/>
            <w:r>
              <w:rPr>
                <w:color w:val="1A1A1A"/>
                <w:sz w:val="20"/>
              </w:rPr>
              <w:t>None identified</w:t>
            </w:r>
          </w:p>
        </w:tc>
      </w:tr>
      <w:tr>
        <w:tc>
          <w:tcPr>
            <w:tcW w:type="dxa" w:w="2041"/>
            <w:shd w:val="clear" w:fill="D9E2F3"/>
          </w:tcPr>
          <w:p>
            <w:r/>
            <w:r>
              <w:rPr>
                <w:color w:val="1A1A1A"/>
                <w:sz w:val="20"/>
              </w:rPr>
              <w:t>EW / ESM</w:t>
            </w:r>
          </w:p>
        </w:tc>
        <w:tc>
          <w:tcPr>
            <w:tcW w:type="dxa" w:w="3175"/>
            <w:shd w:val="clear" w:fill="D9E2F3"/>
          </w:tcPr>
          <w:p>
            <w:r/>
            <w:r>
              <w:rPr>
                <w:color w:val="1A1A1A"/>
                <w:sz w:val="20"/>
              </w:rPr>
              <w:t>Saab Arexis class</w:t>
            </w:r>
          </w:p>
        </w:tc>
        <w:tc>
          <w:tcPr>
            <w:tcW w:type="dxa" w:w="2041"/>
            <w:shd w:val="clear" w:fill="D9E2F3"/>
          </w:tcPr>
          <w:p>
            <w:r/>
            <w:r>
              <w:rPr>
                <w:color w:val="1A1A1A"/>
                <w:sz w:val="20"/>
              </w:rPr>
              <w:t>Sweden</w:t>
            </w:r>
          </w:p>
        </w:tc>
        <w:tc>
          <w:tcPr>
            <w:tcW w:type="dxa" w:w="1814"/>
            <w:shd w:val="clear" w:fill="D9E2F3"/>
          </w:tcPr>
          <w:p>
            <w:r/>
            <w:r>
              <w:rPr>
                <w:color w:val="1A1A1A"/>
                <w:sz w:val="20"/>
              </w:rPr>
              <w:t>None identified</w:t>
            </w:r>
          </w:p>
        </w:tc>
      </w:tr>
      <w:tr>
        <w:tc>
          <w:tcPr>
            <w:tcW w:type="dxa" w:w="2041"/>
          </w:tcPr>
          <w:p>
            <w:r/>
            <w:r>
              <w:rPr>
                <w:color w:val="1A1A1A"/>
                <w:sz w:val="20"/>
              </w:rPr>
              <w:t>Decoys</w:t>
            </w:r>
          </w:p>
        </w:tc>
        <w:tc>
          <w:tcPr>
            <w:tcW w:type="dxa" w:w="3175"/>
          </w:tcPr>
          <w:p>
            <w:r/>
            <w:r>
              <w:rPr>
                <w:color w:val="1A1A1A"/>
                <w:sz w:val="20"/>
              </w:rPr>
              <w:t>Leonardo BriteCloud class</w:t>
            </w:r>
          </w:p>
        </w:tc>
        <w:tc>
          <w:tcPr>
            <w:tcW w:type="dxa" w:w="2041"/>
          </w:tcPr>
          <w:p>
            <w:r/>
            <w:r>
              <w:rPr>
                <w:color w:val="1A1A1A"/>
                <w:sz w:val="20"/>
              </w:rPr>
              <w:t>United Kingdom</w:t>
            </w:r>
          </w:p>
        </w:tc>
        <w:tc>
          <w:tcPr>
            <w:tcW w:type="dxa" w:w="1814"/>
          </w:tcPr>
          <w:p>
            <w:r/>
            <w:r>
              <w:rPr>
                <w:color w:val="1A1A1A"/>
                <w:sz w:val="20"/>
              </w:rPr>
              <w:t>None identified</w:t>
            </w:r>
          </w:p>
        </w:tc>
      </w:tr>
      <w:tr>
        <w:tc>
          <w:tcPr>
            <w:tcW w:type="dxa" w:w="2041"/>
            <w:shd w:val="clear" w:fill="D9E2F3"/>
          </w:tcPr>
          <w:p>
            <w:r/>
            <w:r>
              <w:rPr>
                <w:color w:val="1A1A1A"/>
                <w:sz w:val="20"/>
              </w:rPr>
              <w:t>Weapons</w:t>
            </w:r>
          </w:p>
        </w:tc>
        <w:tc>
          <w:tcPr>
            <w:tcW w:type="dxa" w:w="3175"/>
            <w:shd w:val="clear" w:fill="D9E2F3"/>
          </w:tcPr>
          <w:p>
            <w:r/>
            <w:r>
              <w:rPr>
                <w:color w:val="1A1A1A"/>
                <w:sz w:val="20"/>
              </w:rPr>
              <w:t>MBDA, Diehl, Safran, Saab</w:t>
            </w:r>
          </w:p>
        </w:tc>
        <w:tc>
          <w:tcPr>
            <w:tcW w:type="dxa" w:w="2041"/>
            <w:shd w:val="clear" w:fill="D9E2F3"/>
          </w:tcPr>
          <w:p>
            <w:r/>
            <w:r>
              <w:rPr>
                <w:color w:val="1A1A1A"/>
                <w:sz w:val="20"/>
              </w:rPr>
              <w:t>UK / EU / Germany / France / Sweden</w:t>
            </w:r>
          </w:p>
        </w:tc>
        <w:tc>
          <w:tcPr>
            <w:tcW w:type="dxa" w:w="1814"/>
            <w:shd w:val="clear" w:fill="D9E2F3"/>
          </w:tcPr>
          <w:p>
            <w:r/>
            <w:r>
              <w:rPr>
                <w:color w:val="1A1A1A"/>
                <w:sz w:val="20"/>
              </w:rPr>
              <w:t>None identified</w:t>
            </w:r>
          </w:p>
        </w:tc>
      </w:tr>
      <w:tr>
        <w:tc>
          <w:tcPr>
            <w:tcW w:type="dxa" w:w="2041"/>
          </w:tcPr>
          <w:p>
            <w:r/>
            <w:r>
              <w:rPr>
                <w:color w:val="1A1A1A"/>
                <w:sz w:val="20"/>
              </w:rPr>
              <w:t>Mission computing</w:t>
            </w:r>
          </w:p>
        </w:tc>
        <w:tc>
          <w:tcPr>
            <w:tcW w:type="dxa" w:w="3175"/>
          </w:tcPr>
          <w:p>
            <w:r/>
            <w:r>
              <w:rPr>
                <w:color w:val="1A1A1A"/>
                <w:sz w:val="20"/>
              </w:rPr>
              <w:t>Saab mission computer with CMC Electronics integration</w:t>
            </w:r>
          </w:p>
        </w:tc>
        <w:tc>
          <w:tcPr>
            <w:tcW w:type="dxa" w:w="2041"/>
          </w:tcPr>
          <w:p>
            <w:r/>
            <w:r>
              <w:rPr>
                <w:color w:val="1A1A1A"/>
                <w:sz w:val="20"/>
              </w:rPr>
              <w:t>Sweden / Canada</w:t>
            </w:r>
          </w:p>
        </w:tc>
        <w:tc>
          <w:tcPr>
            <w:tcW w:type="dxa" w:w="1814"/>
          </w:tcPr>
          <w:p>
            <w:r/>
            <w:r>
              <w:rPr>
                <w:color w:val="1A1A1A"/>
                <w:sz w:val="20"/>
              </w:rPr>
              <w:t>Semiconductors: see 13.2</w:t>
            </w:r>
          </w:p>
        </w:tc>
      </w:tr>
      <w:tr>
        <w:tc>
          <w:tcPr>
            <w:tcW w:type="dxa" w:w="2041"/>
            <w:shd w:val="clear" w:fill="D9E2F3"/>
          </w:tcPr>
          <w:p>
            <w:r/>
            <w:r>
              <w:rPr>
                <w:color w:val="1A1A1A"/>
                <w:sz w:val="20"/>
              </w:rPr>
              <w:t>Link 16 terminal</w:t>
            </w:r>
          </w:p>
        </w:tc>
        <w:tc>
          <w:tcPr>
            <w:tcW w:type="dxa" w:w="3175"/>
            <w:shd w:val="clear" w:fill="D9E2F3"/>
          </w:tcPr>
          <w:p>
            <w:r/>
            <w:r>
              <w:rPr>
                <w:color w:val="1A1A1A"/>
                <w:sz w:val="20"/>
              </w:rPr>
              <w:t>EuroMIDS</w:t>
            </w:r>
          </w:p>
        </w:tc>
        <w:tc>
          <w:tcPr>
            <w:tcW w:type="dxa" w:w="2041"/>
            <w:shd w:val="clear" w:fill="D9E2F3"/>
          </w:tcPr>
          <w:p>
            <w:r/>
            <w:r>
              <w:rPr>
                <w:color w:val="1A1A1A"/>
                <w:sz w:val="20"/>
              </w:rPr>
              <w:t>France / EU consortium</w:t>
            </w:r>
          </w:p>
        </w:tc>
        <w:tc>
          <w:tcPr>
            <w:tcW w:type="dxa" w:w="1814"/>
            <w:shd w:val="clear" w:fill="D9E2F3"/>
          </w:tcPr>
          <w:p>
            <w:r/>
            <w:r>
              <w:rPr>
                <w:color w:val="1A1A1A"/>
                <w:sz w:val="20"/>
              </w:rPr>
              <w:t>Waveform standard: US-origin NATO standard</w:t>
            </w:r>
          </w:p>
        </w:tc>
      </w:tr>
      <w:tr>
        <w:tc>
          <w:tcPr>
            <w:tcW w:type="dxa" w:w="2041"/>
          </w:tcPr>
          <w:p>
            <w:r/>
            <w:r>
              <w:rPr>
                <w:color w:val="1A1A1A"/>
                <w:sz w:val="20"/>
              </w:rPr>
              <w:t>Actuation</w:t>
            </w:r>
          </w:p>
        </w:tc>
        <w:tc>
          <w:tcPr>
            <w:tcW w:type="dxa" w:w="3175"/>
          </w:tcPr>
          <w:p>
            <w:r/>
            <w:r>
              <w:rPr>
                <w:color w:val="1A1A1A"/>
                <w:sz w:val="20"/>
              </w:rPr>
              <w:t>Liebherr electro-hydrostatic actuators</w:t>
            </w:r>
          </w:p>
        </w:tc>
        <w:tc>
          <w:tcPr>
            <w:tcW w:type="dxa" w:w="2041"/>
          </w:tcPr>
          <w:p>
            <w:r/>
            <w:r>
              <w:rPr>
                <w:color w:val="1A1A1A"/>
                <w:sz w:val="20"/>
              </w:rPr>
              <w:t>Germany / Switzerland</w:t>
            </w:r>
          </w:p>
        </w:tc>
        <w:tc>
          <w:tcPr>
            <w:tcW w:type="dxa" w:w="1814"/>
          </w:tcPr>
          <w:p>
            <w:r/>
            <w:r>
              <w:rPr>
                <w:color w:val="1A1A1A"/>
                <w:sz w:val="20"/>
              </w:rPr>
              <w:t>None identified</w:t>
            </w:r>
          </w:p>
        </w:tc>
      </w:tr>
      <w:tr>
        <w:tc>
          <w:tcPr>
            <w:tcW w:type="dxa" w:w="2041"/>
            <w:shd w:val="clear" w:fill="D9E2F3"/>
          </w:tcPr>
          <w:p>
            <w:r/>
            <w:r>
              <w:rPr>
                <w:color w:val="1A1A1A"/>
                <w:sz w:val="20"/>
              </w:rPr>
              <w:t>Landing gear</w:t>
            </w:r>
          </w:p>
        </w:tc>
        <w:tc>
          <w:tcPr>
            <w:tcW w:type="dxa" w:w="3175"/>
            <w:shd w:val="clear" w:fill="D9E2F3"/>
          </w:tcPr>
          <w:p>
            <w:r/>
            <w:r>
              <w:rPr>
                <w:color w:val="1A1A1A"/>
                <w:sz w:val="20"/>
              </w:rPr>
              <w:t>Heroux-Devtek</w:t>
            </w:r>
          </w:p>
        </w:tc>
        <w:tc>
          <w:tcPr>
            <w:tcW w:type="dxa" w:w="2041"/>
            <w:shd w:val="clear" w:fill="D9E2F3"/>
          </w:tcPr>
          <w:p>
            <w:r/>
            <w:r>
              <w:rPr>
                <w:color w:val="1A1A1A"/>
                <w:sz w:val="20"/>
              </w:rPr>
              <w:t>Canada</w:t>
            </w:r>
          </w:p>
        </w:tc>
        <w:tc>
          <w:tcPr>
            <w:tcW w:type="dxa" w:w="1814"/>
            <w:shd w:val="clear" w:fill="D9E2F3"/>
          </w:tcPr>
          <w:p>
            <w:r/>
            <w:r>
              <w:rPr>
                <w:color w:val="1A1A1A"/>
                <w:sz w:val="20"/>
              </w:rPr>
              <w:t>None identified</w:t>
            </w:r>
          </w:p>
        </w:tc>
      </w:tr>
      <w:tr>
        <w:tc>
          <w:tcPr>
            <w:tcW w:type="dxa" w:w="2041"/>
          </w:tcPr>
          <w:p>
            <w:r/>
            <w:r>
              <w:rPr>
                <w:color w:val="1A1A1A"/>
                <w:sz w:val="20"/>
              </w:rPr>
              <w:t>Tyres and brakes</w:t>
            </w:r>
          </w:p>
        </w:tc>
        <w:tc>
          <w:tcPr>
            <w:tcW w:type="dxa" w:w="3175"/>
          </w:tcPr>
          <w:p>
            <w:r/>
            <w:r>
              <w:rPr>
                <w:color w:val="1A1A1A"/>
                <w:sz w:val="20"/>
              </w:rPr>
              <w:t>Michelin / Safran Landing Systems</w:t>
            </w:r>
          </w:p>
        </w:tc>
        <w:tc>
          <w:tcPr>
            <w:tcW w:type="dxa" w:w="2041"/>
          </w:tcPr>
          <w:p>
            <w:r/>
            <w:r>
              <w:rPr>
                <w:color w:val="1A1A1A"/>
                <w:sz w:val="20"/>
              </w:rPr>
              <w:t>France</w:t>
            </w:r>
          </w:p>
        </w:tc>
        <w:tc>
          <w:tcPr>
            <w:tcW w:type="dxa" w:w="1814"/>
          </w:tcPr>
          <w:p>
            <w:r/>
            <w:r>
              <w:rPr>
                <w:color w:val="1A1A1A"/>
                <w:sz w:val="20"/>
              </w:rPr>
              <w:t>None identified</w:t>
            </w:r>
          </w:p>
        </w:tc>
      </w:tr>
      <w:tr>
        <w:tc>
          <w:tcPr>
            <w:tcW w:type="dxa" w:w="2041"/>
            <w:shd w:val="clear" w:fill="D9E2F3"/>
          </w:tcPr>
          <w:p>
            <w:r/>
            <w:r>
              <w:rPr>
                <w:color w:val="1A1A1A"/>
                <w:sz w:val="20"/>
              </w:rPr>
              <w:t>Airframe metallics</w:t>
            </w:r>
          </w:p>
        </w:tc>
        <w:tc>
          <w:tcPr>
            <w:tcW w:type="dxa" w:w="3175"/>
            <w:shd w:val="clear" w:fill="D9E2F3"/>
          </w:tcPr>
          <w:p>
            <w:r/>
            <w:r>
              <w:rPr>
                <w:color w:val="1A1A1A"/>
                <w:sz w:val="20"/>
              </w:rPr>
              <w:t>Rio Tinto aluminium; certified European recycled titanium</w:t>
            </w:r>
          </w:p>
        </w:tc>
        <w:tc>
          <w:tcPr>
            <w:tcW w:type="dxa" w:w="2041"/>
            <w:shd w:val="clear" w:fill="D9E2F3"/>
          </w:tcPr>
          <w:p>
            <w:r/>
            <w:r>
              <w:rPr>
                <w:color w:val="1A1A1A"/>
                <w:sz w:val="20"/>
              </w:rPr>
              <w:t>Canada / France / EU</w:t>
            </w:r>
          </w:p>
        </w:tc>
        <w:tc>
          <w:tcPr>
            <w:tcW w:type="dxa" w:w="1814"/>
            <w:shd w:val="clear" w:fill="D9E2F3"/>
          </w:tcPr>
          <w:p>
            <w:r/>
            <w:r>
              <w:rPr>
                <w:color w:val="1A1A1A"/>
                <w:sz w:val="20"/>
              </w:rPr>
              <w:t>None identified</w:t>
            </w:r>
          </w:p>
        </w:tc>
      </w:tr>
      <w:tr>
        <w:tc>
          <w:tcPr>
            <w:tcW w:type="dxa" w:w="2041"/>
          </w:tcPr>
          <w:p>
            <w:r/>
            <w:r>
              <w:rPr>
                <w:color w:val="1A1A1A"/>
                <w:sz w:val="20"/>
              </w:rPr>
              <w:t>Composites</w:t>
            </w:r>
          </w:p>
        </w:tc>
        <w:tc>
          <w:tcPr>
            <w:tcW w:type="dxa" w:w="3175"/>
          </w:tcPr>
          <w:p>
            <w:r/>
            <w:r>
              <w:rPr>
                <w:color w:val="1A1A1A"/>
                <w:sz w:val="20"/>
              </w:rPr>
              <w:t>Toray carbon fibre; recycled-carbon panels</w:t>
            </w:r>
          </w:p>
        </w:tc>
        <w:tc>
          <w:tcPr>
            <w:tcW w:type="dxa" w:w="2041"/>
          </w:tcPr>
          <w:p>
            <w:r/>
            <w:r>
              <w:rPr>
                <w:color w:val="1A1A1A"/>
                <w:sz w:val="20"/>
              </w:rPr>
              <w:t>Japan / United Kingdom</w:t>
            </w:r>
          </w:p>
        </w:tc>
        <w:tc>
          <w:tcPr>
            <w:tcW w:type="dxa" w:w="1814"/>
          </w:tcPr>
          <w:p>
            <w:r/>
            <w:r>
              <w:rPr>
                <w:color w:val="1A1A1A"/>
                <w:sz w:val="20"/>
              </w:rPr>
              <w:t>None identified</w:t>
            </w:r>
          </w:p>
        </w:tc>
      </w:tr>
      <w:tr>
        <w:tc>
          <w:tcPr>
            <w:tcW w:type="dxa" w:w="2041"/>
            <w:shd w:val="clear" w:fill="D9E2F3"/>
          </w:tcPr>
          <w:p>
            <w:r/>
            <w:r>
              <w:rPr>
                <w:color w:val="1A1A1A"/>
                <w:sz w:val="20"/>
              </w:rPr>
              <w:t>Fuel inerting</w:t>
            </w:r>
          </w:p>
        </w:tc>
        <w:tc>
          <w:tcPr>
            <w:tcW w:type="dxa" w:w="3175"/>
            <w:shd w:val="clear" w:fill="D9E2F3"/>
          </w:tcPr>
          <w:p>
            <w:r/>
            <w:r>
              <w:rPr>
                <w:color w:val="1A1A1A"/>
                <w:sz w:val="20"/>
              </w:rPr>
              <w:t>Cobham-class OBIGGS</w:t>
            </w:r>
          </w:p>
        </w:tc>
        <w:tc>
          <w:tcPr>
            <w:tcW w:type="dxa" w:w="2041"/>
            <w:shd w:val="clear" w:fill="D9E2F3"/>
          </w:tcPr>
          <w:p>
            <w:r/>
            <w:r>
              <w:rPr>
                <w:color w:val="1A1A1A"/>
                <w:sz w:val="20"/>
              </w:rPr>
              <w:t>United Kingdom</w:t>
            </w:r>
          </w:p>
        </w:tc>
        <w:tc>
          <w:tcPr>
            <w:tcW w:type="dxa" w:w="1814"/>
            <w:shd w:val="clear" w:fill="D9E2F3"/>
          </w:tcPr>
          <w:p>
            <w:r/>
            <w:r>
              <w:rPr>
                <w:color w:val="1A1A1A"/>
                <w:sz w:val="20"/>
              </w:rPr>
              <w:t>None identified</w:t>
            </w:r>
          </w:p>
        </w:tc>
      </w:tr>
    </w:tbl>
    <w:p>
      <w:pPr>
        <w:jc w:val="center"/>
      </w:pPr>
      <w:r>
        <w:rPr>
          <w:i/>
          <w:sz w:val="19"/>
        </w:rPr>
        <w:t>Table 13-1. Sourcing baseline. Canadian and close-allied lines carry the bill of materials.</w:t>
      </w:r>
    </w:p>
    <w:p>
      <w:pPr>
        <w:pStyle w:val="Heading2"/>
      </w:pPr>
      <w:r>
        <w:t>13.2 United States Content Register</w:t>
      </w:r>
    </w:p>
    <w:p>
      <w:r>
        <w:rPr>
          <w:b w:val="0"/>
          <w:i w:val="0"/>
        </w:rPr>
        <w:t>The design avoids United States content wherever a credible allied alternative exists, and it registers honestly what remains. Three residual dependencies stand at CDR-80: first, selected commercial semiconductors inside the mission computer and sensor back-ends originate in United States-controlled fabrication or intellectual property, and the substitution audit for these parts runs as PV-10 with European and allied fab alternatives under qualification; second, Link 16 is a United States-origin NATO waveform, and the aircraft mitigates that dependency through the sovereign NordMesh primary link so coalition Link 16 is an interoperability option rather than the control path; third, certain machine tools and test equipment in the production line carry United States export licences, a production-side exposure that the industrial plan addresses through dual-sourcing rather than airframe redesign. The United States share of air vehicle value stands at approximately 6 percent at CDR-80 against a target below 8 percent, with the substitution audit driving it lower.</w:t>
      </w:r>
    </w:p>
    <w:p>
      <w:r>
        <w:br w:type="page"/>
      </w:r>
    </w:p>
    <w:p>
      <w:pPr>
        <w:pStyle w:val="Heading1"/>
      </w:pPr>
      <w:r>
        <w:t>14. Autonomy, Teaming, and Human Authority</w:t>
      </w:r>
    </w:p>
    <w:p>
      <w:r>
        <w:rPr>
          <w:b w:val="0"/>
          <w:i w:val="0"/>
        </w:rPr>
        <w:t>The Aurup's autonomy follows the doctrine's division of labour: the aircraft acts, the Gripen decides. The onboard collaborative agent plans routes, holds formation, manages threats, sequences sensors, and executes assigned behaviour sets against task-level commands. Edge processing runs detection, classification, and tracking onboard in the Interceptor-MR pattern, so the aircraft fights effectively inside a degraded or denied link environment. Hard launch-zone enforcement inside the combat logic prevents any engagement outside assigned constraints, addressing the autonomy-envelope vulnerability the doctrine names. Release consent passes through the human chain in every phase; on loss of all human authority, the aircraft holds its weapons and flies the lost-link ladder: hold for reacquisition, egress on the pre-briefed axis, recover at the launch base or designated road strip. On confirmed quarterback loss, the mesh elects a surviving Gripen, a deputy wingman, or the mission control element in under two seconds, and release authority passes down the same chain; PV-06 verifies the hand-off.</w:t>
      </w:r>
    </w:p>
    <w:p>
      <w:pPr>
        <w:pStyle w:val="Heading1"/>
      </w:pPr>
      <w:r>
        <w:t>15. Cost Baseline</w:t>
      </w:r>
    </w:p>
    <w:tbl>
      <w:tblPr>
        <w:tblStyle w:val="TableGrid"/>
        <w:tblW w:type="auto" w:w="0"/>
        <w:jc w:val="center"/>
        <w:tblLook w:firstColumn="1" w:firstRow="1" w:lastColumn="0" w:lastRow="0" w:noHBand="0" w:noVBand="1" w:val="04A0"/>
      </w:tblPr>
      <w:tblGrid>
        <w:gridCol w:w="3061"/>
        <w:gridCol w:w="3061"/>
        <w:gridCol w:w="3061"/>
      </w:tblGrid>
      <w:tr>
        <w:tc>
          <w:tcPr>
            <w:tcW w:type="dxa" w:w="2948"/>
            <w:shd w:val="clear" w:fill="1F3864"/>
          </w:tcPr>
          <w:p>
            <w:r/>
            <w:r>
              <w:rPr>
                <w:b/>
                <w:color w:val="FFFFFF"/>
                <w:sz w:val="20"/>
              </w:rPr>
              <w:t>Element</w:t>
            </w:r>
          </w:p>
        </w:tc>
        <w:tc>
          <w:tcPr>
            <w:tcW w:type="dxa" w:w="2948"/>
            <w:shd w:val="clear" w:fill="1F3864"/>
          </w:tcPr>
          <w:p>
            <w:r/>
            <w:r>
              <w:rPr>
                <w:b/>
                <w:color w:val="FFFFFF"/>
                <w:sz w:val="20"/>
              </w:rPr>
              <w:t>Value</w:t>
            </w:r>
          </w:p>
        </w:tc>
        <w:tc>
          <w:tcPr>
            <w:tcW w:type="dxa" w:w="3175"/>
            <w:shd w:val="clear" w:fill="1F3864"/>
          </w:tcPr>
          <w:p>
            <w:r/>
            <w:r>
              <w:rPr>
                <w:b/>
                <w:color w:val="FFFFFF"/>
                <w:sz w:val="20"/>
              </w:rPr>
              <w:t>Basis</w:t>
            </w:r>
          </w:p>
        </w:tc>
      </w:tr>
      <w:tr>
        <w:tc>
          <w:tcPr>
            <w:tcW w:type="dxa" w:w="2948"/>
          </w:tcPr>
          <w:p>
            <w:r/>
            <w:r>
              <w:rPr>
                <w:color w:val="1A1A1A"/>
                <w:sz w:val="20"/>
              </w:rPr>
              <w:t>Recurring flyaway target</w:t>
            </w:r>
          </w:p>
        </w:tc>
        <w:tc>
          <w:tcPr>
            <w:tcW w:type="dxa" w:w="2948"/>
          </w:tcPr>
          <w:p>
            <w:r/>
            <w:r>
              <w:rPr>
                <w:color w:val="1A1A1A"/>
                <w:sz w:val="20"/>
              </w:rPr>
              <w:t>US$12.4 million (approx. C$17.1 million)</w:t>
            </w:r>
          </w:p>
        </w:tc>
        <w:tc>
          <w:tcPr>
            <w:tcW w:type="dxa" w:w="3175"/>
          </w:tcPr>
          <w:p>
            <w:r/>
            <w:r>
              <w:rPr>
                <w:color w:val="1A1A1A"/>
                <w:sz w:val="20"/>
              </w:rPr>
              <w:t>Bottom-up cost roll-up, mission payload excluded</w:t>
            </w:r>
          </w:p>
        </w:tc>
      </w:tr>
      <w:tr>
        <w:tc>
          <w:tcPr>
            <w:tcW w:type="dxa" w:w="2948"/>
            <w:shd w:val="clear" w:fill="D9E2F3"/>
          </w:tcPr>
          <w:p>
            <w:r/>
            <w:r>
              <w:rPr>
                <w:color w:val="1A1A1A"/>
                <w:sz w:val="20"/>
              </w:rPr>
              <w:t>Recurring flyaway ceiling</w:t>
            </w:r>
          </w:p>
        </w:tc>
        <w:tc>
          <w:tcPr>
            <w:tcW w:type="dxa" w:w="2948"/>
            <w:shd w:val="clear" w:fill="D9E2F3"/>
          </w:tcPr>
          <w:p>
            <w:r/>
            <w:r>
              <w:rPr>
                <w:color w:val="1A1A1A"/>
                <w:sz w:val="20"/>
              </w:rPr>
              <w:t>US$14.9 million (approx. C$20.5 million)</w:t>
            </w:r>
          </w:p>
        </w:tc>
        <w:tc>
          <w:tcPr>
            <w:tcW w:type="dxa" w:w="3175"/>
            <w:shd w:val="clear" w:fill="D9E2F3"/>
          </w:tcPr>
          <w:p>
            <w:r/>
            <w:r>
              <w:rPr>
                <w:color w:val="1A1A1A"/>
                <w:sz w:val="20"/>
              </w:rPr>
              <w:t>Programme affordability gate</w:t>
            </w:r>
          </w:p>
        </w:tc>
      </w:tr>
      <w:tr>
        <w:tc>
          <w:tcPr>
            <w:tcW w:type="dxa" w:w="2948"/>
          </w:tcPr>
          <w:p>
            <w:r/>
            <w:r>
              <w:rPr>
                <w:color w:val="1A1A1A"/>
                <w:sz w:val="20"/>
              </w:rPr>
              <w:t>Cost per flying hour target</w:t>
            </w:r>
          </w:p>
        </w:tc>
        <w:tc>
          <w:tcPr>
            <w:tcW w:type="dxa" w:w="2948"/>
          </w:tcPr>
          <w:p>
            <w:r/>
            <w:r>
              <w:rPr>
                <w:color w:val="1A1A1A"/>
                <w:sz w:val="20"/>
              </w:rPr>
              <w:t>US$6,800</w:t>
            </w:r>
          </w:p>
        </w:tc>
        <w:tc>
          <w:tcPr>
            <w:tcW w:type="dxa" w:w="3175"/>
          </w:tcPr>
          <w:p>
            <w:r/>
            <w:r>
              <w:rPr>
                <w:color w:val="1A1A1A"/>
                <w:sz w:val="20"/>
              </w:rPr>
              <w:t>Single-engine fleet analogues, Arctic ops factor</w:t>
            </w:r>
          </w:p>
        </w:tc>
      </w:tr>
      <w:tr>
        <w:tc>
          <w:tcPr>
            <w:tcW w:type="dxa" w:w="2948"/>
            <w:shd w:val="clear" w:fill="D9E2F3"/>
          </w:tcPr>
          <w:p>
            <w:r/>
            <w:r>
              <w:rPr>
                <w:color w:val="1A1A1A"/>
                <w:sz w:val="20"/>
              </w:rPr>
              <w:t>Recycled-material saving</w:t>
            </w:r>
          </w:p>
        </w:tc>
        <w:tc>
          <w:tcPr>
            <w:tcW w:type="dxa" w:w="2948"/>
            <w:shd w:val="clear" w:fill="D9E2F3"/>
          </w:tcPr>
          <w:p>
            <w:r/>
            <w:r>
              <w:rPr>
                <w:color w:val="1A1A1A"/>
                <w:sz w:val="20"/>
              </w:rPr>
              <w:t>4 to 6% of airframe material cost</w:t>
            </w:r>
          </w:p>
        </w:tc>
        <w:tc>
          <w:tcPr>
            <w:tcW w:type="dxa" w:w="3175"/>
            <w:shd w:val="clear" w:fill="D9E2F3"/>
          </w:tcPr>
          <w:p>
            <w:r/>
            <w:r>
              <w:rPr>
                <w:color w:val="1A1A1A"/>
                <w:sz w:val="20"/>
              </w:rPr>
              <w:t>Section 12.2 estimate</w:t>
            </w:r>
          </w:p>
        </w:tc>
      </w:tr>
      <w:tr>
        <w:tc>
          <w:tcPr>
            <w:tcW w:type="dxa" w:w="2948"/>
          </w:tcPr>
          <w:p>
            <w:r/>
            <w:r>
              <w:rPr>
                <w:color w:val="1A1A1A"/>
                <w:sz w:val="20"/>
              </w:rPr>
              <w:t>Fleet reference</w:t>
            </w:r>
          </w:p>
        </w:tc>
        <w:tc>
          <w:tcPr>
            <w:tcW w:type="dxa" w:w="2948"/>
          </w:tcPr>
          <w:p>
            <w:r/>
            <w:r>
              <w:rPr>
                <w:color w:val="1A1A1A"/>
                <w:sz w:val="20"/>
              </w:rPr>
              <w:t>60 aircraft</w:t>
            </w:r>
          </w:p>
        </w:tc>
        <w:tc>
          <w:tcPr>
            <w:tcW w:type="dxa" w:w="3175"/>
          </w:tcPr>
          <w:p>
            <w:r/>
            <w:r>
              <w:rPr>
                <w:color w:val="1A1A1A"/>
                <w:sz w:val="20"/>
              </w:rPr>
              <w:t>Arctic Horizon force-planning factor</w:t>
            </w:r>
          </w:p>
        </w:tc>
      </w:tr>
    </w:tbl>
    <w:p>
      <w:pPr>
        <w:jc w:val="center"/>
      </w:pPr>
      <w:r>
        <w:rPr>
          <w:i/>
          <w:sz w:val="19"/>
        </w:rPr>
        <w:t>Table 15-1. Cost baseline. Mission payload and weapons excluded from flyaway figures.</w:t>
      </w:r>
    </w:p>
    <w:p>
      <w:r>
        <w:rPr>
          <w:b w:val="0"/>
          <w:i w:val="0"/>
        </w:rPr>
        <w:t>Three disciplines hold the cost line. First, existing technology: an in-service engine, proven sensor lines, and certified recycled-metal streams avoid development premiums. Second, attrition-aware economics: at roughly one-seventh of the Arctic Gripen E's normalized unit cost, the Aurup preserves the doctrine's exchange logic, expensive enough to survive, cheap enough to risk where the mission value justifies it, between the Sprinter's attritable price point and the manned fighter's capital class. Third, industrial speed: the composite-dominant, modular airframe assembles on the same eight-week drone flow the doctrine assumes for the uncrewed fleet, so combat losses regenerate at industrial tempo.</w:t>
      </w:r>
    </w:p>
    <w:p>
      <w:pPr>
        <w:pStyle w:val="Heading1"/>
      </w:pPr>
      <w:r>
        <w:t>16. Engineering Closure Matrix</w:t>
      </w:r>
    </w:p>
    <w:tbl>
      <w:tblPr>
        <w:tblStyle w:val="TableGrid"/>
        <w:tblW w:type="auto" w:w="0"/>
        <w:jc w:val="center"/>
        <w:tblLook w:firstColumn="1" w:firstRow="1" w:lastColumn="0" w:lastRow="0" w:noHBand="0" w:noVBand="1" w:val="04A0"/>
      </w:tblPr>
      <w:tblGrid>
        <w:gridCol w:w="3061"/>
        <w:gridCol w:w="3061"/>
        <w:gridCol w:w="3061"/>
      </w:tblGrid>
      <w:tr>
        <w:tc>
          <w:tcPr>
            <w:tcW w:type="dxa" w:w="3175"/>
            <w:shd w:val="clear" w:fill="1F3864"/>
          </w:tcPr>
          <w:p>
            <w:r/>
            <w:r>
              <w:rPr>
                <w:b/>
                <w:color w:val="FFFFFF"/>
                <w:sz w:val="20"/>
              </w:rPr>
              <w:t>Parameter</w:t>
            </w:r>
          </w:p>
        </w:tc>
        <w:tc>
          <w:tcPr>
            <w:tcW w:type="dxa" w:w="3742"/>
            <w:shd w:val="clear" w:fill="1F3864"/>
          </w:tcPr>
          <w:p>
            <w:r/>
            <w:r>
              <w:rPr>
                <w:b/>
                <w:color w:val="FFFFFF"/>
                <w:sz w:val="20"/>
              </w:rPr>
              <w:t>Closure method</w:t>
            </w:r>
          </w:p>
        </w:tc>
        <w:tc>
          <w:tcPr>
            <w:tcW w:type="dxa" w:w="2154"/>
            <w:shd w:val="clear" w:fill="1F3864"/>
          </w:tcPr>
          <w:p>
            <w:r/>
            <w:r>
              <w:rPr>
                <w:b/>
                <w:color w:val="FFFFFF"/>
                <w:sz w:val="20"/>
              </w:rPr>
              <w:t>Status</w:t>
            </w:r>
          </w:p>
        </w:tc>
      </w:tr>
      <w:tr>
        <w:tc>
          <w:tcPr>
            <w:tcW w:type="dxa" w:w="3175"/>
          </w:tcPr>
          <w:p>
            <w:r/>
            <w:r>
              <w:rPr>
                <w:color w:val="1A1A1A"/>
                <w:sz w:val="20"/>
              </w:rPr>
              <w:t>Mass budget and MTOW 8,750 kg</w:t>
            </w:r>
          </w:p>
        </w:tc>
        <w:tc>
          <w:tcPr>
            <w:tcW w:type="dxa" w:w="3742"/>
          </w:tcPr>
          <w:p>
            <w:r/>
            <w:r>
              <w:rPr>
                <w:color w:val="1A1A1A"/>
                <w:sz w:val="20"/>
              </w:rPr>
              <w:t>Group roll-up with 8% growth allowance; growth case holds T/W at 1.00</w:t>
            </w:r>
          </w:p>
        </w:tc>
        <w:tc>
          <w:tcPr>
            <w:tcW w:type="dxa" w:w="2154"/>
          </w:tcPr>
          <w:p>
            <w:r/>
            <w:r>
              <w:rPr>
                <w:color w:val="1A1A1A"/>
                <w:sz w:val="20"/>
              </w:rPr>
              <w:t>Closed</w:t>
            </w:r>
          </w:p>
        </w:tc>
      </w:tr>
      <w:tr>
        <w:tc>
          <w:tcPr>
            <w:tcW w:type="dxa" w:w="3175"/>
            <w:shd w:val="clear" w:fill="D9E2F3"/>
          </w:tcPr>
          <w:p>
            <w:r/>
            <w:r>
              <w:rPr>
                <w:color w:val="1A1A1A"/>
                <w:sz w:val="20"/>
              </w:rPr>
              <w:t>Thrust-to-weight 1.05 at MTOW, 1.27 combat</w:t>
            </w:r>
          </w:p>
        </w:tc>
        <w:tc>
          <w:tcPr>
            <w:tcW w:type="dxa" w:w="3742"/>
            <w:shd w:val="clear" w:fill="D9E2F3"/>
          </w:tcPr>
          <w:p>
            <w:r/>
            <w:r>
              <w:rPr>
                <w:color w:val="1A1A1A"/>
                <w:sz w:val="20"/>
              </w:rPr>
              <w:t>EJ200 published ratings vs mass budget</w:t>
            </w:r>
          </w:p>
        </w:tc>
        <w:tc>
          <w:tcPr>
            <w:tcW w:type="dxa" w:w="2154"/>
            <w:shd w:val="clear" w:fill="D9E2F3"/>
          </w:tcPr>
          <w:p>
            <w:r/>
            <w:r>
              <w:rPr>
                <w:color w:val="1A1A1A"/>
                <w:sz w:val="20"/>
              </w:rPr>
              <w:t>Closed</w:t>
            </w:r>
          </w:p>
        </w:tc>
      </w:tr>
      <w:tr>
        <w:tc>
          <w:tcPr>
            <w:tcW w:type="dxa" w:w="3175"/>
          </w:tcPr>
          <w:p>
            <w:r/>
            <w:r>
              <w:rPr>
                <w:color w:val="1A1A1A"/>
                <w:sz w:val="20"/>
              </w:rPr>
              <w:t>Wing loading 208 kg/m2 MTOW, 173 combat</w:t>
            </w:r>
          </w:p>
        </w:tc>
        <w:tc>
          <w:tcPr>
            <w:tcW w:type="dxa" w:w="3742"/>
          </w:tcPr>
          <w:p>
            <w:r/>
            <w:r>
              <w:rPr>
                <w:color w:val="1A1A1A"/>
                <w:sz w:val="20"/>
              </w:rPr>
              <w:t>Geometry vs mass budget</w:t>
            </w:r>
          </w:p>
        </w:tc>
        <w:tc>
          <w:tcPr>
            <w:tcW w:type="dxa" w:w="2154"/>
          </w:tcPr>
          <w:p>
            <w:r/>
            <w:r>
              <w:rPr>
                <w:color w:val="1A1A1A"/>
                <w:sz w:val="20"/>
              </w:rPr>
              <w:t>Closed</w:t>
            </w:r>
          </w:p>
        </w:tc>
      </w:tr>
      <w:tr>
        <w:tc>
          <w:tcPr>
            <w:tcW w:type="dxa" w:w="3175"/>
            <w:shd w:val="clear" w:fill="D9E2F3"/>
          </w:tcPr>
          <w:p>
            <w:r/>
            <w:r>
              <w:rPr>
                <w:color w:val="1A1A1A"/>
                <w:sz w:val="20"/>
              </w:rPr>
              <w:t>Supercruise Mach 1.25 dry</w:t>
            </w:r>
          </w:p>
        </w:tc>
        <w:tc>
          <w:tcPr>
            <w:tcW w:type="dxa" w:w="3742"/>
            <w:shd w:val="clear" w:fill="D9E2F3"/>
          </w:tcPr>
          <w:p>
            <w:r/>
            <w:r>
              <w:rPr>
                <w:color w:val="1A1A1A"/>
                <w:sz w:val="20"/>
              </w:rPr>
              <w:t>Dry thrust vs computational drag polar</w:t>
            </w:r>
          </w:p>
        </w:tc>
        <w:tc>
          <w:tcPr>
            <w:tcW w:type="dxa" w:w="2154"/>
            <w:shd w:val="clear" w:fill="D9E2F3"/>
          </w:tcPr>
          <w:p>
            <w:r/>
            <w:r>
              <w:rPr>
                <w:color w:val="1A1A1A"/>
                <w:sz w:val="20"/>
              </w:rPr>
              <w:t>Closed at threshold; objective PV-01</w:t>
            </w:r>
          </w:p>
        </w:tc>
      </w:tr>
      <w:tr>
        <w:tc>
          <w:tcPr>
            <w:tcW w:type="dxa" w:w="3175"/>
          </w:tcPr>
          <w:p>
            <w:r/>
            <w:r>
              <w:rPr>
                <w:color w:val="1A1A1A"/>
                <w:sz w:val="20"/>
              </w:rPr>
              <w:t>Dash Mach 1.60, 10 min</w:t>
            </w:r>
          </w:p>
        </w:tc>
        <w:tc>
          <w:tcPr>
            <w:tcW w:type="dxa" w:w="3742"/>
          </w:tcPr>
          <w:p>
            <w:r/>
            <w:r>
              <w:rPr>
                <w:color w:val="1A1A1A"/>
                <w:sz w:val="20"/>
              </w:rPr>
              <w:t>AB fuel flow vs mission budget (460 kg)</w:t>
            </w:r>
          </w:p>
        </w:tc>
        <w:tc>
          <w:tcPr>
            <w:tcW w:type="dxa" w:w="2154"/>
          </w:tcPr>
          <w:p>
            <w:r/>
            <w:r>
              <w:rPr>
                <w:color w:val="1A1A1A"/>
                <w:sz w:val="20"/>
              </w:rPr>
              <w:t>Closed on fuel; polar PV-01</w:t>
            </w:r>
          </w:p>
        </w:tc>
      </w:tr>
      <w:tr>
        <w:tc>
          <w:tcPr>
            <w:tcW w:type="dxa" w:w="3175"/>
            <w:shd w:val="clear" w:fill="D9E2F3"/>
          </w:tcPr>
          <w:p>
            <w:r/>
            <w:r>
              <w:rPr>
                <w:color w:val="1A1A1A"/>
                <w:sz w:val="20"/>
              </w:rPr>
              <w:t>Combat radius 620 to 740 nm</w:t>
            </w:r>
          </w:p>
        </w:tc>
        <w:tc>
          <w:tcPr>
            <w:tcW w:type="dxa" w:w="3742"/>
            <w:shd w:val="clear" w:fill="D9E2F3"/>
          </w:tcPr>
          <w:p>
            <w:r/>
            <w:r>
              <w:rPr>
                <w:color w:val="1A1A1A"/>
                <w:sz w:val="20"/>
              </w:rPr>
              <w:t>Breguet closure vs 600 nm threshold</w:t>
            </w:r>
          </w:p>
        </w:tc>
        <w:tc>
          <w:tcPr>
            <w:tcW w:type="dxa" w:w="2154"/>
            <w:shd w:val="clear" w:fill="D9E2F3"/>
          </w:tcPr>
          <w:p>
            <w:r/>
            <w:r>
              <w:rPr>
                <w:color w:val="1A1A1A"/>
                <w:sz w:val="20"/>
              </w:rPr>
              <w:t>Closed</w:t>
            </w:r>
          </w:p>
        </w:tc>
      </w:tr>
      <w:tr>
        <w:tc>
          <w:tcPr>
            <w:tcW w:type="dxa" w:w="3175"/>
          </w:tcPr>
          <w:p>
            <w:r/>
            <w:r>
              <w:rPr>
                <w:color w:val="1A1A1A"/>
                <w:sz w:val="20"/>
              </w:rPr>
              <w:t>Landing approach 95 kt class</w:t>
            </w:r>
          </w:p>
        </w:tc>
        <w:tc>
          <w:tcPr>
            <w:tcW w:type="dxa" w:w="3742"/>
          </w:tcPr>
          <w:p>
            <w:r/>
            <w:r>
              <w:rPr>
                <w:color w:val="1A1A1A"/>
                <w:sz w:val="20"/>
              </w:rPr>
              <w:t>Stall closure 68 kt at landing weight</w:t>
            </w:r>
          </w:p>
        </w:tc>
        <w:tc>
          <w:tcPr>
            <w:tcW w:type="dxa" w:w="2154"/>
          </w:tcPr>
          <w:p>
            <w:r/>
            <w:r>
              <w:rPr>
                <w:color w:val="1A1A1A"/>
                <w:sz w:val="20"/>
              </w:rPr>
              <w:t>Closed; handling PV-09</w:t>
            </w:r>
          </w:p>
        </w:tc>
      </w:tr>
      <w:tr>
        <w:tc>
          <w:tcPr>
            <w:tcW w:type="dxa" w:w="3175"/>
            <w:shd w:val="clear" w:fill="D9E2F3"/>
          </w:tcPr>
          <w:p>
            <w:r/>
            <w:r>
              <w:rPr>
                <w:color w:val="1A1A1A"/>
                <w:sz w:val="20"/>
              </w:rPr>
              <w:t>Weapons bay fit (Meteor, SPEAR 3, AASM, IRIS-T)</w:t>
            </w:r>
          </w:p>
        </w:tc>
        <w:tc>
          <w:tcPr>
            <w:tcW w:type="dxa" w:w="3742"/>
            <w:shd w:val="clear" w:fill="D9E2F3"/>
          </w:tcPr>
          <w:p>
            <w:r/>
            <w:r>
              <w:rPr>
                <w:color w:val="1A1A1A"/>
                <w:sz w:val="20"/>
              </w:rPr>
              <w:t>Published weapon dimensions vs bay geometry</w:t>
            </w:r>
          </w:p>
        </w:tc>
        <w:tc>
          <w:tcPr>
            <w:tcW w:type="dxa" w:w="2154"/>
            <w:shd w:val="clear" w:fill="D9E2F3"/>
          </w:tcPr>
          <w:p>
            <w:r/>
            <w:r>
              <w:rPr>
                <w:color w:val="1A1A1A"/>
                <w:sz w:val="20"/>
              </w:rPr>
              <w:t>Closed on fit; separation PV-03</w:t>
            </w:r>
          </w:p>
        </w:tc>
      </w:tr>
      <w:tr>
        <w:tc>
          <w:tcPr>
            <w:tcW w:type="dxa" w:w="3175"/>
          </w:tcPr>
          <w:p>
            <w:r/>
            <w:r>
              <w:rPr>
                <w:color w:val="1A1A1A"/>
                <w:sz w:val="20"/>
              </w:rPr>
              <w:t>Magazine mass 850 kg max internal</w:t>
            </w:r>
          </w:p>
        </w:tc>
        <w:tc>
          <w:tcPr>
            <w:tcW w:type="dxa" w:w="3742"/>
          </w:tcPr>
          <w:p>
            <w:r/>
            <w:r>
              <w:rPr>
                <w:color w:val="1A1A1A"/>
                <w:sz w:val="20"/>
              </w:rPr>
              <w:t>Loadout audit vs bay rating 900 kg total</w:t>
            </w:r>
          </w:p>
        </w:tc>
        <w:tc>
          <w:tcPr>
            <w:tcW w:type="dxa" w:w="2154"/>
          </w:tcPr>
          <w:p>
            <w:r/>
            <w:r>
              <w:rPr>
                <w:color w:val="1A1A1A"/>
                <w:sz w:val="20"/>
              </w:rPr>
              <w:t>Closed</w:t>
            </w:r>
          </w:p>
        </w:tc>
      </w:tr>
      <w:tr>
        <w:tc>
          <w:tcPr>
            <w:tcW w:type="dxa" w:w="3175"/>
            <w:shd w:val="clear" w:fill="D9E2F3"/>
          </w:tcPr>
          <w:p>
            <w:r/>
            <w:r>
              <w:rPr>
                <w:color w:val="1A1A1A"/>
                <w:sz w:val="20"/>
              </w:rPr>
              <w:t>Frontal signature allocation minus 20 dBsm class</w:t>
            </w:r>
          </w:p>
        </w:tc>
        <w:tc>
          <w:tcPr>
            <w:tcW w:type="dxa" w:w="3742"/>
            <w:shd w:val="clear" w:fill="D9E2F3"/>
          </w:tcPr>
          <w:p>
            <w:r/>
            <w:r>
              <w:rPr>
                <w:color w:val="1A1A1A"/>
                <w:sz w:val="20"/>
              </w:rPr>
              <w:t>Shaping and material allocation</w:t>
            </w:r>
          </w:p>
        </w:tc>
        <w:tc>
          <w:tcPr>
            <w:tcW w:type="dxa" w:w="2154"/>
            <w:shd w:val="clear" w:fill="D9E2F3"/>
          </w:tcPr>
          <w:p>
            <w:r/>
            <w:r>
              <w:rPr>
                <w:color w:val="1A1A1A"/>
                <w:sz w:val="20"/>
              </w:rPr>
              <w:t>Allocation set; measurement PV-02</w:t>
            </w:r>
          </w:p>
        </w:tc>
      </w:tr>
      <w:tr>
        <w:tc>
          <w:tcPr>
            <w:tcW w:type="dxa" w:w="3175"/>
          </w:tcPr>
          <w:p>
            <w:r/>
            <w:r>
              <w:rPr>
                <w:color w:val="1A1A1A"/>
                <w:sz w:val="20"/>
              </w:rPr>
              <w:t>Cold soak minus 40 C first start 95%</w:t>
            </w:r>
          </w:p>
        </w:tc>
        <w:tc>
          <w:tcPr>
            <w:tcW w:type="dxa" w:w="3742"/>
          </w:tcPr>
          <w:p>
            <w:r/>
            <w:r>
              <w:rPr>
                <w:color w:val="1A1A1A"/>
                <w:sz w:val="20"/>
              </w:rPr>
              <w:t>Component bench pedigree</w:t>
            </w:r>
          </w:p>
        </w:tc>
        <w:tc>
          <w:tcPr>
            <w:tcW w:type="dxa" w:w="2154"/>
          </w:tcPr>
          <w:p>
            <w:r/>
            <w:r>
              <w:rPr>
                <w:color w:val="1A1A1A"/>
                <w:sz w:val="20"/>
              </w:rPr>
              <w:t>System-level PV-04</w:t>
            </w:r>
          </w:p>
        </w:tc>
      </w:tr>
      <w:tr>
        <w:tc>
          <w:tcPr>
            <w:tcW w:type="dxa" w:w="3175"/>
            <w:shd w:val="clear" w:fill="D9E2F3"/>
          </w:tcPr>
          <w:p>
            <w:r/>
            <w:r>
              <w:rPr>
                <w:color w:val="1A1A1A"/>
                <w:sz w:val="20"/>
              </w:rPr>
              <w:t>Recycled titanium equivalency</w:t>
            </w:r>
          </w:p>
        </w:tc>
        <w:tc>
          <w:tcPr>
            <w:tcW w:type="dxa" w:w="3742"/>
            <w:shd w:val="clear" w:fill="D9E2F3"/>
          </w:tcPr>
          <w:p>
            <w:r/>
            <w:r>
              <w:rPr>
                <w:color w:val="1A1A1A"/>
                <w:sz w:val="20"/>
              </w:rPr>
              <w:t>Certified stream traceability</w:t>
            </w:r>
          </w:p>
        </w:tc>
        <w:tc>
          <w:tcPr>
            <w:tcW w:type="dxa" w:w="2154"/>
            <w:shd w:val="clear" w:fill="D9E2F3"/>
          </w:tcPr>
          <w:p>
            <w:r/>
            <w:r>
              <w:rPr>
                <w:color w:val="1A1A1A"/>
                <w:sz w:val="20"/>
              </w:rPr>
              <w:t>Primary-fitting fatigue PV-05</w:t>
            </w:r>
          </w:p>
        </w:tc>
      </w:tr>
      <w:tr>
        <w:tc>
          <w:tcPr>
            <w:tcW w:type="dxa" w:w="3175"/>
          </w:tcPr>
          <w:p>
            <w:r/>
            <w:r>
              <w:rPr>
                <w:color w:val="1A1A1A"/>
                <w:sz w:val="20"/>
              </w:rPr>
              <w:t>Mesh hand-off under 2 s</w:t>
            </w:r>
          </w:p>
        </w:tc>
        <w:tc>
          <w:tcPr>
            <w:tcW w:type="dxa" w:w="3742"/>
          </w:tcPr>
          <w:p>
            <w:r/>
            <w:r>
              <w:rPr>
                <w:color w:val="1A1A1A"/>
                <w:sz w:val="20"/>
              </w:rPr>
              <w:t>Architecture aligned to doctrine V-AV-04</w:t>
            </w:r>
          </w:p>
        </w:tc>
        <w:tc>
          <w:tcPr>
            <w:tcW w:type="dxa" w:w="2154"/>
          </w:tcPr>
          <w:p>
            <w:r/>
            <w:r>
              <w:rPr>
                <w:color w:val="1A1A1A"/>
                <w:sz w:val="20"/>
              </w:rPr>
              <w:t>PV-06</w:t>
            </w:r>
          </w:p>
        </w:tc>
      </w:tr>
      <w:tr>
        <w:tc>
          <w:tcPr>
            <w:tcW w:type="dxa" w:w="3175"/>
            <w:shd w:val="clear" w:fill="D9E2F3"/>
          </w:tcPr>
          <w:p>
            <w:r/>
            <w:r>
              <w:rPr>
                <w:color w:val="1A1A1A"/>
                <w:sz w:val="20"/>
              </w:rPr>
              <w:t>US content below 8% of value</w:t>
            </w:r>
          </w:p>
        </w:tc>
        <w:tc>
          <w:tcPr>
            <w:tcW w:type="dxa" w:w="3742"/>
            <w:shd w:val="clear" w:fill="D9E2F3"/>
          </w:tcPr>
          <w:p>
            <w:r/>
            <w:r>
              <w:rPr>
                <w:color w:val="1A1A1A"/>
                <w:sz w:val="20"/>
              </w:rPr>
              <w:t>Bill-of-materials audit</w:t>
            </w:r>
          </w:p>
        </w:tc>
        <w:tc>
          <w:tcPr>
            <w:tcW w:type="dxa" w:w="2154"/>
            <w:shd w:val="clear" w:fill="D9E2F3"/>
          </w:tcPr>
          <w:p>
            <w:r/>
            <w:r>
              <w:rPr>
                <w:color w:val="1A1A1A"/>
                <w:sz w:val="20"/>
              </w:rPr>
              <w:t>6% at CDR-80; substitution PV-10</w:t>
            </w:r>
          </w:p>
        </w:tc>
      </w:tr>
      <w:tr>
        <w:tc>
          <w:tcPr>
            <w:tcW w:type="dxa" w:w="3175"/>
          </w:tcPr>
          <w:p>
            <w:r/>
            <w:r>
              <w:rPr>
                <w:color w:val="1A1A1A"/>
                <w:sz w:val="20"/>
              </w:rPr>
              <w:t>Flyaway US$12.4M target</w:t>
            </w:r>
          </w:p>
        </w:tc>
        <w:tc>
          <w:tcPr>
            <w:tcW w:type="dxa" w:w="3742"/>
          </w:tcPr>
          <w:p>
            <w:r/>
            <w:r>
              <w:rPr>
                <w:color w:val="1A1A1A"/>
                <w:sz w:val="20"/>
              </w:rPr>
              <w:t>Bottom-up cost roll-up</w:t>
            </w:r>
          </w:p>
        </w:tc>
        <w:tc>
          <w:tcPr>
            <w:tcW w:type="dxa" w:w="2154"/>
          </w:tcPr>
          <w:p>
            <w:r/>
            <w:r>
              <w:rPr>
                <w:color w:val="1A1A1A"/>
                <w:sz w:val="20"/>
              </w:rPr>
              <w:t>Estimate; contract cost audit follows CDR</w:t>
            </w:r>
          </w:p>
        </w:tc>
      </w:tr>
    </w:tbl>
    <w:p>
      <w:pPr>
        <w:jc w:val="center"/>
      </w:pPr>
      <w:r>
        <w:rPr>
          <w:i/>
          <w:sz w:val="19"/>
        </w:rPr>
        <w:t>Table 16-1. Closure matrix. Closed items rest on analysis traceable to this document; PV items carry named verification events.</w:t>
      </w:r>
    </w:p>
    <w:p>
      <w:r>
        <w:br w:type="page"/>
      </w:r>
    </w:p>
    <w:p>
      <w:pPr>
        <w:pStyle w:val="Heading1"/>
      </w:pPr>
      <w:r>
        <w:t>17. Pending Validation Register</w:t>
      </w:r>
    </w:p>
    <w:p>
      <w:r>
        <w:rPr>
          <w:b w:val="0"/>
          <w:i w:val="0"/>
        </w:rPr>
        <w:t>The following items do not close at CDR-80. Each carries a named verification event, and none blocks the baseline: the design closes on conservative values, and each pending item governs margin recovery rather than feasibility.</w:t>
      </w:r>
    </w:p>
    <w:tbl>
      <w:tblPr>
        <w:tblStyle w:val="TableGrid"/>
        <w:tblW w:type="auto" w:w="0"/>
        <w:jc w:val="center"/>
        <w:tblLook w:firstColumn="1" w:firstRow="1" w:lastColumn="0" w:lastRow="0" w:noHBand="0" w:noVBand="1" w:val="04A0"/>
      </w:tblPr>
      <w:tblGrid>
        <w:gridCol w:w="2296"/>
        <w:gridCol w:w="2296"/>
        <w:gridCol w:w="2296"/>
        <w:gridCol w:w="2296"/>
      </w:tblGrid>
      <w:tr>
        <w:tc>
          <w:tcPr>
            <w:tcW w:type="dxa" w:w="907"/>
            <w:shd w:val="clear" w:fill="1F3864"/>
          </w:tcPr>
          <w:p>
            <w:r/>
            <w:r>
              <w:rPr>
                <w:b/>
                <w:color w:val="FFFFFF"/>
                <w:sz w:val="20"/>
              </w:rPr>
              <w:t>ID</w:t>
            </w:r>
          </w:p>
        </w:tc>
        <w:tc>
          <w:tcPr>
            <w:tcW w:type="dxa" w:w="3061"/>
            <w:shd w:val="clear" w:fill="1F3864"/>
          </w:tcPr>
          <w:p>
            <w:r/>
            <w:r>
              <w:rPr>
                <w:b/>
                <w:color w:val="FFFFFF"/>
                <w:sz w:val="20"/>
              </w:rPr>
              <w:t>Item</w:t>
            </w:r>
          </w:p>
        </w:tc>
        <w:tc>
          <w:tcPr>
            <w:tcW w:type="dxa" w:w="2721"/>
            <w:shd w:val="clear" w:fill="1F3864"/>
          </w:tcPr>
          <w:p>
            <w:r/>
            <w:r>
              <w:rPr>
                <w:b/>
                <w:color w:val="FFFFFF"/>
                <w:sz w:val="20"/>
              </w:rPr>
              <w:t>Verification event</w:t>
            </w:r>
          </w:p>
        </w:tc>
        <w:tc>
          <w:tcPr>
            <w:tcW w:type="dxa" w:w="2608"/>
            <w:shd w:val="clear" w:fill="1F3864"/>
          </w:tcPr>
          <w:p>
            <w:r/>
            <w:r>
              <w:rPr>
                <w:b/>
                <w:color w:val="FFFFFF"/>
                <w:sz w:val="20"/>
              </w:rPr>
              <w:t>Consequence if adverse</w:t>
            </w:r>
          </w:p>
        </w:tc>
      </w:tr>
      <w:tr>
        <w:tc>
          <w:tcPr>
            <w:tcW w:type="dxa" w:w="907"/>
          </w:tcPr>
          <w:p>
            <w:r/>
            <w:r>
              <w:rPr>
                <w:color w:val="1A1A1A"/>
                <w:sz w:val="20"/>
              </w:rPr>
              <w:t>PV-01</w:t>
            </w:r>
          </w:p>
        </w:tc>
        <w:tc>
          <w:tcPr>
            <w:tcW w:type="dxa" w:w="3061"/>
          </w:tcPr>
          <w:p>
            <w:r/>
            <w:r>
              <w:rPr>
                <w:color w:val="1A1A1A"/>
                <w:sz w:val="20"/>
              </w:rPr>
              <w:t>Transonic drag polar; supercruise above Mach 1.25; MMO thermal limits</w:t>
            </w:r>
          </w:p>
        </w:tc>
        <w:tc>
          <w:tcPr>
            <w:tcW w:type="dxa" w:w="2721"/>
          </w:tcPr>
          <w:p>
            <w:r/>
            <w:r>
              <w:rPr>
                <w:color w:val="1A1A1A"/>
                <w:sz w:val="20"/>
              </w:rPr>
              <w:t>Wind-tunnel campaign, transonic and supersonic blocks</w:t>
            </w:r>
          </w:p>
        </w:tc>
        <w:tc>
          <w:tcPr>
            <w:tcW w:type="dxa" w:w="2608"/>
          </w:tcPr>
          <w:p>
            <w:r/>
            <w:r>
              <w:rPr>
                <w:color w:val="1A1A1A"/>
                <w:sz w:val="20"/>
              </w:rPr>
              <w:t>Supercruise objective falls to threshold; dash time shortens</w:t>
            </w:r>
          </w:p>
        </w:tc>
      </w:tr>
      <w:tr>
        <w:tc>
          <w:tcPr>
            <w:tcW w:type="dxa" w:w="907"/>
            <w:shd w:val="clear" w:fill="D9E2F3"/>
          </w:tcPr>
          <w:p>
            <w:r/>
            <w:r>
              <w:rPr>
                <w:color w:val="1A1A1A"/>
                <w:sz w:val="20"/>
              </w:rPr>
              <w:t>PV-02</w:t>
            </w:r>
          </w:p>
        </w:tc>
        <w:tc>
          <w:tcPr>
            <w:tcW w:type="dxa" w:w="3061"/>
            <w:shd w:val="clear" w:fill="D9E2F3"/>
          </w:tcPr>
          <w:p>
            <w:r/>
            <w:r>
              <w:rPr>
                <w:color w:val="1A1A1A"/>
                <w:sz w:val="20"/>
              </w:rPr>
              <w:t>Frontal-sector RCS allocation, minus 20 dBsm class</w:t>
            </w:r>
          </w:p>
        </w:tc>
        <w:tc>
          <w:tcPr>
            <w:tcW w:type="dxa" w:w="2721"/>
            <w:shd w:val="clear" w:fill="D9E2F3"/>
          </w:tcPr>
          <w:p>
            <w:r/>
            <w:r>
              <w:rPr>
                <w:color w:val="1A1A1A"/>
                <w:sz w:val="20"/>
              </w:rPr>
              <w:t>Full-scale pole measurement, X and Ku bands</w:t>
            </w:r>
          </w:p>
        </w:tc>
        <w:tc>
          <w:tcPr>
            <w:tcW w:type="dxa" w:w="2608"/>
            <w:shd w:val="clear" w:fill="D9E2F3"/>
          </w:tcPr>
          <w:p>
            <w:r/>
            <w:r>
              <w:rPr>
                <w:color w:val="1A1A1A"/>
                <w:sz w:val="20"/>
              </w:rPr>
              <w:t>RAM treatment iteration; no configuration change expected</w:t>
            </w:r>
          </w:p>
        </w:tc>
      </w:tr>
      <w:tr>
        <w:tc>
          <w:tcPr>
            <w:tcW w:type="dxa" w:w="907"/>
          </w:tcPr>
          <w:p>
            <w:r/>
            <w:r>
              <w:rPr>
                <w:color w:val="1A1A1A"/>
                <w:sz w:val="20"/>
              </w:rPr>
              <w:t>PV-03</w:t>
            </w:r>
          </w:p>
        </w:tc>
        <w:tc>
          <w:tcPr>
            <w:tcW w:type="dxa" w:w="3061"/>
          </w:tcPr>
          <w:p>
            <w:r/>
            <w:r>
              <w:rPr>
                <w:color w:val="1A1A1A"/>
                <w:sz w:val="20"/>
              </w:rPr>
              <w:t>Bay separation at Mach 1.2, all baseline stores</w:t>
            </w:r>
          </w:p>
        </w:tc>
        <w:tc>
          <w:tcPr>
            <w:tcW w:type="dxa" w:w="2721"/>
          </w:tcPr>
          <w:p>
            <w:r/>
            <w:r>
              <w:rPr>
                <w:color w:val="1A1A1A"/>
                <w:sz w:val="20"/>
              </w:rPr>
              <w:t>Captive-carry and instrumented release trials</w:t>
            </w:r>
          </w:p>
        </w:tc>
        <w:tc>
          <w:tcPr>
            <w:tcW w:type="dxa" w:w="2608"/>
          </w:tcPr>
          <w:p>
            <w:r/>
            <w:r>
              <w:rPr>
                <w:color w:val="1A1A1A"/>
                <w:sz w:val="20"/>
              </w:rPr>
              <w:t>Release envelope restriction pending ejector tuning</w:t>
            </w:r>
          </w:p>
        </w:tc>
      </w:tr>
      <w:tr>
        <w:tc>
          <w:tcPr>
            <w:tcW w:type="dxa" w:w="907"/>
            <w:shd w:val="clear" w:fill="D9E2F3"/>
          </w:tcPr>
          <w:p>
            <w:r/>
            <w:r>
              <w:rPr>
                <w:color w:val="1A1A1A"/>
                <w:sz w:val="20"/>
              </w:rPr>
              <w:t>PV-04</w:t>
            </w:r>
          </w:p>
        </w:tc>
        <w:tc>
          <w:tcPr>
            <w:tcW w:type="dxa" w:w="3061"/>
            <w:shd w:val="clear" w:fill="D9E2F3"/>
          </w:tcPr>
          <w:p>
            <w:r/>
            <w:r>
              <w:rPr>
                <w:color w:val="1A1A1A"/>
                <w:sz w:val="20"/>
              </w:rPr>
              <w:t>12-hour minus 40 C cold-soak first start at 95% reliability; minus 55 C survival</w:t>
            </w:r>
          </w:p>
        </w:tc>
        <w:tc>
          <w:tcPr>
            <w:tcW w:type="dxa" w:w="2721"/>
            <w:shd w:val="clear" w:fill="D9E2F3"/>
          </w:tcPr>
          <w:p>
            <w:r/>
            <w:r>
              <w:rPr>
                <w:color w:val="1A1A1A"/>
                <w:sz w:val="20"/>
              </w:rPr>
              <w:t>Climatic chamber programme on engine and air vehicle rig</w:t>
            </w:r>
          </w:p>
        </w:tc>
        <w:tc>
          <w:tcPr>
            <w:tcW w:type="dxa" w:w="2608"/>
            <w:shd w:val="clear" w:fill="D9E2F3"/>
          </w:tcPr>
          <w:p>
            <w:r/>
            <w:r>
              <w:rPr>
                <w:color w:val="1A1A1A"/>
                <w:sz w:val="20"/>
              </w:rPr>
              <w:t>Preheat time lengthens; alert posture holds with ground power</w:t>
            </w:r>
          </w:p>
        </w:tc>
      </w:tr>
      <w:tr>
        <w:tc>
          <w:tcPr>
            <w:tcW w:type="dxa" w:w="907"/>
          </w:tcPr>
          <w:p>
            <w:r/>
            <w:r>
              <w:rPr>
                <w:color w:val="1A1A1A"/>
                <w:sz w:val="20"/>
              </w:rPr>
              <w:t>PV-05</w:t>
            </w:r>
          </w:p>
        </w:tc>
        <w:tc>
          <w:tcPr>
            <w:tcW w:type="dxa" w:w="3061"/>
          </w:tcPr>
          <w:p>
            <w:r/>
            <w:r>
              <w:rPr>
                <w:color w:val="1A1A1A"/>
                <w:sz w:val="20"/>
              </w:rPr>
              <w:t>Recycled titanium primary-fitting fatigue equivalency</w:t>
            </w:r>
          </w:p>
        </w:tc>
        <w:tc>
          <w:tcPr>
            <w:tcW w:type="dxa" w:w="2721"/>
          </w:tcPr>
          <w:p>
            <w:r/>
            <w:r>
              <w:rPr>
                <w:color w:val="1A1A1A"/>
                <w:sz w:val="20"/>
              </w:rPr>
              <w:t>Coupon-to-component fatigue pyramid</w:t>
            </w:r>
          </w:p>
        </w:tc>
        <w:tc>
          <w:tcPr>
            <w:tcW w:type="dxa" w:w="2608"/>
          </w:tcPr>
          <w:p>
            <w:r/>
            <w:r>
              <w:rPr>
                <w:color w:val="1A1A1A"/>
                <w:sz w:val="20"/>
              </w:rPr>
              <w:t>Virgin titanium substitution at +0.4% material cost</w:t>
            </w:r>
          </w:p>
        </w:tc>
      </w:tr>
      <w:tr>
        <w:tc>
          <w:tcPr>
            <w:tcW w:type="dxa" w:w="907"/>
            <w:shd w:val="clear" w:fill="D9E2F3"/>
          </w:tcPr>
          <w:p>
            <w:r/>
            <w:r>
              <w:rPr>
                <w:color w:val="1A1A1A"/>
                <w:sz w:val="20"/>
              </w:rPr>
              <w:t>PV-06</w:t>
            </w:r>
          </w:p>
        </w:tc>
        <w:tc>
          <w:tcPr>
            <w:tcW w:type="dxa" w:w="3061"/>
            <w:shd w:val="clear" w:fill="D9E2F3"/>
          </w:tcPr>
          <w:p>
            <w:r/>
            <w:r>
              <w:rPr>
                <w:color w:val="1A1A1A"/>
                <w:sz w:val="20"/>
              </w:rPr>
              <w:t>Mesh hand-off under 2 s; auroral SATCOM robustness</w:t>
            </w:r>
          </w:p>
        </w:tc>
        <w:tc>
          <w:tcPr>
            <w:tcW w:type="dxa" w:w="2721"/>
            <w:shd w:val="clear" w:fill="D9E2F3"/>
          </w:tcPr>
          <w:p>
            <w:r/>
            <w:r>
              <w:rPr>
                <w:color w:val="1A1A1A"/>
                <w:sz w:val="20"/>
              </w:rPr>
              <w:t>Networked flight trial with Gripen E and Striker</w:t>
            </w:r>
          </w:p>
        </w:tc>
        <w:tc>
          <w:tcPr>
            <w:tcW w:type="dxa" w:w="2608"/>
            <w:shd w:val="clear" w:fill="D9E2F3"/>
          </w:tcPr>
          <w:p>
            <w:r/>
            <w:r>
              <w:rPr>
                <w:color w:val="1A1A1A"/>
                <w:sz w:val="20"/>
              </w:rPr>
              <w:t>Interim procedure: widened formation and manual rejoin ladder</w:t>
            </w:r>
          </w:p>
        </w:tc>
      </w:tr>
      <w:tr>
        <w:tc>
          <w:tcPr>
            <w:tcW w:type="dxa" w:w="907"/>
          </w:tcPr>
          <w:p>
            <w:r/>
            <w:r>
              <w:rPr>
                <w:color w:val="1A1A1A"/>
                <w:sz w:val="20"/>
              </w:rPr>
              <w:t>PV-07</w:t>
            </w:r>
          </w:p>
        </w:tc>
        <w:tc>
          <w:tcPr>
            <w:tcW w:type="dxa" w:w="3061"/>
          </w:tcPr>
          <w:p>
            <w:r/>
            <w:r>
              <w:rPr>
                <w:color w:val="1A1A1A"/>
                <w:sz w:val="20"/>
              </w:rPr>
              <w:t>Sustained 9 g with cycled bay doors and cold-soaked actuation</w:t>
            </w:r>
          </w:p>
        </w:tc>
        <w:tc>
          <w:tcPr>
            <w:tcW w:type="dxa" w:w="2721"/>
          </w:tcPr>
          <w:p>
            <w:r/>
            <w:r>
              <w:rPr>
                <w:color w:val="1A1A1A"/>
                <w:sz w:val="20"/>
              </w:rPr>
              <w:t>Structural test article and envelope-expansion flights</w:t>
            </w:r>
          </w:p>
        </w:tc>
        <w:tc>
          <w:tcPr>
            <w:tcW w:type="dxa" w:w="2608"/>
          </w:tcPr>
          <w:p>
            <w:r/>
            <w:r>
              <w:rPr>
                <w:color w:val="1A1A1A"/>
                <w:sz w:val="20"/>
              </w:rPr>
              <w:t>Sustained limit holds at 7.5 g threshold</w:t>
            </w:r>
          </w:p>
        </w:tc>
      </w:tr>
      <w:tr>
        <w:tc>
          <w:tcPr>
            <w:tcW w:type="dxa" w:w="907"/>
            <w:shd w:val="clear" w:fill="D9E2F3"/>
          </w:tcPr>
          <w:p>
            <w:r/>
            <w:r>
              <w:rPr>
                <w:color w:val="1A1A1A"/>
                <w:sz w:val="20"/>
              </w:rPr>
              <w:t>PV-08</w:t>
            </w:r>
          </w:p>
        </w:tc>
        <w:tc>
          <w:tcPr>
            <w:tcW w:type="dxa" w:w="3061"/>
            <w:shd w:val="clear" w:fill="D9E2F3"/>
          </w:tcPr>
          <w:p>
            <w:r/>
            <w:r>
              <w:rPr>
                <w:color w:val="1A1A1A"/>
                <w:sz w:val="20"/>
              </w:rPr>
              <w:t>EEDS performance in freezing drizzle and mixed-phase icing</w:t>
            </w:r>
          </w:p>
        </w:tc>
        <w:tc>
          <w:tcPr>
            <w:tcW w:type="dxa" w:w="2721"/>
            <w:shd w:val="clear" w:fill="D9E2F3"/>
          </w:tcPr>
          <w:p>
            <w:r/>
            <w:r>
              <w:rPr>
                <w:color w:val="1A1A1A"/>
                <w:sz w:val="20"/>
              </w:rPr>
              <w:t>Icing wind tunnel and natural-icing flight trial</w:t>
            </w:r>
          </w:p>
        </w:tc>
        <w:tc>
          <w:tcPr>
            <w:tcW w:type="dxa" w:w="2608"/>
            <w:shd w:val="clear" w:fill="D9E2F3"/>
          </w:tcPr>
          <w:p>
            <w:r/>
            <w:r>
              <w:rPr>
                <w:color w:val="1A1A1A"/>
                <w:sz w:val="20"/>
              </w:rPr>
              <w:t>Icing envelope restriction pending treatment changes</w:t>
            </w:r>
          </w:p>
        </w:tc>
      </w:tr>
      <w:tr>
        <w:tc>
          <w:tcPr>
            <w:tcW w:type="dxa" w:w="907"/>
          </w:tcPr>
          <w:p>
            <w:r/>
            <w:r>
              <w:rPr>
                <w:color w:val="1A1A1A"/>
                <w:sz w:val="20"/>
              </w:rPr>
              <w:t>PV-09</w:t>
            </w:r>
          </w:p>
        </w:tc>
        <w:tc>
          <w:tcPr>
            <w:tcW w:type="dxa" w:w="3061"/>
          </w:tcPr>
          <w:p>
            <w:r/>
            <w:r>
              <w:rPr>
                <w:color w:val="1A1A1A"/>
                <w:sz w:val="20"/>
              </w:rPr>
              <w:t>Contaminated-strip spray, slush drag, and anti-skid logic</w:t>
            </w:r>
          </w:p>
        </w:tc>
        <w:tc>
          <w:tcPr>
            <w:tcW w:type="dxa" w:w="2721"/>
          </w:tcPr>
          <w:p>
            <w:r/>
            <w:r>
              <w:rPr>
                <w:color w:val="1A1A1A"/>
                <w:sz w:val="20"/>
              </w:rPr>
              <w:t>Grooved and contaminated runway test campaign</w:t>
            </w:r>
          </w:p>
        </w:tc>
        <w:tc>
          <w:tcPr>
            <w:tcW w:type="dxa" w:w="2608"/>
          </w:tcPr>
          <w:p>
            <w:r/>
            <w:r>
              <w:rPr>
                <w:color w:val="1A1A1A"/>
                <w:sz w:val="20"/>
              </w:rPr>
              <w:t>Strip length grows from 800 m toward 1,000 m in slush</w:t>
            </w:r>
          </w:p>
        </w:tc>
      </w:tr>
      <w:tr>
        <w:tc>
          <w:tcPr>
            <w:tcW w:type="dxa" w:w="907"/>
            <w:shd w:val="clear" w:fill="D9E2F3"/>
          </w:tcPr>
          <w:p>
            <w:r/>
            <w:r>
              <w:rPr>
                <w:color w:val="1A1A1A"/>
                <w:sz w:val="20"/>
              </w:rPr>
              <w:t>PV-10</w:t>
            </w:r>
          </w:p>
        </w:tc>
        <w:tc>
          <w:tcPr>
            <w:tcW w:type="dxa" w:w="3061"/>
            <w:shd w:val="clear" w:fill="D9E2F3"/>
          </w:tcPr>
          <w:p>
            <w:r/>
            <w:r>
              <w:rPr>
                <w:color w:val="1A1A1A"/>
                <w:sz w:val="20"/>
              </w:rPr>
              <w:t>US-origin semiconductor substitution audit</w:t>
            </w:r>
          </w:p>
        </w:tc>
        <w:tc>
          <w:tcPr>
            <w:tcW w:type="dxa" w:w="2721"/>
            <w:shd w:val="clear" w:fill="D9E2F3"/>
          </w:tcPr>
          <w:p>
            <w:r/>
            <w:r>
              <w:rPr>
                <w:color w:val="1A1A1A"/>
                <w:sz w:val="20"/>
              </w:rPr>
              <w:t>Component-level provenance audit and allied-fab qualification</w:t>
            </w:r>
          </w:p>
        </w:tc>
        <w:tc>
          <w:tcPr>
            <w:tcW w:type="dxa" w:w="2608"/>
            <w:shd w:val="clear" w:fill="D9E2F3"/>
          </w:tcPr>
          <w:p>
            <w:r/>
            <w:r>
              <w:rPr>
                <w:color w:val="1A1A1A"/>
                <w:sz w:val="20"/>
              </w:rPr>
              <w:t>Controlled US content remains inside the 8% ceiling</w:t>
            </w:r>
          </w:p>
        </w:tc>
      </w:tr>
    </w:tbl>
    <w:p>
      <w:pPr>
        <w:jc w:val="center"/>
      </w:pPr>
      <w:r>
        <w:rPr>
          <w:i/>
          <w:sz w:val="19"/>
        </w:rPr>
        <w:t>Table 17-1. Pending validation register, CDR-80 baseline.</w:t>
      </w:r>
    </w:p>
    <w:p>
      <w:pPr>
        <w:pStyle w:val="Heading1"/>
      </w:pPr>
      <w:r>
        <w:t>18. CDR-80 Maturity Assessment</w:t>
      </w:r>
    </w:p>
    <w:p>
      <w:r>
        <w:rPr>
          <w:b w:val="0"/>
          <w:i w:val="0"/>
        </w:rPr>
        <w:t>This specification defines CDR-80 as a Critical Design Review baseline at 80 percent engineering release: the configuration is frozen, every subsystem either holds technology readiness level 7 or better in its operational environment or carries a named pending-validation event with a conservative fallback, the mass budget holds an 8 percent growth allowance, and 80 percent of the engineering definition package is released to manufacturing planning. The Aurup meets each criterion:</w:t>
      </w:r>
    </w:p>
    <w:p>
      <w:pPr>
        <w:pStyle w:val="ListBullet"/>
      </w:pPr>
      <w:r>
        <w:t>Configuration freeze. Geometry, propulsion, sensor suite, bays, and hardening package are fixed in Sections 4 through 11; change control attaches to the closure matrix.</w:t>
      </w:r>
    </w:p>
    <w:p>
      <w:pPr>
        <w:pStyle w:val="ListBullet"/>
      </w:pPr>
      <w:r>
        <w:t>Technology readiness. The engine, radar, IRST, EW suite, decoys, actuation, gear, and weapons are in-service articles; the Arctic engine kit and EEDS integration hold TRL 6 to 7 with bench evidence; no subsystem enters the baseline below TRL 6.</w:t>
      </w:r>
    </w:p>
    <w:p>
      <w:pPr>
        <w:pStyle w:val="ListBullet"/>
      </w:pPr>
      <w:r>
        <w:t>Mass and performance margins. The growth case preserves a 1.00 thrust-to-weight ratio; mission fuel closes with reserve; bays close with clearance.</w:t>
      </w:r>
    </w:p>
    <w:p>
      <w:pPr>
        <w:pStyle w:val="ListBullet"/>
      </w:pPr>
      <w:r>
        <w:t>Residual work. The 20 percent of engineering definition not yet released consists of the PV-01 through PV-10 verification events, bracket and installation detail design, and the production tooling package.</w:t>
      </w:r>
    </w:p>
    <w:p>
      <w:r>
        <w:rPr>
          <w:b w:val="0"/>
          <w:i w:val="0"/>
        </w:rPr>
        <w:t>The honest summary: the Aurup closes as a coherent, buildable aircraft on existing technology. What remains open is verification, not invention. The pending-validation register, not optimism, governs every figure that flight or measurement has not yet confirmed.</w:t>
      </w:r>
    </w:p>
    <w:p>
      <w:pPr>
        <w:pStyle w:val="Heading1"/>
      </w:pPr>
      <w:r>
        <w:t>Appendix A: Reference Platform Comparison</w:t>
      </w:r>
    </w:p>
    <w:tbl>
      <w:tblPr>
        <w:tblStyle w:val="TableGrid"/>
        <w:tblW w:type="auto" w:w="0"/>
        <w:jc w:val="center"/>
        <w:tblLook w:firstColumn="1" w:firstRow="1" w:lastColumn="0" w:lastRow="0" w:noHBand="0" w:noVBand="1" w:val="04A0"/>
      </w:tblPr>
      <w:tblGrid>
        <w:gridCol w:w="1531"/>
        <w:gridCol w:w="1531"/>
        <w:gridCol w:w="1531"/>
        <w:gridCol w:w="1531"/>
        <w:gridCol w:w="1531"/>
        <w:gridCol w:w="1531"/>
      </w:tblGrid>
      <w:tr>
        <w:tc>
          <w:tcPr>
            <w:tcW w:type="dxa" w:w="1587"/>
            <w:shd w:val="clear" w:fill="1F3864"/>
          </w:tcPr>
          <w:p>
            <w:r/>
            <w:r>
              <w:rPr>
                <w:b/>
                <w:color w:val="FFFFFF"/>
                <w:sz w:val="20"/>
              </w:rPr>
              <w:t>Parameter</w:t>
            </w:r>
          </w:p>
        </w:tc>
        <w:tc>
          <w:tcPr>
            <w:tcW w:type="dxa" w:w="1701"/>
            <w:shd w:val="clear" w:fill="1F3864"/>
          </w:tcPr>
          <w:p>
            <w:r/>
            <w:r>
              <w:rPr>
                <w:b/>
                <w:color w:val="FFFFFF"/>
                <w:sz w:val="20"/>
              </w:rPr>
              <w:t>Aurup</w:t>
            </w:r>
          </w:p>
        </w:tc>
        <w:tc>
          <w:tcPr>
            <w:tcW w:type="dxa" w:w="1644"/>
            <w:shd w:val="clear" w:fill="1F3864"/>
          </w:tcPr>
          <w:p>
            <w:r/>
            <w:r>
              <w:rPr>
                <w:b/>
                <w:color w:val="FFFFFF"/>
                <w:sz w:val="20"/>
              </w:rPr>
              <w:t>GJ-11</w:t>
            </w:r>
          </w:p>
        </w:tc>
        <w:tc>
          <w:tcPr>
            <w:tcW w:type="dxa" w:w="1644"/>
            <w:shd w:val="clear" w:fill="1F3864"/>
          </w:tcPr>
          <w:p>
            <w:r/>
            <w:r>
              <w:rPr>
                <w:b/>
                <w:color w:val="FFFFFF"/>
                <w:sz w:val="20"/>
              </w:rPr>
              <w:t>MQ-9B SkyGuardian</w:t>
            </w:r>
          </w:p>
        </w:tc>
        <w:tc>
          <w:tcPr>
            <w:tcW w:type="dxa" w:w="1361"/>
            <w:shd w:val="clear" w:fill="1F3864"/>
          </w:tcPr>
          <w:p>
            <w:r/>
            <w:r>
              <w:rPr>
                <w:b/>
                <w:color w:val="FFFFFF"/>
                <w:sz w:val="20"/>
              </w:rPr>
              <w:t>Interceptor-MR</w:t>
            </w:r>
          </w:p>
        </w:tc>
        <w:tc>
          <w:tcPr>
            <w:tcW w:type="dxa" w:w="1474"/>
            <w:shd w:val="clear" w:fill="1F3864"/>
          </w:tcPr>
          <w:p>
            <w:r/>
            <w:r>
              <w:rPr>
                <w:b/>
                <w:color w:val="FFFFFF"/>
                <w:sz w:val="20"/>
              </w:rPr>
              <w:t>S-70 Okhotnik-B</w:t>
            </w:r>
          </w:p>
        </w:tc>
      </w:tr>
      <w:tr>
        <w:tc>
          <w:tcPr>
            <w:tcW w:type="dxa" w:w="1587"/>
          </w:tcPr>
          <w:p>
            <w:r/>
            <w:r>
              <w:rPr>
                <w:color w:val="1A1A1A"/>
                <w:sz w:val="20"/>
              </w:rPr>
              <w:t>Role</w:t>
            </w:r>
          </w:p>
        </w:tc>
        <w:tc>
          <w:tcPr>
            <w:tcW w:type="dxa" w:w="1701"/>
          </w:tcPr>
          <w:p>
            <w:r/>
            <w:r>
              <w:rPr>
                <w:color w:val="1A1A1A"/>
                <w:sz w:val="20"/>
              </w:rPr>
              <w:t>Loyal wingman, escort and strike</w:t>
            </w:r>
          </w:p>
        </w:tc>
        <w:tc>
          <w:tcPr>
            <w:tcW w:type="dxa" w:w="1644"/>
          </w:tcPr>
          <w:p>
            <w:r/>
            <w:r>
              <w:rPr>
                <w:color w:val="1A1A1A"/>
                <w:sz w:val="20"/>
              </w:rPr>
              <w:t>Stealth strike / ISR wingman</w:t>
            </w:r>
          </w:p>
        </w:tc>
        <w:tc>
          <w:tcPr>
            <w:tcW w:type="dxa" w:w="1644"/>
          </w:tcPr>
          <w:p>
            <w:r/>
            <w:r>
              <w:rPr>
                <w:color w:val="1A1A1A"/>
                <w:sz w:val="20"/>
              </w:rPr>
              <w:t>Multi-domain ISR RPAS</w:t>
            </w:r>
          </w:p>
        </w:tc>
        <w:tc>
          <w:tcPr>
            <w:tcW w:type="dxa" w:w="1361"/>
          </w:tcPr>
          <w:p>
            <w:r/>
            <w:r>
              <w:rPr>
                <w:color w:val="1A1A1A"/>
                <w:sz w:val="20"/>
              </w:rPr>
              <w:t>Counter-UAS interceptor</w:t>
            </w:r>
          </w:p>
        </w:tc>
        <w:tc>
          <w:tcPr>
            <w:tcW w:type="dxa" w:w="1474"/>
          </w:tcPr>
          <w:p>
            <w:r/>
            <w:r>
              <w:rPr>
                <w:color w:val="1A1A1A"/>
                <w:sz w:val="20"/>
              </w:rPr>
              <w:t>Heavy strike UCAV</w:t>
            </w:r>
          </w:p>
        </w:tc>
      </w:tr>
      <w:tr>
        <w:tc>
          <w:tcPr>
            <w:tcW w:type="dxa" w:w="1587"/>
            <w:shd w:val="clear" w:fill="D9E2F3"/>
          </w:tcPr>
          <w:p>
            <w:r/>
            <w:r>
              <w:rPr>
                <w:color w:val="1A1A1A"/>
                <w:sz w:val="20"/>
              </w:rPr>
              <w:t>Length</w:t>
            </w:r>
          </w:p>
        </w:tc>
        <w:tc>
          <w:tcPr>
            <w:tcW w:type="dxa" w:w="1701"/>
            <w:shd w:val="clear" w:fill="D9E2F3"/>
          </w:tcPr>
          <w:p>
            <w:r/>
            <w:r>
              <w:rPr>
                <w:color w:val="1A1A1A"/>
                <w:sz w:val="20"/>
              </w:rPr>
              <w:t>11.2 m</w:t>
            </w:r>
          </w:p>
        </w:tc>
        <w:tc>
          <w:tcPr>
            <w:tcW w:type="dxa" w:w="1644"/>
            <w:shd w:val="clear" w:fill="D9E2F3"/>
          </w:tcPr>
          <w:p>
            <w:r/>
            <w:r>
              <w:rPr>
                <w:color w:val="1A1A1A"/>
                <w:sz w:val="20"/>
              </w:rPr>
              <w:t>12.2 m</w:t>
            </w:r>
          </w:p>
        </w:tc>
        <w:tc>
          <w:tcPr>
            <w:tcW w:type="dxa" w:w="1644"/>
            <w:shd w:val="clear" w:fill="D9E2F3"/>
          </w:tcPr>
          <w:p>
            <w:r/>
            <w:r>
              <w:rPr>
                <w:color w:val="1A1A1A"/>
                <w:sz w:val="20"/>
              </w:rPr>
              <w:t>11.7 m</w:t>
            </w:r>
          </w:p>
        </w:tc>
        <w:tc>
          <w:tcPr>
            <w:tcW w:type="dxa" w:w="1361"/>
            <w:shd w:val="clear" w:fill="D9E2F3"/>
          </w:tcPr>
          <w:p>
            <w:r/>
            <w:r>
              <w:rPr>
                <w:color w:val="1A1A1A"/>
                <w:sz w:val="20"/>
              </w:rPr>
              <w:t>0.8 m</w:t>
            </w:r>
          </w:p>
        </w:tc>
        <w:tc>
          <w:tcPr>
            <w:tcW w:type="dxa" w:w="1474"/>
            <w:shd w:val="clear" w:fill="D9E2F3"/>
          </w:tcPr>
          <w:p>
            <w:r/>
            <w:r>
              <w:rPr>
                <w:color w:val="1A1A1A"/>
                <w:sz w:val="20"/>
              </w:rPr>
              <w:t>approx. 14 m</w:t>
            </w:r>
          </w:p>
        </w:tc>
      </w:tr>
      <w:tr>
        <w:tc>
          <w:tcPr>
            <w:tcW w:type="dxa" w:w="1587"/>
          </w:tcPr>
          <w:p>
            <w:r/>
            <w:r>
              <w:rPr>
                <w:color w:val="1A1A1A"/>
                <w:sz w:val="20"/>
              </w:rPr>
              <w:t>Wingspan</w:t>
            </w:r>
          </w:p>
        </w:tc>
        <w:tc>
          <w:tcPr>
            <w:tcW w:type="dxa" w:w="1701"/>
          </w:tcPr>
          <w:p>
            <w:r/>
            <w:r>
              <w:rPr>
                <w:color w:val="1A1A1A"/>
                <w:sz w:val="20"/>
              </w:rPr>
              <w:t>9.6 m</w:t>
            </w:r>
          </w:p>
        </w:tc>
        <w:tc>
          <w:tcPr>
            <w:tcW w:type="dxa" w:w="1644"/>
          </w:tcPr>
          <w:p>
            <w:r/>
            <w:r>
              <w:rPr>
                <w:color w:val="1A1A1A"/>
                <w:sz w:val="20"/>
              </w:rPr>
              <w:t>14.4 m</w:t>
            </w:r>
          </w:p>
        </w:tc>
        <w:tc>
          <w:tcPr>
            <w:tcW w:type="dxa" w:w="1644"/>
          </w:tcPr>
          <w:p>
            <w:r/>
            <w:r>
              <w:rPr>
                <w:color w:val="1A1A1A"/>
                <w:sz w:val="20"/>
              </w:rPr>
              <w:t>24.0 m</w:t>
            </w:r>
          </w:p>
        </w:tc>
        <w:tc>
          <w:tcPr>
            <w:tcW w:type="dxa" w:w="1361"/>
          </w:tcPr>
          <w:p>
            <w:r/>
            <w:r>
              <w:rPr>
                <w:color w:val="1A1A1A"/>
                <w:sz w:val="20"/>
              </w:rPr>
              <w:t>0.9 m</w:t>
            </w:r>
          </w:p>
        </w:tc>
        <w:tc>
          <w:tcPr>
            <w:tcW w:type="dxa" w:w="1474"/>
          </w:tcPr>
          <w:p>
            <w:r/>
            <w:r>
              <w:rPr>
                <w:color w:val="1A1A1A"/>
                <w:sz w:val="20"/>
              </w:rPr>
              <w:t>20 m</w:t>
            </w:r>
          </w:p>
        </w:tc>
      </w:tr>
      <w:tr>
        <w:tc>
          <w:tcPr>
            <w:tcW w:type="dxa" w:w="1587"/>
            <w:shd w:val="clear" w:fill="D9E2F3"/>
          </w:tcPr>
          <w:p>
            <w:r/>
            <w:r>
              <w:rPr>
                <w:color w:val="1A1A1A"/>
                <w:sz w:val="20"/>
              </w:rPr>
              <w:t>MTOW</w:t>
            </w:r>
          </w:p>
        </w:tc>
        <w:tc>
          <w:tcPr>
            <w:tcW w:type="dxa" w:w="1701"/>
            <w:shd w:val="clear" w:fill="D9E2F3"/>
          </w:tcPr>
          <w:p>
            <w:r/>
            <w:r>
              <w:rPr>
                <w:color w:val="1A1A1A"/>
                <w:sz w:val="20"/>
              </w:rPr>
              <w:t>8,750 kg</w:t>
            </w:r>
          </w:p>
        </w:tc>
        <w:tc>
          <w:tcPr>
            <w:tcW w:type="dxa" w:w="1644"/>
            <w:shd w:val="clear" w:fill="D9E2F3"/>
          </w:tcPr>
          <w:p>
            <w:r/>
            <w:r>
              <w:rPr>
                <w:color w:val="1A1A1A"/>
                <w:sz w:val="20"/>
              </w:rPr>
              <w:t>approx. 20,200 kg (reported)</w:t>
            </w:r>
          </w:p>
        </w:tc>
        <w:tc>
          <w:tcPr>
            <w:tcW w:type="dxa" w:w="1644"/>
            <w:shd w:val="clear" w:fill="D9E2F3"/>
          </w:tcPr>
          <w:p>
            <w:r/>
            <w:r>
              <w:rPr>
                <w:color w:val="1A1A1A"/>
                <w:sz w:val="20"/>
              </w:rPr>
              <w:t>5,670 kg</w:t>
            </w:r>
          </w:p>
        </w:tc>
        <w:tc>
          <w:tcPr>
            <w:tcW w:type="dxa" w:w="1361"/>
            <w:shd w:val="clear" w:fill="D9E2F3"/>
          </w:tcPr>
          <w:p>
            <w:r/>
            <w:r>
              <w:rPr>
                <w:color w:val="1A1A1A"/>
                <w:sz w:val="20"/>
              </w:rPr>
              <w:t>8 kg</w:t>
            </w:r>
          </w:p>
        </w:tc>
        <w:tc>
          <w:tcPr>
            <w:tcW w:type="dxa" w:w="1474"/>
            <w:shd w:val="clear" w:fill="D9E2F3"/>
          </w:tcPr>
          <w:p>
            <w:r/>
            <w:r>
              <w:rPr>
                <w:color w:val="1A1A1A"/>
                <w:sz w:val="20"/>
              </w:rPr>
              <w:t>25,000 kg (reported)</w:t>
            </w:r>
          </w:p>
        </w:tc>
      </w:tr>
      <w:tr>
        <w:tc>
          <w:tcPr>
            <w:tcW w:type="dxa" w:w="1587"/>
          </w:tcPr>
          <w:p>
            <w:r/>
            <w:r>
              <w:rPr>
                <w:color w:val="1A1A1A"/>
                <w:sz w:val="20"/>
              </w:rPr>
              <w:t>Propulsion</w:t>
            </w:r>
          </w:p>
        </w:tc>
        <w:tc>
          <w:tcPr>
            <w:tcW w:type="dxa" w:w="1701"/>
          </w:tcPr>
          <w:p>
            <w:r/>
            <w:r>
              <w:rPr>
                <w:color w:val="1A1A1A"/>
                <w:sz w:val="20"/>
              </w:rPr>
              <w:t>1 x EJ200 turbofan, 90 kN AB</w:t>
            </w:r>
          </w:p>
        </w:tc>
        <w:tc>
          <w:tcPr>
            <w:tcW w:type="dxa" w:w="1644"/>
          </w:tcPr>
          <w:p>
            <w:r/>
            <w:r>
              <w:rPr>
                <w:color w:val="1A1A1A"/>
                <w:sz w:val="20"/>
              </w:rPr>
              <w:t>1 x turbofan, type undisclosed</w:t>
            </w:r>
          </w:p>
        </w:tc>
        <w:tc>
          <w:tcPr>
            <w:tcW w:type="dxa" w:w="1644"/>
          </w:tcPr>
          <w:p>
            <w:r/>
            <w:r>
              <w:rPr>
                <w:color w:val="1A1A1A"/>
                <w:sz w:val="20"/>
              </w:rPr>
              <w:t>1 x TPE331-10 turboprop, 671 kW</w:t>
            </w:r>
          </w:p>
        </w:tc>
        <w:tc>
          <w:tcPr>
            <w:tcW w:type="dxa" w:w="1361"/>
          </w:tcPr>
          <w:p>
            <w:r/>
            <w:r>
              <w:rPr>
                <w:color w:val="1A1A1A"/>
                <w:sz w:val="20"/>
              </w:rPr>
              <w:t>Electric, open props</w:t>
            </w:r>
          </w:p>
        </w:tc>
        <w:tc>
          <w:tcPr>
            <w:tcW w:type="dxa" w:w="1474"/>
          </w:tcPr>
          <w:p>
            <w:r/>
            <w:r>
              <w:rPr>
                <w:color w:val="1A1A1A"/>
                <w:sz w:val="20"/>
              </w:rPr>
              <w:t>1 x AL-31F/AL-41F class</w:t>
            </w:r>
          </w:p>
        </w:tc>
      </w:tr>
      <w:tr>
        <w:tc>
          <w:tcPr>
            <w:tcW w:type="dxa" w:w="1587"/>
            <w:shd w:val="clear" w:fill="D9E2F3"/>
          </w:tcPr>
          <w:p>
            <w:r/>
            <w:r>
              <w:rPr>
                <w:color w:val="1A1A1A"/>
                <w:sz w:val="20"/>
              </w:rPr>
              <w:t>Max speed</w:t>
            </w:r>
          </w:p>
        </w:tc>
        <w:tc>
          <w:tcPr>
            <w:tcW w:type="dxa" w:w="1701"/>
            <w:shd w:val="clear" w:fill="D9E2F3"/>
          </w:tcPr>
          <w:p>
            <w:r/>
            <w:r>
              <w:rPr>
                <w:color w:val="1A1A1A"/>
                <w:sz w:val="20"/>
              </w:rPr>
              <w:t>Mach 1.65</w:t>
            </w:r>
          </w:p>
        </w:tc>
        <w:tc>
          <w:tcPr>
            <w:tcW w:type="dxa" w:w="1644"/>
            <w:shd w:val="clear" w:fill="D9E2F3"/>
          </w:tcPr>
          <w:p>
            <w:r/>
            <w:r>
              <w:rPr>
                <w:color w:val="1A1A1A"/>
                <w:sz w:val="20"/>
              </w:rPr>
              <w:t>subsonic class, cruise Mach 0.6 to 0.7 (assessed)</w:t>
            </w:r>
          </w:p>
        </w:tc>
        <w:tc>
          <w:tcPr>
            <w:tcW w:type="dxa" w:w="1644"/>
            <w:shd w:val="clear" w:fill="D9E2F3"/>
          </w:tcPr>
          <w:p>
            <w:r/>
            <w:r>
              <w:rPr>
                <w:color w:val="1A1A1A"/>
                <w:sz w:val="20"/>
              </w:rPr>
              <w:t>390 km/h</w:t>
            </w:r>
          </w:p>
        </w:tc>
        <w:tc>
          <w:tcPr>
            <w:tcW w:type="dxa" w:w="1361"/>
            <w:shd w:val="clear" w:fill="D9E2F3"/>
          </w:tcPr>
          <w:p>
            <w:r/>
            <w:r>
              <w:rPr>
                <w:color w:val="1A1A1A"/>
                <w:sz w:val="20"/>
              </w:rPr>
              <w:t>288 km/h</w:t>
            </w:r>
          </w:p>
        </w:tc>
        <w:tc>
          <w:tcPr>
            <w:tcW w:type="dxa" w:w="1474"/>
            <w:shd w:val="clear" w:fill="D9E2F3"/>
          </w:tcPr>
          <w:p>
            <w:r/>
            <w:r>
              <w:rPr>
                <w:color w:val="1A1A1A"/>
                <w:sz w:val="20"/>
              </w:rPr>
              <w:t>approx. 1,000 km/h</w:t>
            </w:r>
          </w:p>
        </w:tc>
      </w:tr>
      <w:tr>
        <w:tc>
          <w:tcPr>
            <w:tcW w:type="dxa" w:w="1587"/>
          </w:tcPr>
          <w:p>
            <w:r/>
            <w:r>
              <w:rPr>
                <w:color w:val="1A1A1A"/>
                <w:sz w:val="20"/>
              </w:rPr>
              <w:t>Range / radius</w:t>
            </w:r>
          </w:p>
        </w:tc>
        <w:tc>
          <w:tcPr>
            <w:tcW w:type="dxa" w:w="1701"/>
          </w:tcPr>
          <w:p>
            <w:r/>
            <w:r>
              <w:rPr>
                <w:color w:val="1A1A1A"/>
                <w:sz w:val="20"/>
              </w:rPr>
              <w:t>620 to 740 nm radius; 2,600 km ferry</w:t>
            </w:r>
          </w:p>
        </w:tc>
        <w:tc>
          <w:tcPr>
            <w:tcW w:type="dxa" w:w="1644"/>
          </w:tcPr>
          <w:p>
            <w:r/>
            <w:r>
              <w:rPr>
                <w:color w:val="1A1A1A"/>
                <w:sz w:val="20"/>
              </w:rPr>
              <w:t>approx. 1,500 km radius (reported)</w:t>
            </w:r>
          </w:p>
        </w:tc>
        <w:tc>
          <w:tcPr>
            <w:tcW w:type="dxa" w:w="1644"/>
          </w:tcPr>
          <w:p>
            <w:r/>
            <w:r>
              <w:rPr>
                <w:color w:val="1A1A1A"/>
                <w:sz w:val="20"/>
              </w:rPr>
              <w:t>11,000 km range</w:t>
            </w:r>
          </w:p>
        </w:tc>
        <w:tc>
          <w:tcPr>
            <w:tcW w:type="dxa" w:w="1361"/>
          </w:tcPr>
          <w:p>
            <w:r/>
            <w:r>
              <w:rPr>
                <w:color w:val="1A1A1A"/>
                <w:sz w:val="20"/>
              </w:rPr>
              <w:t>&gt;5 km interception</w:t>
            </w:r>
          </w:p>
        </w:tc>
        <w:tc>
          <w:tcPr>
            <w:tcW w:type="dxa" w:w="1474"/>
          </w:tcPr>
          <w:p>
            <w:r/>
            <w:r>
              <w:rPr>
                <w:color w:val="1A1A1A"/>
                <w:sz w:val="20"/>
              </w:rPr>
              <w:t>approx. 6,000 km range</w:t>
            </w:r>
          </w:p>
        </w:tc>
      </w:tr>
      <w:tr>
        <w:tc>
          <w:tcPr>
            <w:tcW w:type="dxa" w:w="1587"/>
            <w:shd w:val="clear" w:fill="D9E2F3"/>
          </w:tcPr>
          <w:p>
            <w:r/>
            <w:r>
              <w:rPr>
                <w:color w:val="1A1A1A"/>
                <w:sz w:val="20"/>
              </w:rPr>
              <w:t>Internal payload</w:t>
            </w:r>
          </w:p>
        </w:tc>
        <w:tc>
          <w:tcPr>
            <w:tcW w:type="dxa" w:w="1701"/>
            <w:shd w:val="clear" w:fill="D9E2F3"/>
          </w:tcPr>
          <w:p>
            <w:r/>
            <w:r>
              <w:rPr>
                <w:color w:val="1A1A1A"/>
                <w:sz w:val="20"/>
              </w:rPr>
              <w:t>850 to 900 kg</w:t>
            </w:r>
          </w:p>
        </w:tc>
        <w:tc>
          <w:tcPr>
            <w:tcW w:type="dxa" w:w="1644"/>
            <w:shd w:val="clear" w:fill="D9E2F3"/>
          </w:tcPr>
          <w:p>
            <w:r/>
            <w:r>
              <w:rPr>
                <w:color w:val="1A1A1A"/>
                <w:sz w:val="20"/>
              </w:rPr>
              <w:t>up to 2,000 kg (reported)</w:t>
            </w:r>
          </w:p>
        </w:tc>
        <w:tc>
          <w:tcPr>
            <w:tcW w:type="dxa" w:w="1644"/>
            <w:shd w:val="clear" w:fill="D9E2F3"/>
          </w:tcPr>
          <w:p>
            <w:r/>
            <w:r>
              <w:rPr>
                <w:color w:val="1A1A1A"/>
                <w:sz w:val="20"/>
              </w:rPr>
              <w:t>360 kg internal + 2,150 kg external</w:t>
            </w:r>
          </w:p>
        </w:tc>
        <w:tc>
          <w:tcPr>
            <w:tcW w:type="dxa" w:w="1361"/>
            <w:shd w:val="clear" w:fill="D9E2F3"/>
          </w:tcPr>
          <w:p>
            <w:r/>
            <w:r>
              <w:rPr>
                <w:color w:val="1A1A1A"/>
                <w:sz w:val="20"/>
              </w:rPr>
              <w:t>1 kg class</w:t>
            </w:r>
          </w:p>
        </w:tc>
        <w:tc>
          <w:tcPr>
            <w:tcW w:type="dxa" w:w="1474"/>
            <w:shd w:val="clear" w:fill="D9E2F3"/>
          </w:tcPr>
          <w:p>
            <w:r/>
            <w:r>
              <w:rPr>
                <w:color w:val="1A1A1A"/>
                <w:sz w:val="20"/>
              </w:rPr>
              <w:t>internal bays</w:t>
            </w:r>
          </w:p>
        </w:tc>
      </w:tr>
      <w:tr>
        <w:tc>
          <w:tcPr>
            <w:tcW w:type="dxa" w:w="1587"/>
          </w:tcPr>
          <w:p>
            <w:r/>
            <w:r>
              <w:rPr>
                <w:color w:val="1A1A1A"/>
                <w:sz w:val="20"/>
              </w:rPr>
              <w:t>Stealth</w:t>
            </w:r>
          </w:p>
        </w:tc>
        <w:tc>
          <w:tcPr>
            <w:tcW w:type="dxa" w:w="1701"/>
          </w:tcPr>
          <w:p>
            <w:r/>
            <w:r>
              <w:rPr>
                <w:color w:val="1A1A1A"/>
                <w:sz w:val="20"/>
              </w:rPr>
              <w:t>All-sector allocation, frontal priority</w:t>
            </w:r>
          </w:p>
        </w:tc>
        <w:tc>
          <w:tcPr>
            <w:tcW w:type="dxa" w:w="1644"/>
          </w:tcPr>
          <w:p>
            <w:r/>
            <w:r>
              <w:rPr>
                <w:color w:val="1A1A1A"/>
                <w:sz w:val="20"/>
              </w:rPr>
              <w:t>All-aspect shaping (assessed)</w:t>
            </w:r>
          </w:p>
        </w:tc>
        <w:tc>
          <w:tcPr>
            <w:tcW w:type="dxa" w:w="1644"/>
          </w:tcPr>
          <w:p>
            <w:r/>
            <w:r>
              <w:rPr>
                <w:color w:val="1A1A1A"/>
                <w:sz w:val="20"/>
              </w:rPr>
              <w:t>Not signature-managed</w:t>
            </w:r>
          </w:p>
        </w:tc>
        <w:tc>
          <w:tcPr>
            <w:tcW w:type="dxa" w:w="1361"/>
          </w:tcPr>
          <w:p>
            <w:r/>
            <w:r>
              <w:rPr>
                <w:color w:val="1A1A1A"/>
                <w:sz w:val="20"/>
              </w:rPr>
              <w:t>Not applicable</w:t>
            </w:r>
          </w:p>
        </w:tc>
        <w:tc>
          <w:tcPr>
            <w:tcW w:type="dxa" w:w="1474"/>
          </w:tcPr>
          <w:p>
            <w:r/>
            <w:r>
              <w:rPr>
                <w:color w:val="1A1A1A"/>
                <w:sz w:val="20"/>
              </w:rPr>
              <w:t>Shaping with early exposed-nozzle penalty</w:t>
            </w:r>
          </w:p>
        </w:tc>
      </w:tr>
      <w:tr>
        <w:tc>
          <w:tcPr>
            <w:tcW w:type="dxa" w:w="1587"/>
            <w:shd w:val="clear" w:fill="D9E2F3"/>
          </w:tcPr>
          <w:p>
            <w:r/>
            <w:r>
              <w:rPr>
                <w:color w:val="1A1A1A"/>
                <w:sz w:val="20"/>
              </w:rPr>
              <w:t>Arctic hardening</w:t>
            </w:r>
          </w:p>
        </w:tc>
        <w:tc>
          <w:tcPr>
            <w:tcW w:type="dxa" w:w="1701"/>
            <w:shd w:val="clear" w:fill="D9E2F3"/>
          </w:tcPr>
          <w:p>
            <w:r/>
            <w:r>
              <w:rPr>
                <w:color w:val="1A1A1A"/>
                <w:sz w:val="20"/>
              </w:rPr>
              <w:t>Minus 55 C survival; EEDS; contaminated strips</w:t>
            </w:r>
          </w:p>
        </w:tc>
        <w:tc>
          <w:tcPr>
            <w:tcW w:type="dxa" w:w="1644"/>
            <w:shd w:val="clear" w:fill="D9E2F3"/>
          </w:tcPr>
          <w:p>
            <w:r/>
            <w:r>
              <w:rPr>
                <w:color w:val="1A1A1A"/>
                <w:sz w:val="20"/>
              </w:rPr>
              <w:t>Not evidenced</w:t>
            </w:r>
          </w:p>
        </w:tc>
        <w:tc>
          <w:tcPr>
            <w:tcW w:type="dxa" w:w="1644"/>
            <w:shd w:val="clear" w:fill="D9E2F3"/>
          </w:tcPr>
          <w:p>
            <w:r/>
            <w:r>
              <w:rPr>
                <w:color w:val="1A1A1A"/>
                <w:sz w:val="20"/>
              </w:rPr>
              <w:t>De-ice, anti-ice, minus 41 C start</w:t>
            </w:r>
          </w:p>
        </w:tc>
        <w:tc>
          <w:tcPr>
            <w:tcW w:type="dxa" w:w="1361"/>
            <w:shd w:val="clear" w:fill="D9E2F3"/>
          </w:tcPr>
          <w:p>
            <w:r/>
            <w:r>
              <w:rPr>
                <w:color w:val="1A1A1A"/>
                <w:sz w:val="20"/>
              </w:rPr>
              <w:t>Minus 10 to +50 C</w:t>
            </w:r>
          </w:p>
        </w:tc>
        <w:tc>
          <w:tcPr>
            <w:tcW w:type="dxa" w:w="1474"/>
            <w:shd w:val="clear" w:fill="D9E2F3"/>
          </w:tcPr>
          <w:p>
            <w:r/>
            <w:r>
              <w:rPr>
                <w:color w:val="1A1A1A"/>
                <w:sz w:val="20"/>
              </w:rPr>
              <w:t>Not evidenced</w:t>
            </w:r>
          </w:p>
        </w:tc>
      </w:tr>
      <w:tr>
        <w:tc>
          <w:tcPr>
            <w:tcW w:type="dxa" w:w="1587"/>
          </w:tcPr>
          <w:p>
            <w:r/>
            <w:r>
              <w:rPr>
                <w:color w:val="1A1A1A"/>
                <w:sz w:val="20"/>
              </w:rPr>
              <w:t>Sovereignty</w:t>
            </w:r>
          </w:p>
        </w:tc>
        <w:tc>
          <w:tcPr>
            <w:tcW w:type="dxa" w:w="1701"/>
          </w:tcPr>
          <w:p>
            <w:r/>
            <w:r>
              <w:rPr>
                <w:color w:val="1A1A1A"/>
                <w:sz w:val="20"/>
              </w:rPr>
              <w:t>Canada and close allies; US below 8%</w:t>
            </w:r>
          </w:p>
        </w:tc>
        <w:tc>
          <w:tcPr>
            <w:tcW w:type="dxa" w:w="1644"/>
          </w:tcPr>
          <w:p>
            <w:r/>
            <w:r>
              <w:rPr>
                <w:color w:val="1A1A1A"/>
                <w:sz w:val="20"/>
              </w:rPr>
              <w:t>Chinese domestic</w:t>
            </w:r>
          </w:p>
        </w:tc>
        <w:tc>
          <w:tcPr>
            <w:tcW w:type="dxa" w:w="1644"/>
          </w:tcPr>
          <w:p>
            <w:r/>
            <w:r>
              <w:rPr>
                <w:color w:val="1A1A1A"/>
                <w:sz w:val="20"/>
              </w:rPr>
              <w:t>United States</w:t>
            </w:r>
          </w:p>
        </w:tc>
        <w:tc>
          <w:tcPr>
            <w:tcW w:type="dxa" w:w="1361"/>
          </w:tcPr>
          <w:p>
            <w:r/>
            <w:r>
              <w:rPr>
                <w:color w:val="1A1A1A"/>
                <w:sz w:val="20"/>
              </w:rPr>
              <w:t>Australia (NiDAR C2)</w:t>
            </w:r>
          </w:p>
        </w:tc>
        <w:tc>
          <w:tcPr>
            <w:tcW w:type="dxa" w:w="1474"/>
          </w:tcPr>
          <w:p>
            <w:r/>
            <w:r>
              <w:rPr>
                <w:color w:val="1A1A1A"/>
                <w:sz w:val="20"/>
              </w:rPr>
              <w:t>Russian domestic</w:t>
            </w:r>
          </w:p>
        </w:tc>
      </w:tr>
    </w:tbl>
    <w:p>
      <w:pPr>
        <w:jc w:val="center"/>
      </w:pPr>
      <w:r>
        <w:rPr>
          <w:i/>
          <w:sz w:val="19"/>
        </w:rPr>
        <w:t>Table A-1. Reference platform comparison. Reported values for foreign platforms are open-source estimates of varying confidence; they inform context, not design inputs.</w:t>
      </w:r>
    </w:p>
    <w:p>
      <w:r>
        <w:rPr>
          <w:b w:val="0"/>
          <w:i/>
        </w:rPr>
        <w:t>The comparison makes the design logic visible: the Aurup is faster than every reference except the S-70 on paper, smaller and cheaper than the heavy strike UCAVs, vastly more survivable than the MALE class, and the only entry engineered for Arctic dispersed operations beside a specific manned fighter.</w:t>
      </w:r>
    </w:p>
    <w:p>
      <w:pPr>
        <w:pStyle w:val="Heading1"/>
      </w:pPr>
      <w:r>
        <w:t>Appendix B: Glossary</w:t>
      </w:r>
    </w:p>
    <w:tbl>
      <w:tblPr>
        <w:tblStyle w:val="TableGrid"/>
        <w:tblW w:type="auto" w:w="0"/>
        <w:jc w:val="center"/>
        <w:tblLook w:firstColumn="1" w:firstRow="1" w:lastColumn="0" w:lastRow="0" w:noHBand="0" w:noVBand="1" w:val="04A0"/>
      </w:tblPr>
      <w:tblGrid>
        <w:gridCol w:w="4592"/>
        <w:gridCol w:w="4592"/>
      </w:tblGrid>
      <w:tr>
        <w:tc>
          <w:tcPr>
            <w:tcW w:type="dxa" w:w="2041"/>
            <w:shd w:val="clear" w:fill="1F3864"/>
          </w:tcPr>
          <w:p>
            <w:r/>
            <w:r>
              <w:rPr>
                <w:b/>
                <w:color w:val="FFFFFF"/>
                <w:sz w:val="20"/>
              </w:rPr>
              <w:t>Term</w:t>
            </w:r>
          </w:p>
        </w:tc>
        <w:tc>
          <w:tcPr>
            <w:tcW w:type="dxa" w:w="7030"/>
            <w:shd w:val="clear" w:fill="1F3864"/>
          </w:tcPr>
          <w:p>
            <w:r/>
            <w:r>
              <w:rPr>
                <w:b/>
                <w:color w:val="FFFFFF"/>
                <w:sz w:val="20"/>
              </w:rPr>
              <w:t>Definition</w:t>
            </w:r>
          </w:p>
        </w:tc>
      </w:tr>
      <w:tr>
        <w:tc>
          <w:tcPr>
            <w:tcW w:type="dxa" w:w="2041"/>
          </w:tcPr>
          <w:p>
            <w:r/>
            <w:r>
              <w:rPr>
                <w:color w:val="1A1A1A"/>
                <w:sz w:val="20"/>
              </w:rPr>
              <w:t>CDR-80</w:t>
            </w:r>
          </w:p>
        </w:tc>
        <w:tc>
          <w:tcPr>
            <w:tcW w:type="dxa" w:w="7030"/>
          </w:tcPr>
          <w:p>
            <w:r/>
            <w:r>
              <w:rPr>
                <w:color w:val="1A1A1A"/>
                <w:sz w:val="20"/>
              </w:rPr>
              <w:t>Critical Design Review baseline at 80 percent engineering release, as defined in Section 18</w:t>
            </w:r>
          </w:p>
        </w:tc>
      </w:tr>
      <w:tr>
        <w:tc>
          <w:tcPr>
            <w:tcW w:type="dxa" w:w="2041"/>
            <w:shd w:val="clear" w:fill="D9E2F3"/>
          </w:tcPr>
          <w:p>
            <w:r/>
            <w:r>
              <w:rPr>
                <w:color w:val="1A1A1A"/>
                <w:sz w:val="20"/>
              </w:rPr>
              <w:t>CRPA</w:t>
            </w:r>
          </w:p>
        </w:tc>
        <w:tc>
          <w:tcPr>
            <w:tcW w:type="dxa" w:w="7030"/>
            <w:shd w:val="clear" w:fill="D9E2F3"/>
          </w:tcPr>
          <w:p>
            <w:r/>
            <w:r>
              <w:rPr>
                <w:color w:val="1A1A1A"/>
                <w:sz w:val="20"/>
              </w:rPr>
              <w:t>Controlled Reception Pattern Antenna: beam-steering GNSS antenna that rejects jamming</w:t>
            </w:r>
          </w:p>
        </w:tc>
      </w:tr>
      <w:tr>
        <w:tc>
          <w:tcPr>
            <w:tcW w:type="dxa" w:w="2041"/>
          </w:tcPr>
          <w:p>
            <w:r/>
            <w:r>
              <w:rPr>
                <w:color w:val="1A1A1A"/>
                <w:sz w:val="20"/>
              </w:rPr>
              <w:t>DEAD</w:t>
            </w:r>
          </w:p>
        </w:tc>
        <w:tc>
          <w:tcPr>
            <w:tcW w:type="dxa" w:w="7030"/>
          </w:tcPr>
          <w:p>
            <w:r/>
            <w:r>
              <w:rPr>
                <w:color w:val="1A1A1A"/>
                <w:sz w:val="20"/>
              </w:rPr>
              <w:t>Destruction of Enemy Air Defences</w:t>
            </w:r>
          </w:p>
        </w:tc>
      </w:tr>
      <w:tr>
        <w:tc>
          <w:tcPr>
            <w:tcW w:type="dxa" w:w="2041"/>
            <w:shd w:val="clear" w:fill="D9E2F3"/>
          </w:tcPr>
          <w:p>
            <w:r/>
            <w:r>
              <w:rPr>
                <w:color w:val="1A1A1A"/>
                <w:sz w:val="20"/>
              </w:rPr>
              <w:t>EEDS</w:t>
            </w:r>
          </w:p>
        </w:tc>
        <w:tc>
          <w:tcPr>
            <w:tcW w:type="dxa" w:w="7030"/>
            <w:shd w:val="clear" w:fill="D9E2F3"/>
          </w:tcPr>
          <w:p>
            <w:r/>
            <w:r>
              <w:rPr>
                <w:color w:val="1A1A1A"/>
                <w:sz w:val="20"/>
              </w:rPr>
              <w:t>Electro-Expulsive De-Icing System: pulsed mechanical ice shedding on leading edges</w:t>
            </w:r>
          </w:p>
        </w:tc>
      </w:tr>
      <w:tr>
        <w:tc>
          <w:tcPr>
            <w:tcW w:type="dxa" w:w="2041"/>
          </w:tcPr>
          <w:p>
            <w:r/>
            <w:r>
              <w:rPr>
                <w:color w:val="1A1A1A"/>
                <w:sz w:val="20"/>
              </w:rPr>
              <w:t>FADEC</w:t>
            </w:r>
          </w:p>
        </w:tc>
        <w:tc>
          <w:tcPr>
            <w:tcW w:type="dxa" w:w="7030"/>
          </w:tcPr>
          <w:p>
            <w:r/>
            <w:r>
              <w:rPr>
                <w:color w:val="1A1A1A"/>
                <w:sz w:val="20"/>
              </w:rPr>
              <w:t>Full-Authority Digital Engine Control</w:t>
            </w:r>
          </w:p>
        </w:tc>
      </w:tr>
      <w:tr>
        <w:tc>
          <w:tcPr>
            <w:tcW w:type="dxa" w:w="2041"/>
            <w:shd w:val="clear" w:fill="D9E2F3"/>
          </w:tcPr>
          <w:p>
            <w:r/>
            <w:r>
              <w:rPr>
                <w:color w:val="1A1A1A"/>
                <w:sz w:val="20"/>
              </w:rPr>
              <w:t>GaN AESA</w:t>
            </w:r>
          </w:p>
        </w:tc>
        <w:tc>
          <w:tcPr>
            <w:tcW w:type="dxa" w:w="7030"/>
            <w:shd w:val="clear" w:fill="D9E2F3"/>
          </w:tcPr>
          <w:p>
            <w:r/>
            <w:r>
              <w:rPr>
                <w:color w:val="1A1A1A"/>
                <w:sz w:val="20"/>
              </w:rPr>
              <w:t>Gallium-nitride Active Electronically Scanned Array radar</w:t>
            </w:r>
          </w:p>
        </w:tc>
      </w:tr>
      <w:tr>
        <w:tc>
          <w:tcPr>
            <w:tcW w:type="dxa" w:w="2041"/>
          </w:tcPr>
          <w:p>
            <w:r/>
            <w:r>
              <w:rPr>
                <w:color w:val="1A1A1A"/>
                <w:sz w:val="20"/>
              </w:rPr>
              <w:t>ITAR</w:t>
            </w:r>
          </w:p>
        </w:tc>
        <w:tc>
          <w:tcPr>
            <w:tcW w:type="dxa" w:w="7030"/>
          </w:tcPr>
          <w:p>
            <w:r/>
            <w:r>
              <w:rPr>
                <w:color w:val="1A1A1A"/>
                <w:sz w:val="20"/>
              </w:rPr>
              <w:t>United States International Traffic in Arms Regulations; avoided in the baseline</w:t>
            </w:r>
          </w:p>
        </w:tc>
      </w:tr>
      <w:tr>
        <w:tc>
          <w:tcPr>
            <w:tcW w:type="dxa" w:w="2041"/>
            <w:shd w:val="clear" w:fill="D9E2F3"/>
          </w:tcPr>
          <w:p>
            <w:r/>
            <w:r>
              <w:rPr>
                <w:color w:val="1A1A1A"/>
                <w:sz w:val="20"/>
              </w:rPr>
              <w:t>Lambda wing</w:t>
            </w:r>
          </w:p>
        </w:tc>
        <w:tc>
          <w:tcPr>
            <w:tcW w:type="dxa" w:w="7030"/>
            <w:shd w:val="clear" w:fill="D9E2F3"/>
          </w:tcPr>
          <w:p>
            <w:r/>
            <w:r>
              <w:rPr>
                <w:color w:val="1A1A1A"/>
                <w:sz w:val="20"/>
              </w:rPr>
              <w:t>A swept planform with an inboard trailing-edge taper resembling the Greek letter lambda</w:t>
            </w:r>
          </w:p>
        </w:tc>
      </w:tr>
      <w:tr>
        <w:tc>
          <w:tcPr>
            <w:tcW w:type="dxa" w:w="2041"/>
          </w:tcPr>
          <w:p>
            <w:r/>
            <w:r>
              <w:rPr>
                <w:color w:val="1A1A1A"/>
                <w:sz w:val="20"/>
              </w:rPr>
              <w:t>LPI</w:t>
            </w:r>
          </w:p>
        </w:tc>
        <w:tc>
          <w:tcPr>
            <w:tcW w:type="dxa" w:w="7030"/>
          </w:tcPr>
          <w:p>
            <w:r/>
            <w:r>
              <w:rPr>
                <w:color w:val="1A1A1A"/>
                <w:sz w:val="20"/>
              </w:rPr>
              <w:t>Low Probability of Intercept</w:t>
            </w:r>
          </w:p>
        </w:tc>
      </w:tr>
      <w:tr>
        <w:tc>
          <w:tcPr>
            <w:tcW w:type="dxa" w:w="2041"/>
            <w:shd w:val="clear" w:fill="D9E2F3"/>
          </w:tcPr>
          <w:p>
            <w:r/>
            <w:r>
              <w:rPr>
                <w:color w:val="1A1A1A"/>
                <w:sz w:val="20"/>
              </w:rPr>
              <w:t>Loyal wingman</w:t>
            </w:r>
          </w:p>
        </w:tc>
        <w:tc>
          <w:tcPr>
            <w:tcW w:type="dxa" w:w="7030"/>
            <w:shd w:val="clear" w:fill="D9E2F3"/>
          </w:tcPr>
          <w:p>
            <w:r/>
            <w:r>
              <w:rPr>
                <w:color w:val="1A1A1A"/>
                <w:sz w:val="20"/>
              </w:rPr>
              <w:t>An uncrewed combat aircraft that fights in cooperation with a crewed commander</w:t>
            </w:r>
          </w:p>
        </w:tc>
      </w:tr>
      <w:tr>
        <w:tc>
          <w:tcPr>
            <w:tcW w:type="dxa" w:w="2041"/>
          </w:tcPr>
          <w:p>
            <w:r/>
            <w:r>
              <w:rPr>
                <w:color w:val="1A1A1A"/>
                <w:sz w:val="20"/>
              </w:rPr>
              <w:t>MMO / MNE</w:t>
            </w:r>
          </w:p>
        </w:tc>
        <w:tc>
          <w:tcPr>
            <w:tcW w:type="dxa" w:w="7030"/>
          </w:tcPr>
          <w:p>
            <w:r/>
            <w:r>
              <w:rPr>
                <w:color w:val="1A1A1A"/>
                <w:sz w:val="20"/>
              </w:rPr>
              <w:t>Maximum operating Mach / never-exceed Mach</w:t>
            </w:r>
          </w:p>
        </w:tc>
      </w:tr>
      <w:tr>
        <w:tc>
          <w:tcPr>
            <w:tcW w:type="dxa" w:w="2041"/>
            <w:shd w:val="clear" w:fill="D9E2F3"/>
          </w:tcPr>
          <w:p>
            <w:r/>
            <w:r>
              <w:rPr>
                <w:color w:val="1A1A1A"/>
                <w:sz w:val="20"/>
              </w:rPr>
              <w:t>NordMesh</w:t>
            </w:r>
          </w:p>
        </w:tc>
        <w:tc>
          <w:tcPr>
            <w:tcW w:type="dxa" w:w="7030"/>
            <w:shd w:val="clear" w:fill="D9E2F3"/>
          </w:tcPr>
          <w:p>
            <w:r/>
            <w:r>
              <w:rPr>
                <w:color w:val="1A1A1A"/>
                <w:sz w:val="20"/>
              </w:rPr>
              <w:t>The programme's sovereign TTNT-class mesh datalink designation</w:t>
            </w:r>
          </w:p>
        </w:tc>
      </w:tr>
      <w:tr>
        <w:tc>
          <w:tcPr>
            <w:tcW w:type="dxa" w:w="2041"/>
          </w:tcPr>
          <w:p>
            <w:r/>
            <w:r>
              <w:rPr>
                <w:color w:val="1A1A1A"/>
                <w:sz w:val="20"/>
              </w:rPr>
              <w:t>OBIGGS</w:t>
            </w:r>
          </w:p>
        </w:tc>
        <w:tc>
          <w:tcPr>
            <w:tcW w:type="dxa" w:w="7030"/>
          </w:tcPr>
          <w:p>
            <w:r/>
            <w:r>
              <w:rPr>
                <w:color w:val="1A1A1A"/>
                <w:sz w:val="20"/>
              </w:rPr>
              <w:t>On-Board Inert Gas Generating System for fuel-tank inerting</w:t>
            </w:r>
          </w:p>
        </w:tc>
      </w:tr>
      <w:tr>
        <w:tc>
          <w:tcPr>
            <w:tcW w:type="dxa" w:w="2041"/>
            <w:shd w:val="clear" w:fill="D9E2F3"/>
          </w:tcPr>
          <w:p>
            <w:r/>
            <w:r>
              <w:rPr>
                <w:color w:val="1A1A1A"/>
                <w:sz w:val="20"/>
              </w:rPr>
              <w:t>PV</w:t>
            </w:r>
          </w:p>
        </w:tc>
        <w:tc>
          <w:tcPr>
            <w:tcW w:type="dxa" w:w="7030"/>
            <w:shd w:val="clear" w:fill="D9E2F3"/>
          </w:tcPr>
          <w:p>
            <w:r/>
            <w:r>
              <w:rPr>
                <w:color w:val="1A1A1A"/>
                <w:sz w:val="20"/>
              </w:rPr>
              <w:t>Pending Validation item, per the register at Section 17</w:t>
            </w:r>
          </w:p>
        </w:tc>
      </w:tr>
      <w:tr>
        <w:tc>
          <w:tcPr>
            <w:tcW w:type="dxa" w:w="2041"/>
          </w:tcPr>
          <w:p>
            <w:r/>
            <w:r>
              <w:rPr>
                <w:color w:val="1A1A1A"/>
                <w:sz w:val="20"/>
              </w:rPr>
              <w:t>RAM</w:t>
            </w:r>
          </w:p>
        </w:tc>
        <w:tc>
          <w:tcPr>
            <w:tcW w:type="dxa" w:w="7030"/>
          </w:tcPr>
          <w:p>
            <w:r/>
            <w:r>
              <w:rPr>
                <w:color w:val="1A1A1A"/>
                <w:sz w:val="20"/>
              </w:rPr>
              <w:t>Radar-Absorbent Material</w:t>
            </w:r>
          </w:p>
        </w:tc>
      </w:tr>
      <w:tr>
        <w:tc>
          <w:tcPr>
            <w:tcW w:type="dxa" w:w="2041"/>
            <w:shd w:val="clear" w:fill="D9E2F3"/>
          </w:tcPr>
          <w:p>
            <w:r/>
            <w:r>
              <w:rPr>
                <w:color w:val="1A1A1A"/>
                <w:sz w:val="20"/>
              </w:rPr>
              <w:t>SEAD</w:t>
            </w:r>
          </w:p>
        </w:tc>
        <w:tc>
          <w:tcPr>
            <w:tcW w:type="dxa" w:w="7030"/>
            <w:shd w:val="clear" w:fill="D9E2F3"/>
          </w:tcPr>
          <w:p>
            <w:r/>
            <w:r>
              <w:rPr>
                <w:color w:val="1A1A1A"/>
                <w:sz w:val="20"/>
              </w:rPr>
              <w:t>Suppression of Enemy Air Defences</w:t>
            </w:r>
          </w:p>
        </w:tc>
      </w:tr>
      <w:tr>
        <w:tc>
          <w:tcPr>
            <w:tcW w:type="dxa" w:w="2041"/>
          </w:tcPr>
          <w:p>
            <w:r/>
            <w:r>
              <w:rPr>
                <w:color w:val="1A1A1A"/>
                <w:sz w:val="20"/>
              </w:rPr>
              <w:t>STANAG 4671</w:t>
            </w:r>
          </w:p>
        </w:tc>
        <w:tc>
          <w:tcPr>
            <w:tcW w:type="dxa" w:w="7030"/>
          </w:tcPr>
          <w:p>
            <w:r/>
            <w:r>
              <w:rPr>
                <w:color w:val="1A1A1A"/>
                <w:sz w:val="20"/>
              </w:rPr>
              <w:t>NATO airworthiness standard for fixed-wing unmanned aircraft systems</w:t>
            </w:r>
          </w:p>
        </w:tc>
      </w:tr>
      <w:tr>
        <w:tc>
          <w:tcPr>
            <w:tcW w:type="dxa" w:w="2041"/>
            <w:shd w:val="clear" w:fill="D9E2F3"/>
          </w:tcPr>
          <w:p>
            <w:r/>
            <w:r>
              <w:rPr>
                <w:color w:val="1A1A1A"/>
                <w:sz w:val="20"/>
              </w:rPr>
              <w:t>Supercruise</w:t>
            </w:r>
          </w:p>
        </w:tc>
        <w:tc>
          <w:tcPr>
            <w:tcW w:type="dxa" w:w="7030"/>
            <w:shd w:val="clear" w:fill="D9E2F3"/>
          </w:tcPr>
          <w:p>
            <w:r/>
            <w:r>
              <w:rPr>
                <w:color w:val="1A1A1A"/>
                <w:sz w:val="20"/>
              </w:rPr>
              <w:t>Sustained supersonic flight on dry (non-afterburning) thrust</w:t>
            </w:r>
          </w:p>
        </w:tc>
      </w:tr>
      <w:tr>
        <w:tc>
          <w:tcPr>
            <w:tcW w:type="dxa" w:w="2041"/>
          </w:tcPr>
          <w:p>
            <w:r/>
            <w:r>
              <w:rPr>
                <w:color w:val="1A1A1A"/>
                <w:sz w:val="20"/>
              </w:rPr>
              <w:t>TRL</w:t>
            </w:r>
          </w:p>
        </w:tc>
        <w:tc>
          <w:tcPr>
            <w:tcW w:type="dxa" w:w="7030"/>
          </w:tcPr>
          <w:p>
            <w:r/>
            <w:r>
              <w:rPr>
                <w:color w:val="1A1A1A"/>
                <w:sz w:val="20"/>
              </w:rPr>
              <w:t>Technology Readiness Level, 1 (concept) to 9 (proven in operations)</w:t>
            </w:r>
          </w:p>
        </w:tc>
      </w:tr>
      <w:tr>
        <w:tc>
          <w:tcPr>
            <w:tcW w:type="dxa" w:w="2041"/>
            <w:shd w:val="clear" w:fill="D9E2F3"/>
          </w:tcPr>
          <w:p>
            <w:r/>
            <w:r>
              <w:rPr>
                <w:color w:val="1A1A1A"/>
                <w:sz w:val="20"/>
              </w:rPr>
              <w:t>TTNT</w:t>
            </w:r>
          </w:p>
        </w:tc>
        <w:tc>
          <w:tcPr>
            <w:tcW w:type="dxa" w:w="7030"/>
            <w:shd w:val="clear" w:fill="D9E2F3"/>
          </w:tcPr>
          <w:p>
            <w:r/>
            <w:r>
              <w:rPr>
                <w:color w:val="1A1A1A"/>
                <w:sz w:val="20"/>
              </w:rPr>
              <w:t>Tactical Targeting Network Technology class of high-rate mesh datalink</w:t>
            </w:r>
          </w:p>
        </w:tc>
      </w:tr>
    </w:tbl>
    <w:p>
      <w:pPr>
        <w:jc w:val="center"/>
      </w:pPr>
      <w:r>
        <w:rPr>
          <w:i/>
          <w:sz w:val="19"/>
        </w:rPr>
        <w:t>Table B-1. Glossary.</w:t>
      </w:r>
    </w:p>
    <w:p/>
    <w:p>
      <w:r>
        <w:rPr>
          <w:b w:val="0"/>
          <w:i/>
          <w:sz w:val="19"/>
        </w:rPr>
        <w:t>End of document. Analytic concept study for concept evaluation; all figures are planning values pending the verification events named in Section 17.</w:t>
      </w:r>
    </w:p>
    <w:sectPr w:rsidR="00FC693F" w:rsidRPr="0006063C" w:rsidSect="00034616">
      <w:headerReference w:type="default" r:id="rId9"/>
      <w:footerReference w:type="default" r:id="rId10"/>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44444"/>
        <w:sz w:val="16"/>
      </w:rPr>
      <w:t>Analytic Concept Study | No Classified Information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444444"/>
        <w:sz w:val="16"/>
      </w:rPr>
      <w:t>AURUP-TS-2026-001 | The Aurup Technical Specifications v1.0 | CDR-80 Baseline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39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