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a461eb62f2a49c6" /></Relationships>
</file>

<file path=word/document.xml><?xml version="1.0" encoding="utf-8"?>
<w:document xmlns:r="http://schemas.openxmlformats.org/officeDocument/2006/relationships" xmlns:w="http://schemas.openxmlformats.org/wordprocessingml/2006/main">
  <w:body>
    <w:p>
      <w:pPr>
        <w:spacing w:before="3200"/>
      </w:pPr>
      <w:r/>
    </w:p>
    <w:p>
      <w:pPr>
        <w:spacing w:after="200"/>
        <w:jc w:val="center"/>
      </w:pPr>
      <w:r>
        <w:rPr>
          <w:rFonts w:ascii="Cambria" w:hAnsi="Cambria"/>
          <w:b/>
          <w:color w:val="6B4423"/>
          <w:sz w:val="88"/>
        </w:rPr>
        <w:t>Coffee</w:t>
      </w:r>
    </w:p>
    <w:p>
      <w:pPr>
        <w:spacing w:after="200"/>
        <w:jc w:val="center"/>
      </w:pPr>
      <w:r>
        <w:rPr>
          <w:rFonts w:ascii="Cambria" w:hAnsi="Cambria"/>
          <w:b/>
          <w:color w:val="8B6914"/>
          <w:sz w:val="32"/>
        </w:rPr>
        <w:t>A Collagen Inhibitor Turned Treatment</w:t>
      </w:r>
    </w:p>
    <w:p>
      <w:pPr>
        <w:spacing w:after="600"/>
        <w:jc w:val="center"/>
      </w:pPr>
      <w:r>
        <w:rPr>
          <w:rFonts w:ascii="Cambria" w:hAnsi="Cambria"/>
          <w:i/>
          <w:color w:val="A0522D"/>
          <w:sz w:val="26"/>
        </w:rPr>
        <w:t>The Caff-Inhib Framework for Targeted Collagen Modulation</w:t>
      </w:r>
    </w:p>
    <w:p>
      <w:pPr>
        <w:pBdr>
          <w:bottom w:val="single" w:color="6B4423" w:sz="12"/>
        </w:pBdr>
        <w:spacing w:before="600" w:after="600"/>
      </w:pPr>
      <w:r/>
    </w:p>
    <w:p>
      <w:pPr>
        <w:spacing w:after="200"/>
        <w:jc w:val="center"/>
      </w:pPr>
      <w:r>
        <w:rPr>
          <w:rFonts w:ascii="Cambria" w:hAnsi="Cambria"/>
          <w:b/>
          <w:color w:val="5C4033"/>
          <w:sz w:val="22"/>
        </w:rPr>
        <w:t>Fourth Edition | Enhanced with Clinical Decision Tools, Regulatory Pathway, and Cost Analysis</w:t>
      </w:r>
    </w:p>
    <w:p>
      <w:pPr>
        <w:spacing w:after="200"/>
        <w:jc w:val="center"/>
      </w:pPr>
      <w:r>
        <w:rPr>
          <w:rFonts w:ascii="Cambria" w:hAnsi="Cambria"/>
          <w:b/>
          <w:color w:val="5C4033"/>
          <w:sz w:val="22"/>
        </w:rPr>
        <w:t>Scientific Concept Document | Evidence-Based Framework</w:t>
      </w:r>
    </w:p>
    <w:p>
      <w:pPr>
        <w:spacing w:before="1600"/>
        <w:jc w:val="center"/>
      </w:pPr>
      <w:r>
        <w:rPr>
          <w:color w:val="8B7355"/>
          <w:sz w:val="24"/>
        </w:rPr>
        <w:t>June 2026</w:t>
      </w:r>
    </w:p>
    <w:p>
      <w:pPr>
        <w:sectPr>
          <w:type w:val="nextPage"/>
          <w:pgSz w:w="11906" w:h="16838"/>
          <w:pgMar w:top="1440" w:right="1440" w:bottom="1440" w:left="1440" w:header="720" w:footer="720"/>
        </w:sectPr>
      </w:pPr>
    </w:p>
    <w:p>
      <w:pPr>
        <w:pStyle w:val="Heading1"/>
      </w:pPr>
      <w:r>
        <w:t>Table of Contents</w:t>
      </w:r>
    </w:p>
    <w:p>
      <w:pPr>
        <w:spacing w:after="200"/>
      </w:pPr>
      <w:r>
        <w:rPr>
          <w:color w:val="8B7355"/>
          <w:sz w:val="20"/>
        </w:rPr>
        <w:t>Right-click and select "Update Field" to refresh page numbers after editing</w:t>
      </w:r>
    </w:p>
    <w:p>
      <w:r>
        <w:fldChar w:fldCharType="begin"/>
      </w:r>
      <w:r>
        <w:instrText xml:space="preserve"> TOC \o "1-3" \h \z \u </w:instrText>
      </w:r>
      <w:r>
        <w:fldChar w:fldCharType="separate"/>
      </w:r>
    </w:p>
    <w:p>
      <w:pPr>
        <w:pStyle w:val="TOC1"/>
      </w:pPr>
      <w:r>
        <w:t>Abstract and Scientific Rationale</w:t>
      </w:r>
      <w:r>
        <w:tab/>
      </w:r>
      <w:r>
        <w:t>3</w:t>
      </w:r>
    </w:p>
    <w:p>
      <w:pPr>
        <w:pStyle w:val="TOC1"/>
      </w:pPr>
      <w:r>
        <w:t>Executive Summary</w:t>
      </w:r>
      <w:r>
        <w:tab/>
      </w:r>
      <w:r>
        <w:t>4</w:t>
      </w:r>
    </w:p>
    <w:p>
      <w:pPr>
        <w:pStyle w:val="TOC1"/>
      </w:pPr>
      <w:r>
        <w:t>The Core Mechanism</w:t>
      </w:r>
      <w:r>
        <w:tab/>
      </w:r>
      <w:r>
        <w:t>5</w:t>
      </w:r>
    </w:p>
    <w:p>
      <w:pPr>
        <w:pStyle w:val="TOC2"/>
      </w:pPr>
      <w:r>
        <w:t>Prolidase: The Collagen Gatekeeper</w:t>
      </w:r>
      <w:r>
        <w:tab/>
      </w:r>
      <w:r>
        <w:t>5</w:t>
      </w:r>
    </w:p>
    <w:p>
      <w:pPr>
        <w:pStyle w:val="TOC2"/>
      </w:pPr>
      <w:r>
        <w:t>Dose-Response: From 48% to 92% Inhibition</w:t>
      </w:r>
      <w:r>
        <w:tab/>
      </w:r>
      <w:r>
        <w:t>6</w:t>
      </w:r>
    </w:p>
    <w:p>
      <w:pPr>
        <w:pStyle w:val="TOC2"/>
      </w:pPr>
      <w:r>
        <w:t>The Dual Nature of Caffeine's Effect</w:t>
      </w:r>
      <w:r>
        <w:tab/>
      </w:r>
      <w:r>
        <w:t>7</w:t>
      </w:r>
    </w:p>
    <w:p>
      <w:pPr>
        <w:pStyle w:val="TOC2"/>
      </w:pPr>
      <w:r>
        <w:t>Beyond Caffeine: Chlorogenic Acids and Coffee Synergy</w:t>
      </w:r>
      <w:r>
        <w:tab/>
      </w:r>
      <w:r>
        <w:t>8</w:t>
      </w:r>
    </w:p>
    <w:p>
      <w:pPr>
        <w:pStyle w:val="TOC2"/>
      </w:pPr>
      <w:r>
        <w:t>The Coffee-Collagen Paradox</w:t>
      </w:r>
      <w:r>
        <w:tab/>
      </w:r>
      <w:r>
        <w:t>9</w:t>
      </w:r>
    </w:p>
    <w:p>
      <w:pPr>
        <w:pStyle w:val="TOC2"/>
      </w:pPr>
      <w:r>
        <w:t>Mechanism of Action: Pathway Schematic</w:t>
      </w:r>
      <w:r>
        <w:tab/>
      </w:r>
      <w:r>
        <w:t>10</w:t>
      </w:r>
    </w:p>
    <w:p>
      <w:pPr>
        <w:pStyle w:val="TOC1"/>
      </w:pPr>
      <w:r>
        <w:t>Pharmacokinetic Considerations</w:t>
      </w:r>
      <w:r>
        <w:tab/>
      </w:r>
      <w:r>
        <w:t>11</w:t>
      </w:r>
    </w:p>
    <w:p>
      <w:pPr>
        <w:pStyle w:val="TOC1"/>
      </w:pPr>
      <w:r>
        <w:t>The Caff-Inhib Framework</w:t>
      </w:r>
      <w:r>
        <w:tab/>
      </w:r>
      <w:r>
        <w:t>13</w:t>
      </w:r>
    </w:p>
    <w:p>
      <w:pPr>
        <w:pStyle w:val="TOC2"/>
      </w:pPr>
      <w:r>
        <w:t>Tier 1: Topical Application</w:t>
      </w:r>
      <w:r>
        <w:tab/>
      </w:r>
      <w:r>
        <w:t>13</w:t>
      </w:r>
    </w:p>
    <w:p>
      <w:pPr>
        <w:pStyle w:val="TOC2"/>
      </w:pPr>
      <w:r>
        <w:t>Tier 2: Oral-Enteric Delivery</w:t>
      </w:r>
      <w:r>
        <w:tab/>
      </w:r>
      <w:r>
        <w:t>15</w:t>
      </w:r>
    </w:p>
    <w:p>
      <w:pPr>
        <w:pStyle w:val="TOC2"/>
      </w:pPr>
      <w:r>
        <w:t>Tier 3: Peri-Operative Local Injection</w:t>
      </w:r>
      <w:r>
        <w:tab/>
      </w:r>
      <w:r>
        <w:t>16</w:t>
      </w:r>
    </w:p>
    <w:p>
      <w:pPr>
        <w:pStyle w:val="TOC2"/>
      </w:pPr>
      <w:r>
        <w:t>Framework Comparison: Caff-Inhib vs. Standard of Care</w:t>
      </w:r>
      <w:r>
        <w:tab/>
      </w:r>
      <w:r>
        <w:t>17</w:t>
      </w:r>
    </w:p>
    <w:p>
      <w:pPr>
        <w:pStyle w:val="TOC2"/>
      </w:pPr>
      <w:r>
        <w:t>Patient Selection and Clinical Decision Algorithm</w:t>
      </w:r>
      <w:r>
        <w:tab/>
      </w:r>
      <w:r>
        <w:t>18</w:t>
      </w:r>
    </w:p>
    <w:p>
      <w:pPr>
        <w:pStyle w:val="TOC2"/>
      </w:pPr>
      <w:r>
        <w:t>Combination Therapy with Clinical Scenarios</w:t>
      </w:r>
      <w:r>
        <w:tab/>
      </w:r>
      <w:r>
        <w:t>19</w:t>
      </w:r>
    </w:p>
    <w:p>
      <w:pPr>
        <w:pStyle w:val="TOC1"/>
      </w:pPr>
      <w:r>
        <w:t>Safety Guardrails</w:t>
      </w:r>
      <w:r>
        <w:tab/>
      </w:r>
      <w:r>
        <w:t>21</w:t>
      </w:r>
    </w:p>
    <w:p>
      <w:pPr>
        <w:pStyle w:val="TOC1"/>
      </w:pPr>
      <w:r>
        <w:t>Cost-Effectiveness Analysis</w:t>
      </w:r>
      <w:r>
        <w:tab/>
      </w:r>
      <w:r>
        <w:t>23</w:t>
      </w:r>
    </w:p>
    <w:p>
      <w:pPr>
        <w:pStyle w:val="TOC1"/>
      </w:pPr>
      <w:r>
        <w:t>Regulatory Pathway</w:t>
      </w:r>
      <w:r>
        <w:tab/>
      </w:r>
      <w:r>
        <w:t>24</w:t>
      </w:r>
    </w:p>
    <w:p>
      <w:pPr>
        <w:pStyle w:val="TOC1"/>
      </w:pPr>
      <w:r>
        <w:t>2025-2026 Research Validation</w:t>
      </w:r>
      <w:r>
        <w:tab/>
      </w:r>
      <w:r>
        <w:t>26</w:t>
      </w:r>
    </w:p>
    <w:p>
      <w:pPr>
        <w:pStyle w:val="TOC2"/>
      </w:pPr>
      <w:r>
        <w:t>Caffeine and Exercise Adaptation</w:t>
      </w:r>
      <w:r>
        <w:tab/>
      </w:r>
      <w:r>
        <w:t>26</w:t>
      </w:r>
    </w:p>
    <w:p>
      <w:pPr>
        <w:pStyle w:val="TOC2"/>
      </w:pPr>
      <w:r>
        <w:t>Liver Fibrosis Clinical Trial</w:t>
      </w:r>
      <w:r>
        <w:tab/>
      </w:r>
      <w:r>
        <w:t>27</w:t>
      </w:r>
    </w:p>
    <w:p>
      <w:pPr>
        <w:pStyle w:val="TOC2"/>
      </w:pPr>
      <w:r>
        <w:t>Hepatic Stellate Cell Mechanism</w:t>
      </w:r>
      <w:r>
        <w:tab/>
      </w:r>
      <w:r>
        <w:t>28</w:t>
      </w:r>
    </w:p>
    <w:p>
      <w:pPr>
        <w:pStyle w:val="TOC2"/>
      </w:pPr>
      <w:r>
        <w:t>Gut Microbiome and Nrf2 Pathways</w:t>
      </w:r>
      <w:r>
        <w:tab/>
      </w:r>
      <w:r>
        <w:t>29</w:t>
      </w:r>
    </w:p>
    <w:p>
      <w:pPr>
        <w:pStyle w:val="TOC2"/>
      </w:pPr>
      <w:r>
        <w:t>Epidemiological Evidence</w:t>
      </w:r>
      <w:r>
        <w:tab/>
      </w:r>
      <w:r>
        <w:t>30</w:t>
      </w:r>
    </w:p>
    <w:p>
      <w:pPr>
        <w:pStyle w:val="TOC2"/>
      </w:pPr>
      <w:r>
        <w:t>Keloid Scratch Assay</w:t>
      </w:r>
      <w:r>
        <w:tab/>
      </w:r>
      <w:r>
        <w:t>31</w:t>
      </w:r>
    </w:p>
    <w:p>
      <w:pPr>
        <w:pStyle w:val="TOC2"/>
      </w:pPr>
      <w:r>
        <w:t>HBV Meta-Analysis Nuance</w:t>
      </w:r>
      <w:r>
        <w:tab/>
      </w:r>
      <w:r>
        <w:t>32</w:t>
      </w:r>
    </w:p>
    <w:p>
      <w:pPr>
        <w:pStyle w:val="TOC1"/>
      </w:pPr>
      <w:r>
        <w:t>The Cancer Connection</w:t>
      </w:r>
      <w:r>
        <w:tab/>
      </w:r>
      <w:r>
        <w:t>33</w:t>
      </w:r>
    </w:p>
    <w:p>
      <w:pPr>
        <w:pStyle w:val="TOC1"/>
      </w:pPr>
      <w:r>
        <w:t>2026 Frontiers</w:t>
      </w:r>
      <w:r>
        <w:tab/>
      </w:r>
      <w:r>
        <w:t>34</w:t>
      </w:r>
    </w:p>
    <w:p>
      <w:pPr>
        <w:pStyle w:val="TOC1"/>
      </w:pPr>
      <w:r>
        <w:t>Limitations and Proposed Solutions</w:t>
      </w:r>
      <w:r>
        <w:tab/>
      </w:r>
      <w:r>
        <w:t>36</w:t>
      </w:r>
    </w:p>
    <w:p>
      <w:pPr>
        <w:pStyle w:val="TOC1"/>
      </w:pPr>
      <w:r>
        <w:t>Future Directions and Conclusion</w:t>
      </w:r>
      <w:r>
        <w:tab/>
      </w:r>
      <w:r>
        <w:t>38</w:t>
      </w:r>
    </w:p>
    <w:p>
      <w:pPr>
        <w:pStyle w:val="TOC1"/>
      </w:pPr>
      <w:r>
        <w:t>Glossary of Terms</w:t>
      </w:r>
      <w:r>
        <w:tab/>
      </w:r>
      <w:r>
        <w:t>40</w:t>
      </w:r>
    </w:p>
    <w:p>
      <w:pPr>
        <w:pStyle w:val="TOC1"/>
      </w:pPr>
      <w:r>
        <w:t>References</w:t>
      </w:r>
      <w:r>
        <w:tab/>
      </w:r>
      <w:r>
        <w:t>41</w:t>
      </w:r>
    </w:p>
    <w:p>
      <w:r>
        <w:fldChar w:fldCharType="end"/>
      </w:r>
    </w:p>
    <w:p>
      <w:pPr>
        <w:sectPr>
          <w:type w:val="nextPage"/>
          <w:pgSz w:w="11906" w:h="16838"/>
          <w:pgMar w:top="1440" w:right="1440" w:bottom="1440" w:left="1440" w:header="720" w:footer="720"/>
        </w:sectPr>
      </w:pPr>
    </w:p>
    <w:p>
      <w:pPr>
        <w:pStyle w:val="Heading1"/>
      </w:pPr>
      <w:r>
        <w:t>Abstract and Scientific Rationale</w:t>
      </w:r>
    </w:p>
    <w:p>
      <w:pPr>
        <w:spacing w:after="200" w:line="360" w:lineRule="auto"/>
        <w:jc w:val="both"/>
      </w:pPr>
      <w:r>
        <w:t xml:space="preserve">Caffeine is the world's most widely consumed psychoactive substance. For decades, its effects were understood primarily as central nervous system stimulation via adenosine receptor antagonism. However, growing evidence has revealed a different property: its ability to inhibit collagen synthesis at the enzymatic level through prolidase inhibition, with profound implications for health and disease.</w:t>
      </w:r>
    </w:p>
    <w:p>
      <w:pPr>
        <w:spacing w:after="200" w:line="360" w:lineRule="auto"/>
        <w:jc w:val="both"/>
      </w:pPr>
      <w:r>
        <w:t xml:space="preserve">This document presents the Caff-Inhib Framework, a three-tiered therapeutic approach leveraging caffeine's collagen-inhibiting properties for targeted clinical applications. Grounded in research from the foundational 2014 Donejko discovery to landmark 2025 randomized controlled trials and emerging 2026 evidence, the framework transforms caffeine's "side effect" into a therapeutic advantage for pathological scarring, liver fibrosis, and surgical adhesion prevention.</w:t>
      </w:r>
    </w:p>
    <w:p>
      <w:pPr>
        <w:pStyle w:val="Heading1"/>
      </w:pPr>
      <w:r>
        <w:t>Executive Summary</w:t>
      </w:r>
    </w:p>
    <w:p>
      <w:pPr>
        <w:spacing w:after="120" w:line="312" w:lineRule="auto"/>
        <w:ind w:left="720" w:hanging="360"/>
      </w:pPr>
      <w:r>
        <w:rPr>
          <w:color w:val="2C1810"/>
          <w:sz w:val="24"/>
        </w:rPr>
        <w:t xml:space="preserve">• The Problem: Pathological collagen overproduction drives disabling and life-threatening conditions including keloid scarring, liver cirrhosis, and post-surgical adhesions. Current treatments are expensive, invasive, or variably effective.</w:t>
      </w:r>
    </w:p>
    <w:p>
      <w:pPr>
        <w:spacing w:after="120" w:line="312" w:lineRule="auto"/>
        <w:ind w:left="720" w:hanging="360"/>
      </w:pPr>
      <w:r>
        <w:rPr>
          <w:color w:val="2C1810"/>
          <w:sz w:val="24"/>
        </w:rPr>
        <w:t xml:space="preserve">• The Mechanism: Caffeine inhibits the enzyme prolidase, reducing proline recycling and collagen synthesis by 48-92% in a dose-dependent manner (1-5 mM). It also suppresses hepatic stellate cell activation via adenosine A2A receptor antagonism, blocking TGF-beta and ERK1/2 profibrotic signaling.</w:t>
      </w:r>
    </w:p>
    <w:p>
      <w:pPr>
        <w:spacing w:after="120" w:line="312" w:lineRule="auto"/>
        <w:ind w:left="720" w:hanging="360"/>
      </w:pPr>
      <w:r>
        <w:rPr>
          <w:color w:val="2C1810"/>
          <w:sz w:val="24"/>
        </w:rPr>
        <w:t xml:space="preserve">• Three-Tiered Framework: (1) Topical caffeine-sonophoresis for scars and keloids; (2) Oral 400 mg/day caffeine for liver fibrosis (MASLD/NASH, post-HCV, alcoholic cirrhosis); (3) Peri-operative local caffeine injection for surgical adhesion prevention. All tiers use localized delivery to achieve therapeutic concentrations without systemic toxicity.</w:t>
      </w:r>
    </w:p>
    <w:p>
      <w:pPr>
        <w:spacing w:after="120" w:line="312" w:lineRule="auto"/>
        <w:ind w:left="720" w:hanging="360"/>
      </w:pPr>
      <w:r>
        <w:rPr>
          <w:color w:val="2C1810"/>
          <w:sz w:val="24"/>
        </w:rPr>
        <w:t xml:space="preserve">• Key Evidence: The 2025 Abbas-Hashemi RCT (n=50 cirrhotic patients, 8 weeks) demonstrated that 400 mg/day caffeine significantly improved FIB-4 (p&lt;0.001), APRI (p&lt;0.001), and reduced inflammatory markers (hs-CRP, IL-6, TNF-alpha) with zero adverse events. Large-scale epidemiological studies (NHANES n=23,711; UK Biobank n&gt;300,000) confirm dose-dependent protection against liver fibrosis.</w:t>
      </w:r>
    </w:p>
    <w:p>
      <w:pPr>
        <w:spacing w:after="120" w:line="312" w:lineRule="auto"/>
        <w:ind w:left="720" w:hanging="360"/>
      </w:pPr>
      <w:r>
        <w:rPr>
          <w:color w:val="2C1810"/>
          <w:sz w:val="24"/>
        </w:rPr>
        <w:t xml:space="preserve">• Safety: CYP1A2 genotyping is mandatory for Tier 2. Slow metabolizers are excluded. Baseline ECG required. The 400 mg dose sits below the 5.7 mg/kg threshold shown to impair exercise adaptation.</w:t>
      </w:r>
    </w:p>
    <w:p>
      <w:pPr>
        <w:spacing w:after="120" w:line="312" w:lineRule="auto"/>
        <w:ind w:left="720" w:hanging="360"/>
      </w:pPr>
      <w:r>
        <w:rPr>
          <w:color w:val="2C1810"/>
          <w:sz w:val="24"/>
        </w:rPr>
        <w:t xml:space="preserve">• Cost Advantage: Caffeine costs approximately $0.02-0.05 per 200 mg tablet. Annual therapy cost is under $40 vs. pirfenidone at ~$100,000/year or nintedanib at ~$110,000/year for fibrotic lung disease.</w:t>
      </w:r>
    </w:p>
    <w:p>
      <w:pPr>
        <w:spacing w:after="120" w:line="312" w:lineRule="auto"/>
        <w:ind w:left="720" w:hanging="360"/>
      </w:pPr>
      <w:r>
        <w:rPr>
          <w:color w:val="2C1810"/>
          <w:sz w:val="24"/>
        </w:rPr>
        <w:t xml:space="preserve">• Limitations: No human PK data for Tiers 1 and 3. HBV-related fibrosis excluded (meta-analysis shows no benefit). Eight-week trial duration requires longer-term validation. Combination therapy data are preliminary.</w:t>
      </w:r>
    </w:p>
    <w:p>
      <w:pPr>
        <w:spacing w:after="120" w:line="312" w:lineRule="auto"/>
        <w:ind w:left="720" w:hanging="360"/>
      </w:pPr>
      <w:r>
        <w:rPr>
          <w:color w:val="2C1810"/>
          <w:sz w:val="24"/>
        </w:rPr>
        <w:t xml:space="preserve">• Regulatory Path: Tier 2 is eligible for drug repurposing (505(b)(2) NDA) leveraging caffeine's GRAS status and extensive safety database. Tier 1 may qualify as a cosmetic/dermatological device-drug combination. Tier 3 requires preclinical validation before IND submission.</w:t>
      </w:r>
    </w:p>
    <w:p>
      <w:pPr>
        <w:pStyle w:val="Heading1"/>
      </w:pPr>
      <w:r>
        <w:t>The Core Mechanism</w:t>
      </w:r>
    </w:p>
    <w:p>
      <w:pPr>
        <w:pStyle w:val="Heading2"/>
      </w:pPr>
      <w:r>
        <w:t>Prolidase: The Collagen Gatekeeper</w:t>
      </w:r>
    </w:p>
    <w:p>
      <w:pPr>
        <w:spacing w:after="200" w:line="360" w:lineRule="auto"/>
        <w:jc w:val="both"/>
      </w:pPr>
      <w:r>
        <w:t xml:space="preserve">The mechanism centers on prolidase (EC 3.4.13.9), the enzyme responsible for recycling proline from C-terminal proline-containing dipeptides during collagen degradation. Liberated proline becomes available for new collagen synthesis, creating a critical recycling loop. Without functional prolidase, fibroblasts cannot efficiently scavenge proline, and collagen production slows dramatically.</w:t>
      </w:r>
    </w:p>
    <w:p>
      <w:pPr>
        <w:spacing w:after="200" w:line="360" w:lineRule="auto"/>
        <w:jc w:val="both"/>
      </w:pPr>
      <w:r>
        <w:t xml:space="preserve">The foundational 2014 Donejko study in Drug Design, Development and Therapy exposed human skin fibroblasts to caffeine at 1 mM, 2 mM, and 5 mM for 24 hours. Collagen biosynthesis (tritiated proline incorporation) was inhibited by 48.04%, 72.90%, and 92.12% respectively. Prolidase activity was inhibited by 17.50%, 28.75%, and 38.75%. Western blot confirmed dose-dependent downregulation of beta-1 integrin and IGF-1 receptor expression, providing a complementary mechanism through MAPK/ERK pathway suppression.</w:t>
      </w:r>
    </w:p>
    <w:p>
      <w:pPr>
        <w:pStyle w:val="Heading2"/>
      </w:pPr>
      <w:r>
        <w:t>Dose-Response: From 48% to 92% Inhibition</w:t>
      </w:r>
    </w:p>
    <w:tbl>
      <w:tblPr>
        <w:tblW w:w="5000" w:type="pct"/>
        <w:tblBorders>
          <w:top w:val="single" w:color="6B4423" w:sz="12"/>
          <w:left w:val="nil"/>
          <w:bottom w:val="single" w:color="6B4423" w:sz="12"/>
          <w:right w:val="nil"/>
          <w:insideH w:val="single" w:color="D2B48C" w:sz="4"/>
          <w:insideV w:val="nil"/>
        </w:tblBorders>
      </w:tblPr>
      <w:tblGrid>
        <w:gridCol w:w="2000"/>
        <w:gridCol w:w="2000"/>
        <w:gridCol w:w="2000"/>
        <w:gridCol w:w="2000"/>
      </w:tblGrid>
      <w:tr>
        <w:trPr>
          <w:tblHeader/>
        </w:trPr>
        <w:tc>
          <w:tcPr>
            <w:tcW w:w="2000" w:type="dxa"/>
            <w:shd w:val="clear" w:fill="F5F0EB"/>
          </w:tcPr>
          <w:p>
            <w:pPr>
              <w:spacing w:before="60" w:after="60"/>
            </w:pPr>
            <w:r>
              <w:rPr>
                <w:b/>
                <w:color w:val="2C1810"/>
                <w:sz w:val="20"/>
              </w:rPr>
              <w:t xml:space="preserve">Caffeine [mM]</w:t>
            </w:r>
          </w:p>
        </w:tc>
        <w:tc>
          <w:tcPr>
            <w:tcW w:w="2000" w:type="dxa"/>
            <w:shd w:val="clear" w:fill="F5F0EB"/>
          </w:tcPr>
          <w:p>
            <w:pPr>
              <w:spacing w:before="60" w:after="60"/>
            </w:pPr>
            <w:r>
              <w:rPr>
                <w:b/>
                <w:color w:val="2C1810"/>
                <w:sz w:val="20"/>
              </w:rPr>
              <w:t xml:space="preserve">Collagen Inhibition</w:t>
            </w:r>
          </w:p>
        </w:tc>
        <w:tc>
          <w:tcPr>
            <w:tcW w:w="2000" w:type="dxa"/>
            <w:shd w:val="clear" w:fill="F5F0EB"/>
          </w:tcPr>
          <w:p>
            <w:pPr>
              <w:spacing w:before="60" w:after="60"/>
            </w:pPr>
            <w:r>
              <w:rPr>
                <w:b/>
                <w:color w:val="2C1810"/>
                <w:sz w:val="20"/>
              </w:rPr>
              <w:t xml:space="preserve">Prolidase Inhibition</w:t>
            </w:r>
          </w:p>
        </w:tc>
        <w:tc>
          <w:tcPr>
            <w:tcW w:w="2000" w:type="dxa"/>
            <w:shd w:val="clear" w:fill="F5F0EB"/>
          </w:tcPr>
          <w:p>
            <w:pPr>
              <w:spacing w:before="60" w:after="60"/>
            </w:pPr>
            <w:r>
              <w:rPr>
                <w:b/>
                <w:color w:val="2C1810"/>
                <w:sz w:val="20"/>
              </w:rPr>
              <w:t xml:space="preserve">Clinical Context</w:t>
            </w:r>
          </w:p>
        </w:tc>
      </w:tr>
      <w:tr>
        <w:tc>
          <w:tcPr>
            <w:tcW w:w="2000" w:type="dxa"/>
          </w:tcPr>
          <w:p>
            <w:pPr>
              <w:spacing w:before="60" w:after="60"/>
            </w:pPr>
            <w:r>
              <w:rPr>
                <w:color w:val="5C4033"/>
                <w:sz w:val="20"/>
              </w:rPr>
              <w:t xml:space="preserve">1 mM</w:t>
            </w:r>
          </w:p>
        </w:tc>
        <w:tc>
          <w:tcPr>
            <w:tcW w:w="2000" w:type="dxa"/>
          </w:tcPr>
          <w:p>
            <w:pPr>
              <w:spacing w:before="60" w:after="60"/>
            </w:pPr>
            <w:r>
              <w:rPr>
                <w:color w:val="5C4033"/>
                <w:sz w:val="20"/>
              </w:rPr>
              <w:t xml:space="preserve">48.0%</w:t>
            </w:r>
          </w:p>
        </w:tc>
        <w:tc>
          <w:tcPr>
            <w:tcW w:w="2000" w:type="dxa"/>
          </w:tcPr>
          <w:p>
            <w:pPr>
              <w:spacing w:before="60" w:after="60"/>
            </w:pPr>
            <w:r>
              <w:rPr>
                <w:color w:val="5C4033"/>
                <w:sz w:val="20"/>
              </w:rPr>
              <w:t xml:space="preserve">17.5%</w:t>
            </w:r>
          </w:p>
        </w:tc>
        <w:tc>
          <w:tcPr>
            <w:tcW w:w="2000" w:type="dxa"/>
          </w:tcPr>
          <w:p>
            <w:pPr>
              <w:spacing w:before="60" w:after="60"/>
            </w:pPr>
            <w:r>
              <w:rPr>
                <w:color w:val="5C4033"/>
                <w:sz w:val="20"/>
              </w:rPr>
              <w:t xml:space="preserve">Low therapeutic (topical achievable)</w:t>
            </w:r>
          </w:p>
        </w:tc>
      </w:tr>
      <w:tr>
        <w:tc>
          <w:tcPr>
            <w:tcW w:w="2000" w:type="dxa"/>
          </w:tcPr>
          <w:p>
            <w:pPr>
              <w:spacing w:before="60" w:after="60"/>
            </w:pPr>
            <w:r>
              <w:rPr>
                <w:color w:val="5C4033"/>
                <w:sz w:val="20"/>
              </w:rPr>
              <w:t xml:space="preserve">2 mM</w:t>
            </w:r>
          </w:p>
        </w:tc>
        <w:tc>
          <w:tcPr>
            <w:tcW w:w="2000" w:type="dxa"/>
          </w:tcPr>
          <w:p>
            <w:pPr>
              <w:spacing w:before="60" w:after="60"/>
            </w:pPr>
            <w:r>
              <w:rPr>
                <w:color w:val="5C4033"/>
                <w:sz w:val="20"/>
              </w:rPr>
              <w:t xml:space="preserve">72.9%</w:t>
            </w:r>
          </w:p>
        </w:tc>
        <w:tc>
          <w:tcPr>
            <w:tcW w:w="2000" w:type="dxa"/>
          </w:tcPr>
          <w:p>
            <w:pPr>
              <w:spacing w:before="60" w:after="60"/>
            </w:pPr>
            <w:r>
              <w:rPr>
                <w:color w:val="5C4033"/>
                <w:sz w:val="20"/>
              </w:rPr>
              <w:t xml:space="preserve">28.8%</w:t>
            </w:r>
          </w:p>
        </w:tc>
        <w:tc>
          <w:tcPr>
            <w:tcW w:w="2000" w:type="dxa"/>
          </w:tcPr>
          <w:p>
            <w:pPr>
              <w:spacing w:before="60" w:after="60"/>
            </w:pPr>
            <w:r>
              <w:rPr>
                <w:color w:val="5C4033"/>
                <w:sz w:val="20"/>
              </w:rPr>
              <w:t xml:space="preserve">Mid therapeutic (iontophoresis target)</w:t>
            </w:r>
          </w:p>
        </w:tc>
      </w:tr>
      <w:tr>
        <w:tc>
          <w:tcPr>
            <w:tcW w:w="2000" w:type="dxa"/>
          </w:tcPr>
          <w:p>
            <w:pPr>
              <w:spacing w:before="60" w:after="60"/>
            </w:pPr>
            <w:r>
              <w:rPr>
                <w:color w:val="5C4033"/>
                <w:sz w:val="20"/>
              </w:rPr>
              <w:t xml:space="preserve">5 mM</w:t>
            </w:r>
          </w:p>
        </w:tc>
        <w:tc>
          <w:tcPr>
            <w:tcW w:w="2000" w:type="dxa"/>
          </w:tcPr>
          <w:p>
            <w:pPr>
              <w:spacing w:before="60" w:after="60"/>
            </w:pPr>
            <w:r>
              <w:rPr>
                <w:color w:val="5C4033"/>
                <w:sz w:val="20"/>
              </w:rPr>
              <w:t xml:space="preserve">92.1%</w:t>
            </w:r>
          </w:p>
        </w:tc>
        <w:tc>
          <w:tcPr>
            <w:tcW w:w="2000" w:type="dxa"/>
          </w:tcPr>
          <w:p>
            <w:pPr>
              <w:spacing w:before="60" w:after="60"/>
            </w:pPr>
            <w:r>
              <w:rPr>
                <w:color w:val="5C4033"/>
                <w:sz w:val="20"/>
              </w:rPr>
              <w:t xml:space="preserve">38.8%</w:t>
            </w:r>
          </w:p>
        </w:tc>
        <w:tc>
          <w:tcPr>
            <w:tcW w:w="2000" w:type="dxa"/>
          </w:tcPr>
          <w:p>
            <w:pPr>
              <w:spacing w:before="60" w:after="60"/>
            </w:pPr>
            <w:r>
              <w:rPr>
                <w:color w:val="5C4033"/>
                <w:sz w:val="20"/>
              </w:rPr>
              <w:t xml:space="preserve">High therapeutic (local injection)</w:t>
            </w:r>
          </w:p>
        </w:tc>
      </w:tr>
    </w:tbl>
    <w:p>
      <w:pPr>
        <w:spacing w:after="200" w:line="360" w:lineRule="auto"/>
        <w:jc w:val="both"/>
      </w:pPr>
      <w:r>
        <w:t xml:space="preserve">Normal human plasma caffeine after 2-3 cups of coffee ranges from 5-25 mg/L (~0.025-0.13 mM). Therapeutic concentrations are 8-40 times higher, explaining why dietary coffee does not cause systemic collagen deficiency while pointing to the need for targeted delivery.</w:t>
      </w:r>
    </w:p>
    <w:p>
      <w:pPr>
        <w:pStyle w:val="Heading2"/>
      </w:pPr>
      <w:r>
        <w:t>The Dual Nature of Caffeine's Effect</w:t>
      </w:r>
    </w:p>
    <w:p>
      <w:pPr>
        <w:spacing w:after="200" w:line="360" w:lineRule="auto"/>
        <w:jc w:val="both"/>
      </w:pPr>
      <w:r>
        <w:t xml:space="preserve">The 2025 Steffen study at UC Davis (Journal of Applied Physiology) demonstrates the harmful dimension: caffeine reduced protein synthesis in C2C12 muscle cells by 31-41% and TTD6 tendon cells by 31-70%. Engineered human ligaments showed 45% decreased tensile load and 30% decreased collagen content at 1 mM. In vivo, mice at 5.7 mg/kg human equivalent showed no muscle or tendon gain with exercise.</w:t>
      </w:r>
    </w:p>
    <w:p>
      <w:pPr>
        <w:spacing w:after="200" w:line="360" w:lineRule="auto"/>
        <w:jc w:val="both"/>
      </w:pPr>
      <w:r>
        <w:t xml:space="preserve">Contrast this with the 2025 Abbas-Hashemi cirrhosis trial: 400 mg/day produced FIB-4 improvement (decrease 0.84 vs. placebo increase 0.61, p&lt;0.001), APRI improvement (decrease 0.25 vs. placebo increase 0.14, p&lt;0.001), and significant inflammatory marker reductions. The same mechanism that harms healthy collagen synthesis in athletes becomes life-preserving in cirrhotic patients. This duality is the framework's central design principle.</w:t>
      </w:r>
    </w:p>
    <w:p>
      <w:pPr>
        <w:pStyle w:val="Heading2"/>
      </w:pPr>
      <w:r>
        <w:t>Beyond Caffeine: Chlorogenic Acids and Coffee Synergy</w:t>
      </w:r>
    </w:p>
    <w:p>
      <w:pPr>
        <w:spacing w:after="200" w:line="360" w:lineRule="auto"/>
        <w:jc w:val="both"/>
      </w:pPr>
      <w:r>
        <w:t xml:space="preserve">The 2025 Vargas-Pozada review in Biochemical Pharmacology details that coffee's antifibrotic effects extend beyond caffeine. Chlorogenic acids activate Nrf2 antioxidant pathways, suppress NF-kappaB inflammation, and modulate TGF-beta signaling, while caffeine directly inhibits hepatic stellate cells via A2A receptor antagonism. Diterpenes (cafestol, kahweol) and melanoidins add hepatoprotective and prebiotic effects. Tier 2 may therefore benefit from whole-coffee consumption rather than isolated caffeine.</w:t>
      </w:r>
    </w:p>
    <w:p>
      <w:pPr>
        <w:pStyle w:val="Heading2"/>
      </w:pPr>
      <w:r>
        <w:t>The Coffee-Collagen Paradox</w:t>
      </w:r>
    </w:p>
    <w:p>
      <w:pPr>
        <w:spacing w:after="200" w:line="360" w:lineRule="auto"/>
        <w:jc w:val="both"/>
      </w:pPr>
      <w:r>
        <w:t xml:space="preserve">A 2025 Korean study (Lee, KCI) found that collagen peptide-coated coffee extract increased procollagen synthesis in fibroblasts and reduced UVB-induced skin thickening by 11.8-21.3%. The resolution: the collagen coating supplies exogenous proline, glycine, and hydroxyproline that bypass the prolidase-dependent recycling step. For fibrosis therapy, isolated caffeine is the appropriate tool; for cosmetic applications, the combination may be preferable.</w:t>
      </w:r>
    </w:p>
    <w:p>
      <w:pPr>
        <w:pStyle w:val="Heading2"/>
      </w:pPr>
      <w:r>
        <w:t>Mechanism of Action: Pathway Schematic</w:t>
      </w:r>
    </w:p>
    <w:p>
      <w:pPr>
        <w:spacing w:after="200" w:line="360" w:lineRule="auto"/>
        <w:jc w:val="both"/>
      </w:pPr>
      <w:r>
        <w:t xml:space="preserve">The following table summarizes the dual mechanistic pathways through which caffeine modulates collagen biology:</w:t>
      </w:r>
    </w:p>
    <w:tbl>
      <w:tblPr>
        <w:tblW w:w="5000" w:type="pct"/>
        <w:tblBorders>
          <w:top w:val="single" w:color="6B4423" w:sz="12"/>
          <w:left w:val="nil"/>
          <w:bottom w:val="single" w:color="6B4423" w:sz="12"/>
          <w:right w:val="nil"/>
          <w:insideH w:val="single" w:color="D2B48C" w:sz="4"/>
          <w:insideV w:val="nil"/>
        </w:tblBorders>
      </w:tblPr>
      <w:tblGrid>
        <w:gridCol w:w="2500"/>
        <w:gridCol w:w="2500"/>
        <w:gridCol w:w="2500"/>
        <w:gridCol w:w="2500"/>
      </w:tblGrid>
      <w:tr>
        <w:trPr>
          <w:tblHeader/>
        </w:trPr>
        <w:tc>
          <w:tcPr>
            <w:tcW w:w="2500" w:type="dxa"/>
            <w:shd w:val="clear" w:fill="F5F0EB"/>
          </w:tcPr>
          <w:p>
            <w:pPr>
              <w:spacing w:before="60" w:after="60"/>
            </w:pPr>
            <w:r>
              <w:rPr>
                <w:b/>
                <w:color w:val="2C1810"/>
                <w:sz w:val="20"/>
              </w:rPr>
              <w:t xml:space="preserve">Starting Point</w:t>
            </w:r>
          </w:p>
        </w:tc>
        <w:tc>
          <w:tcPr>
            <w:tcW w:w="2500" w:type="dxa"/>
            <w:shd w:val="clear" w:fill="F5F0EB"/>
          </w:tcPr>
          <w:p>
            <w:pPr>
              <w:spacing w:before="60" w:after="60"/>
            </w:pPr>
            <w:r>
              <w:rPr>
                <w:b/>
                <w:color w:val="2C1810"/>
                <w:sz w:val="20"/>
              </w:rPr>
              <w:t xml:space="preserve">Primary Target</w:t>
            </w:r>
          </w:p>
        </w:tc>
        <w:tc>
          <w:tcPr>
            <w:tcW w:w="2500" w:type="dxa"/>
            <w:shd w:val="clear" w:fill="F5F0EB"/>
          </w:tcPr>
          <w:p>
            <w:pPr>
              <w:spacing w:before="60" w:after="60"/>
            </w:pPr>
            <w:r>
              <w:rPr>
                <w:b/>
                <w:color w:val="2C1810"/>
                <w:sz w:val="20"/>
              </w:rPr>
              <w:t xml:space="preserve">Signaling Pathway</w:t>
            </w:r>
          </w:p>
        </w:tc>
        <w:tc>
          <w:tcPr>
            <w:tcW w:w="2500" w:type="dxa"/>
            <w:shd w:val="clear" w:fill="F5F0EB"/>
          </w:tcPr>
          <w:p>
            <w:pPr>
              <w:spacing w:before="60" w:after="60"/>
            </w:pPr>
            <w:r>
              <w:rPr>
                <w:b/>
                <w:color w:val="2C1810"/>
                <w:sz w:val="20"/>
              </w:rPr>
              <w:t xml:space="preserve">Final Effect</w:t>
            </w:r>
          </w:p>
        </w:tc>
      </w:tr>
      <w:tr>
        <w:tc>
          <w:tcPr>
            <w:tcW w:w="2500" w:type="dxa"/>
          </w:tcPr>
          <w:p>
            <w:pPr>
              <w:spacing w:before="60" w:after="60"/>
            </w:pPr>
            <w:r>
              <w:rPr>
                <w:color w:val="5C4033"/>
                <w:sz w:val="20"/>
              </w:rPr>
              <w:t xml:space="preserve">Caffeine</w:t>
            </w:r>
          </w:p>
        </w:tc>
        <w:tc>
          <w:tcPr>
            <w:tcW w:w="2500" w:type="dxa"/>
          </w:tcPr>
          <w:p>
            <w:pPr>
              <w:spacing w:before="60" w:after="60"/>
            </w:pPr>
            <w:r>
              <w:rPr>
                <w:color w:val="5C4033"/>
                <w:sz w:val="20"/>
              </w:rPr>
              <w:t xml:space="preserve">Prolidase enzyme</w:t>
            </w:r>
          </w:p>
        </w:tc>
        <w:tc>
          <w:tcPr>
            <w:tcW w:w="2500" w:type="dxa"/>
          </w:tcPr>
          <w:p>
            <w:pPr>
              <w:spacing w:before="60" w:after="60"/>
            </w:pPr>
            <w:r>
              <w:rPr>
                <w:color w:val="5C4033"/>
                <w:sz w:val="20"/>
              </w:rPr>
              <w:t xml:space="preserve">Direct enzymatic inhibition</w:t>
            </w:r>
          </w:p>
        </w:tc>
        <w:tc>
          <w:tcPr>
            <w:tcW w:w="2500" w:type="dxa"/>
          </w:tcPr>
          <w:p>
            <w:pPr>
              <w:spacing w:before="60" w:after="60"/>
            </w:pPr>
            <w:r>
              <w:rPr>
                <w:color w:val="5C4033"/>
                <w:sz w:val="20"/>
              </w:rPr>
              <w:t xml:space="preserve">Reduced proline recycling; decreased collagen synthesis</w:t>
            </w:r>
          </w:p>
        </w:tc>
      </w:tr>
      <w:tr>
        <w:tc>
          <w:tcPr>
            <w:tcW w:w="2500" w:type="dxa"/>
          </w:tcPr>
          <w:p>
            <w:pPr>
              <w:spacing w:before="60" w:after="60"/>
            </w:pPr>
            <w:r>
              <w:rPr>
                <w:color w:val="5C4033"/>
                <w:sz w:val="20"/>
              </w:rPr>
              <w:t xml:space="preserve">Caffeine</w:t>
            </w:r>
          </w:p>
        </w:tc>
        <w:tc>
          <w:tcPr>
            <w:tcW w:w="2500" w:type="dxa"/>
          </w:tcPr>
          <w:p>
            <w:pPr>
              <w:spacing w:before="60" w:after="60"/>
            </w:pPr>
            <w:r>
              <w:rPr>
                <w:color w:val="5C4033"/>
                <w:sz w:val="20"/>
              </w:rPr>
              <w:t xml:space="preserve">A2A receptors on HSCs</w:t>
            </w:r>
          </w:p>
        </w:tc>
        <w:tc>
          <w:tcPr>
            <w:tcW w:w="2500" w:type="dxa"/>
          </w:tcPr>
          <w:p>
            <w:pPr>
              <w:spacing w:before="60" w:after="60"/>
            </w:pPr>
            <w:r>
              <w:rPr>
                <w:color w:val="5C4033"/>
                <w:sz w:val="20"/>
              </w:rPr>
              <w:t xml:space="preserve">cAMP/PKA/SRC/ERK1/2 + P38 MAPK</w:t>
            </w:r>
          </w:p>
        </w:tc>
        <w:tc>
          <w:tcPr>
            <w:tcW w:w="2500" w:type="dxa"/>
          </w:tcPr>
          <w:p>
            <w:pPr>
              <w:spacing w:before="60" w:after="60"/>
            </w:pPr>
            <w:r>
              <w:rPr>
                <w:color w:val="5C4033"/>
                <w:sz w:val="20"/>
              </w:rPr>
              <w:t xml:space="preserve">Reduced procollagen I and III transcription</w:t>
            </w:r>
          </w:p>
        </w:tc>
      </w:tr>
      <w:tr>
        <w:tc>
          <w:tcPr>
            <w:tcW w:w="2500" w:type="dxa"/>
          </w:tcPr>
          <w:p>
            <w:pPr>
              <w:spacing w:before="60" w:after="60"/>
            </w:pPr>
            <w:r>
              <w:rPr>
                <w:color w:val="5C4033"/>
                <w:sz w:val="20"/>
              </w:rPr>
              <w:t xml:space="preserve">Caffeine</w:t>
            </w:r>
          </w:p>
        </w:tc>
        <w:tc>
          <w:tcPr>
            <w:tcW w:w="2500" w:type="dxa"/>
          </w:tcPr>
          <w:p>
            <w:pPr>
              <w:spacing w:before="60" w:after="60"/>
            </w:pPr>
            <w:r>
              <w:rPr>
                <w:color w:val="5C4033"/>
                <w:sz w:val="20"/>
              </w:rPr>
              <w:t xml:space="preserve">A2A receptors on HSCs</w:t>
            </w:r>
          </w:p>
        </w:tc>
        <w:tc>
          <w:tcPr>
            <w:tcW w:w="2500" w:type="dxa"/>
          </w:tcPr>
          <w:p>
            <w:pPr>
              <w:spacing w:before="60" w:after="60"/>
            </w:pPr>
            <w:r>
              <w:rPr>
                <w:color w:val="5C4033"/>
                <w:sz w:val="20"/>
              </w:rPr>
              <w:t xml:space="preserve">Akt1 signaling (CiNii 2025)</w:t>
            </w:r>
          </w:p>
        </w:tc>
        <w:tc>
          <w:tcPr>
            <w:tcW w:w="2500" w:type="dxa"/>
          </w:tcPr>
          <w:p>
            <w:pPr>
              <w:spacing w:before="60" w:after="60"/>
            </w:pPr>
            <w:r>
              <w:rPr>
                <w:color w:val="5C4033"/>
                <w:sz w:val="20"/>
              </w:rPr>
              <w:t xml:space="preserve">Suppressed HSC activation and myofibroblast transformation</w:t>
            </w:r>
          </w:p>
        </w:tc>
      </w:tr>
      <w:tr>
        <w:tc>
          <w:tcPr>
            <w:tcW w:w="2500" w:type="dxa"/>
          </w:tcPr>
          <w:p>
            <w:pPr>
              <w:spacing w:before="60" w:after="60"/>
            </w:pPr>
            <w:r>
              <w:rPr>
                <w:color w:val="5C4033"/>
                <w:sz w:val="20"/>
              </w:rPr>
              <w:t xml:space="preserve">Chlorogenic acids</w:t>
            </w:r>
          </w:p>
        </w:tc>
        <w:tc>
          <w:tcPr>
            <w:tcW w:w="2500" w:type="dxa"/>
          </w:tcPr>
          <w:p>
            <w:pPr>
              <w:spacing w:before="60" w:after="60"/>
            </w:pPr>
            <w:r>
              <w:rPr>
                <w:color w:val="5C4033"/>
                <w:sz w:val="20"/>
              </w:rPr>
              <w:t xml:space="preserve">Nrf2 transcription factor</w:t>
            </w:r>
          </w:p>
        </w:tc>
        <w:tc>
          <w:tcPr>
            <w:tcW w:w="2500" w:type="dxa"/>
          </w:tcPr>
          <w:p>
            <w:pPr>
              <w:spacing w:before="60" w:after="60"/>
            </w:pPr>
            <w:r>
              <w:rPr>
                <w:color w:val="5C4033"/>
                <w:sz w:val="20"/>
              </w:rPr>
              <w:t xml:space="preserve">ARE-driven antioxidant gene expression</w:t>
            </w:r>
          </w:p>
        </w:tc>
        <w:tc>
          <w:tcPr>
            <w:tcW w:w="2500" w:type="dxa"/>
          </w:tcPr>
          <w:p>
            <w:pPr>
              <w:spacing w:before="60" w:after="60"/>
            </w:pPr>
            <w:r>
              <w:rPr>
                <w:color w:val="5C4033"/>
                <w:sz w:val="20"/>
              </w:rPr>
              <w:t xml:space="preserve">Upregulated HO-1, NQO1, SOD, catalase</w:t>
            </w:r>
          </w:p>
        </w:tc>
      </w:tr>
      <w:tr>
        <w:tc>
          <w:tcPr>
            <w:tcW w:w="2500" w:type="dxa"/>
          </w:tcPr>
          <w:p>
            <w:pPr>
              <w:spacing w:before="60" w:after="60"/>
            </w:pPr>
            <w:r>
              <w:rPr>
                <w:color w:val="5C4033"/>
                <w:sz w:val="20"/>
              </w:rPr>
              <w:t xml:space="preserve">Chlorogenic acids</w:t>
            </w:r>
          </w:p>
        </w:tc>
        <w:tc>
          <w:tcPr>
            <w:tcW w:w="2500" w:type="dxa"/>
          </w:tcPr>
          <w:p>
            <w:pPr>
              <w:spacing w:before="60" w:after="60"/>
            </w:pPr>
            <w:r>
              <w:rPr>
                <w:color w:val="5C4033"/>
                <w:sz w:val="20"/>
              </w:rPr>
              <w:t xml:space="preserve">NF-kappaB pathway</w:t>
            </w:r>
          </w:p>
        </w:tc>
        <w:tc>
          <w:tcPr>
            <w:tcW w:w="2500" w:type="dxa"/>
          </w:tcPr>
          <w:p>
            <w:pPr>
              <w:spacing w:before="60" w:after="60"/>
            </w:pPr>
            <w:r>
              <w:rPr>
                <w:color w:val="5C4033"/>
                <w:sz w:val="20"/>
              </w:rPr>
              <w:t xml:space="preserve">IkB stabilization; p65 nuclear exclusion</w:t>
            </w:r>
          </w:p>
        </w:tc>
        <w:tc>
          <w:tcPr>
            <w:tcW w:w="2500" w:type="dxa"/>
          </w:tcPr>
          <w:p>
            <w:pPr>
              <w:spacing w:before="60" w:after="60"/>
            </w:pPr>
            <w:r>
              <w:rPr>
                <w:color w:val="5C4033"/>
                <w:sz w:val="20"/>
              </w:rPr>
              <w:t xml:space="preserve">Reduced IL-6, TNF-alpha, MCP-1 expression</w:t>
            </w:r>
          </w:p>
        </w:tc>
      </w:tr>
      <w:tr>
        <w:tc>
          <w:tcPr>
            <w:tcW w:w="2500" w:type="dxa"/>
          </w:tcPr>
          <w:p>
            <w:pPr>
              <w:spacing w:before="60" w:after="60"/>
            </w:pPr>
            <w:r>
              <w:rPr>
                <w:color w:val="5C4033"/>
                <w:sz w:val="20"/>
              </w:rPr>
              <w:t xml:space="preserve">Coffee polyphenols</w:t>
            </w:r>
          </w:p>
        </w:tc>
        <w:tc>
          <w:tcPr>
            <w:tcW w:w="2500" w:type="dxa"/>
          </w:tcPr>
          <w:p>
            <w:pPr>
              <w:spacing w:before="60" w:after="60"/>
            </w:pPr>
            <w:r>
              <w:rPr>
                <w:color w:val="5C4033"/>
                <w:sz w:val="20"/>
              </w:rPr>
              <w:t xml:space="preserve">Gut microbiome</w:t>
            </w:r>
          </w:p>
        </w:tc>
        <w:tc>
          <w:tcPr>
            <w:tcW w:w="2500" w:type="dxa"/>
          </w:tcPr>
          <w:p>
            <w:pPr>
              <w:spacing w:before="60" w:after="60"/>
            </w:pPr>
            <w:r>
              <w:rPr>
                <w:color w:val="5C4033"/>
                <w:sz w:val="20"/>
              </w:rPr>
              <w:t xml:space="preserve">Bifidobacterium promotion; reduced intestinal permeability</w:t>
            </w:r>
          </w:p>
        </w:tc>
        <w:tc>
          <w:tcPr>
            <w:tcW w:w="2500" w:type="dxa"/>
          </w:tcPr>
          <w:p>
            <w:pPr>
              <w:spacing w:before="60" w:after="60"/>
            </w:pPr>
            <w:r>
              <w:rPr>
                <w:color w:val="5C4033"/>
                <w:sz w:val="20"/>
              </w:rPr>
              <w:t xml:space="preserve">Decreased LPS hepatic influx; reduced stellate cell activation</w:t>
            </w:r>
          </w:p>
        </w:tc>
      </w:tr>
    </w:tbl>
    <w:p>
      <w:pPr>
        <w:pStyle w:val="Heading1"/>
      </w:pPr>
      <w:r>
        <w:t>Pharmacokinetic Considerations</w:t>
      </w:r>
    </w:p>
    <w:p>
      <w:pPr>
        <w:pStyle w:val="Heading2"/>
      </w:pPr>
      <w:r>
        <w:t>Tier 1: Transdermal Delivery and Fick's Law</w:t>
      </w:r>
    </w:p>
    <w:p>
      <w:pPr>
        <w:spacing w:after="200" w:line="360" w:lineRule="auto"/>
        <w:jc w:val="both"/>
      </w:pPr>
      <w:r>
        <w:t xml:space="preserve">Topical caffeine delivery follows Fick's law: J = D * K * delta_C / h, where J is flux, D is diffusion coefficient, K is partition coefficient, delta_C is concentration gradient, and h is stratum corneum thickness (~10-20 micrometers). Caffeine (MW 194 Da, logP -0.07) has favorable properties for transdermal delivery. A 5-10% gel (500-1000 mg/mL, ~2.5-5.7 mM) provides adequate concentration gradient. Without enhancement, passive diffusion achieves ~0.1-0.3 mM dermally. Sonophoresis (20-100 kHz) or iontophoresis (0.5 mA/cm2) increases permeability 10-100 fold, theoretically achieving 1-2 mM at the fibroblast layer. Human PK confirmation is a critical gap requiring dedicated microdosing trials.</w:t>
      </w:r>
    </w:p>
    <w:p>
      <w:pPr>
        <w:pStyle w:val="Heading2"/>
      </w:pPr>
      <w:r>
        <w:t>Tier 2: First-Pass Metabolism and Hepatic Exposure</w:t>
      </w:r>
    </w:p>
    <w:p>
      <w:pPr>
        <w:spacing w:after="200" w:line="360" w:lineRule="auto"/>
        <w:jc w:val="both"/>
      </w:pPr>
      <w:r>
        <w:t xml:space="preserve">Oral caffeine is near-completely absorbed, peaking at 30-60 minutes. The portal vein delivers absorbed compounds directly to the liver before systemic circulation, creating transient hepatic exposure exceeding peripheral concentrations. CYP1A2 metabolizes caffeine to paraxanthine (84%), theobromine (12%), and theophylline (4%). The paraxanthine/theophylline ratio serves as a proxy for hepatic CYP1A2 activity. The Abbas-Hashemi trial used standard oral caffeine tablets successfully; enteric coating is a theoretical future optimization, not a current requirement.</w:t>
      </w:r>
    </w:p>
    <w:p>
      <w:pPr>
        <w:pStyle w:val="Heading2"/>
      </w:pPr>
      <w:r>
        <w:t>Tier 3: Local Injection Kinetics</w:t>
      </w:r>
    </w:p>
    <w:p>
      <w:pPr>
        <w:spacing w:after="200" w:line="360" w:lineRule="auto"/>
        <w:jc w:val="both"/>
      </w:pPr>
      <w:r>
        <w:t xml:space="preserve">Peri-operative injection of 0.5-1.0 mM caffeine achieves immediate therapeutic concentration. Caffeine's volume of distribution (0.5-0.7 L/kg) and short half-life (3-5 hours healthy, 6-10 hours cirrhotic) mean local concentrations decline rapidly. Since fibroblast activation peaks at 72 hours post-injury, single injection provides only transient coverage. Solutions: (1) indwelling catheter for 48-72 hour micro-dose infusion (1-5 mcg/kg/hr); or (2) bioresorbable implant (PLA/collagen sponge) for sustained 5-7 day release. Both require preclinical validation.</w:t>
      </w:r>
    </w:p>
    <w:p>
      <w:pPr>
        <w:pStyle w:val="Heading1"/>
      </w:pPr>
      <w:r>
        <w:t>The Caff-Inhib Framework</w:t>
      </w:r>
    </w:p>
    <w:p>
      <w:pPr>
        <w:pStyle w:val="Heading2"/>
      </w:pPr>
      <w:r>
        <w:t>Tier 1: Topical Application for Skin and Scar Management</w:t>
      </w:r>
    </w:p>
    <w:p>
      <w:pPr>
        <w:pStyle w:val="Heading3"/>
      </w:pPr>
      <w:r>
        <w:t>Target Conditions</w:t>
      </w:r>
    </w:p>
    <w:p>
      <w:pPr>
        <w:spacing w:after="200" w:line="360" w:lineRule="auto"/>
        <w:jc w:val="both"/>
      </w:pPr>
      <w:r>
        <w:t xml:space="preserve">Hypertrophic scars, keloids, localized skin fibrosis (scleroderma), photoaged skin with thickened dysfunctional collagen.</w:t>
      </w:r>
    </w:p>
    <w:p>
      <w:pPr>
        <w:pStyle w:val="Heading3"/>
      </w:pPr>
      <w:r>
        <w:t>The Method</w:t>
      </w:r>
    </w:p>
    <w:p>
      <w:pPr>
        <w:spacing w:after="200" w:line="360" w:lineRule="auto"/>
        <w:jc w:val="both"/>
      </w:pPr>
      <w:r>
        <w:t xml:space="preserve">FDA-approved sonophoresis or iontophoresis drives 5-10% caffeine citrate gel (liposomal or hyaluronic acid carrier) into the dermis. Applied 2-3 times weekly with 10 minutes low-frequency ultrasound, for 8-12 weeks.</w:t>
      </w:r>
    </w:p>
    <w:p>
      <w:pPr>
        <w:pStyle w:val="Heading3"/>
      </w:pPr>
      <w:r>
        <w:t>Supporting Evidence</w:t>
      </w:r>
    </w:p>
    <w:p>
      <w:pPr>
        <w:spacing w:after="200" w:line="360" w:lineRule="auto"/>
        <w:jc w:val="both"/>
      </w:pPr>
      <w:r>
        <w:t xml:space="preserve">The 2021 Alishahedani scratch assay study (PLOS ONE) demonstrated caffeine inhibited keloid fibroblast closure and non-mitochondrial oxygen consumption. Keloid fibroblasts rely on Warburg metabolism (glycolysis over oxidative phosphorylation); caffeine selectively targeted this metabolic vulnerability while also reducing vimentin expression.</w:t>
      </w:r>
    </w:p>
    <w:p>
      <w:pPr>
        <w:pStyle w:val="Heading2"/>
      </w:pPr>
      <w:r>
        <w:t>Tier 2: Oral-Enteric Delivery for Liver Fibrosis</w:t>
      </w:r>
    </w:p>
    <w:p>
      <w:pPr>
        <w:pStyle w:val="Heading3"/>
      </w:pPr>
      <w:r>
        <w:t>Target Conditions</w:t>
      </w:r>
    </w:p>
    <w:p>
      <w:pPr>
        <w:spacing w:after="200" w:line="360" w:lineRule="auto"/>
        <w:jc w:val="both"/>
      </w:pPr>
      <w:r>
        <w:t xml:space="preserve">MASLD/NASH, early-stage cirrhosis (post-HCV, alcoholic). Explicitly excludes HBV-related fibrosis per the 2025 Legaspi meta-analysis (RR 0.79, 95% CI 0.24-2.63, non-significant).</w:t>
      </w:r>
    </w:p>
    <w:p>
      <w:pPr>
        <w:pStyle w:val="Heading3"/>
      </w:pPr>
      <w:r>
        <w:t>The Protocol</w:t>
      </w:r>
    </w:p>
    <w:p>
      <w:pPr>
        <w:spacing w:after="200" w:line="360" w:lineRule="auto"/>
        <w:jc w:val="both"/>
      </w:pPr>
      <w:r>
        <w:t xml:space="preserve">400 mg caffeine daily (two 200 mg tablets) with breakfast and dinner for minimum 8 weeks. The Abbas-Hashemi trial used standard oral tablets successfully. Requirements: baseline ECG; CYP1A2 genotyping (slow metabolizers excluded); liver function monitoring at weeks 2, 4, and 8.</w:t>
      </w:r>
    </w:p>
    <w:p>
      <w:pPr>
        <w:pStyle w:val="Heading3"/>
      </w:pPr>
      <w:r>
        <w:t>EASL Guidelines Context</w:t>
      </w:r>
    </w:p>
    <w:p>
      <w:pPr>
        <w:spacing w:after="200" w:line="360" w:lineRule="auto"/>
        <w:jc w:val="both"/>
      </w:pPr>
      <w:r>
        <w:t xml:space="preserve">The 2024 EASL Clinical Practice Guidelines on MASLD state: "Coffee consumption is associated with improved liver outcomes in observational studies (Level of Evidence 4, strong consensus)." While noting the scarcity of positive RCTs at the time of publication, the guidelines acknowledged the consistent epidemiological signal. The Abbas-Hashemi 2025 RCT and the ongoing SLCTR-2025-023 Phase 3 trial address this evidence gap directly.</w:t>
      </w:r>
    </w:p>
    <w:p>
      <w:pPr>
        <w:pStyle w:val="Heading2"/>
      </w:pPr>
      <w:r>
        <w:t>Tier 3: Peri-Operative Local Injection for Surgical Adhesion Prevention</w:t>
      </w:r>
    </w:p>
    <w:p>
      <w:pPr>
        <w:pStyle w:val="Heading3"/>
      </w:pPr>
      <w:r>
        <w:t>Target Conditions</w:t>
      </w:r>
    </w:p>
    <w:p>
      <w:pPr>
        <w:spacing w:after="200" w:line="360" w:lineRule="auto"/>
        <w:jc w:val="both"/>
      </w:pPr>
      <w:r>
        <w:t xml:space="preserve">Post-surgical adhesions (abdominal/pelvic), tendon repair with excessive fibrosis risk.</w:t>
      </w:r>
    </w:p>
    <w:p>
      <w:pPr>
        <w:pStyle w:val="Heading3"/>
      </w:pPr>
      <w:r>
        <w:t>The Method</w:t>
      </w:r>
    </w:p>
    <w:p>
      <w:pPr>
        <w:spacing w:after="200" w:line="360" w:lineRule="auto"/>
        <w:jc w:val="both"/>
      </w:pPr>
      <w:r>
        <w:t xml:space="preserve">Sterile caffeine solution (0.5-1.0 mM) mixed with local anesthetic (bupivacaine), injected along incision line and around manipulated tissues at wound closure. Extended protocols: indwelling catheter for 48-72h micro-infusion, or bioresorbable PLA implant for 5-7 day sustained release.</w:t>
      </w:r>
    </w:p>
    <w:p>
      <w:pPr>
        <w:pStyle w:val="Heading2"/>
      </w:pPr>
      <w:r>
        <w:t>Framework Comparison: Caff-Inhib vs. Standard of Care</w:t>
      </w:r>
    </w:p>
    <w:tbl>
      <w:tblPr>
        <w:tblW w:w="5000" w:type="pct"/>
        <w:tblBorders>
          <w:top w:val="single" w:color="6B4423" w:sz="12"/>
          <w:left w:val="nil"/>
          <w:bottom w:val="single" w:color="6B4423" w:sz="12"/>
          <w:right w:val="nil"/>
          <w:insideH w:val="single" w:color="D2B48C" w:sz="4"/>
          <w:insideV w:val="nil"/>
        </w:tblBorders>
      </w:tblPr>
      <w:tblGrid>
        <w:gridCol w:w="2200"/>
        <w:gridCol w:w="2600"/>
        <w:gridCol w:w="2600"/>
        <w:gridCol w:w="2600"/>
      </w:tblGrid>
      <w:tr>
        <w:trPr>
          <w:tblHeader/>
        </w:trPr>
        <w:tc>
          <w:tcPr>
            <w:tcW w:w="2200" w:type="dxa"/>
            <w:shd w:val="clear" w:fill="F5F0EB"/>
          </w:tcPr>
          <w:p>
            <w:pPr>
              <w:spacing w:before="60" w:after="60"/>
            </w:pPr>
            <w:r>
              <w:rPr>
                <w:b/>
                <w:color w:val="2C1810"/>
                <w:sz w:val="20"/>
              </w:rPr>
              <w:t xml:space="preserve">Condition</w:t>
            </w:r>
          </w:p>
        </w:tc>
        <w:tc>
          <w:tcPr>
            <w:tcW w:w="2600" w:type="dxa"/>
            <w:shd w:val="clear" w:fill="F5F0EB"/>
          </w:tcPr>
          <w:p>
            <w:pPr>
              <w:spacing w:before="60" w:after="60"/>
            </w:pPr>
            <w:r>
              <w:rPr>
                <w:b/>
                <w:color w:val="2C1810"/>
                <w:sz w:val="20"/>
              </w:rPr>
              <w:t xml:space="preserve">Standard of Care</w:t>
            </w:r>
          </w:p>
        </w:tc>
        <w:tc>
          <w:tcPr>
            <w:tcW w:w="2600" w:type="dxa"/>
            <w:shd w:val="clear" w:fill="F5F0EB"/>
          </w:tcPr>
          <w:p>
            <w:pPr>
              <w:spacing w:before="60" w:after="60"/>
            </w:pPr>
            <w:r>
              <w:rPr>
                <w:b/>
                <w:color w:val="2C1810"/>
                <w:sz w:val="20"/>
              </w:rPr>
              <w:t xml:space="preserve">Caff-Inhib Alternative</w:t>
            </w:r>
          </w:p>
        </w:tc>
        <w:tc>
          <w:tcPr>
            <w:tcW w:w="2600" w:type="dxa"/>
            <w:shd w:val="clear" w:fill="F5F0EB"/>
          </w:tcPr>
          <w:p>
            <w:pPr>
              <w:spacing w:before="60" w:after="60"/>
            </w:pPr>
            <w:r>
              <w:rPr>
                <w:b/>
                <w:color w:val="2C1810"/>
                <w:sz w:val="20"/>
              </w:rPr>
              <w:t xml:space="preserve">Advantage</w:t>
            </w:r>
          </w:p>
        </w:tc>
      </w:tr>
      <w:tr>
        <w:tc>
          <w:tcPr>
            <w:tcW w:w="2200" w:type="dxa"/>
          </w:tcPr>
          <w:p>
            <w:pPr>
              <w:spacing w:before="60" w:after="60"/>
            </w:pPr>
            <w:r>
              <w:rPr>
                <w:color w:val="5C4033"/>
                <w:sz w:val="20"/>
              </w:rPr>
              <w:t xml:space="preserve">Keloid scars</w:t>
            </w:r>
          </w:p>
        </w:tc>
        <w:tc>
          <w:tcPr>
            <w:tcW w:w="2600" w:type="dxa"/>
          </w:tcPr>
          <w:p>
            <w:pPr>
              <w:spacing w:before="60" w:after="60"/>
            </w:pPr>
            <w:r>
              <w:rPr>
                <w:color w:val="5C4033"/>
                <w:sz w:val="20"/>
              </w:rPr>
              <w:t xml:space="preserve">Intralesional corticosteroids + silicone sheets</w:t>
            </w:r>
          </w:p>
        </w:tc>
        <w:tc>
          <w:tcPr>
            <w:tcW w:w="2600" w:type="dxa"/>
          </w:tcPr>
          <w:p>
            <w:pPr>
              <w:spacing w:before="60" w:after="60"/>
            </w:pPr>
            <w:r>
              <w:rPr>
                <w:color w:val="5C4033"/>
                <w:sz w:val="20"/>
              </w:rPr>
              <w:t xml:space="preserve">Caffeine 5-10% gel + sonophoresis</w:t>
            </w:r>
          </w:p>
        </w:tc>
        <w:tc>
          <w:tcPr>
            <w:tcW w:w="2600" w:type="dxa"/>
          </w:tcPr>
          <w:p>
            <w:pPr>
              <w:spacing w:before="60" w:after="60"/>
            </w:pPr>
            <w:r>
              <w:rPr>
                <w:color w:val="5C4033"/>
                <w:sz w:val="20"/>
              </w:rPr>
              <w:t xml:space="preserve">Direct mechanism targeting; no steroid atrophy risk; &lt;$50/year vs. $2,000+/year</w:t>
            </w:r>
          </w:p>
        </w:tc>
      </w:tr>
      <w:tr>
        <w:tc>
          <w:tcPr>
            <w:tcW w:w="2200" w:type="dxa"/>
          </w:tcPr>
          <w:p>
            <w:pPr>
              <w:spacing w:before="60" w:after="60"/>
            </w:pPr>
            <w:r>
              <w:rPr>
                <w:color w:val="5C4033"/>
                <w:sz w:val="20"/>
              </w:rPr>
              <w:t xml:space="preserve">Liver fibrosis (MASLD)</w:t>
            </w:r>
          </w:p>
        </w:tc>
        <w:tc>
          <w:tcPr>
            <w:tcW w:w="2600" w:type="dxa"/>
          </w:tcPr>
          <w:p>
            <w:pPr>
              <w:spacing w:before="60" w:after="60"/>
            </w:pPr>
            <w:r>
              <w:rPr>
                <w:color w:val="5C4033"/>
                <w:sz w:val="20"/>
              </w:rPr>
              <w:t xml:space="preserve">Vitamin E + pioglitazone + lifestyle</w:t>
            </w:r>
          </w:p>
        </w:tc>
        <w:tc>
          <w:tcPr>
            <w:tcW w:w="2600" w:type="dxa"/>
          </w:tcPr>
          <w:p>
            <w:pPr>
              <w:spacing w:before="60" w:after="60"/>
            </w:pPr>
            <w:r>
              <w:rPr>
                <w:color w:val="5C4033"/>
                <w:sz w:val="20"/>
              </w:rPr>
              <w:t xml:space="preserve">Caffeine 400 mg/day + lifestyle</w:t>
            </w:r>
          </w:p>
        </w:tc>
        <w:tc>
          <w:tcPr>
            <w:tcW w:w="2600" w:type="dxa"/>
          </w:tcPr>
          <w:p>
            <w:pPr>
              <w:spacing w:before="60" w:after="60"/>
            </w:pPr>
            <w:r>
              <w:rPr>
                <w:color w:val="5C4033"/>
                <w:sz w:val="20"/>
              </w:rPr>
              <w:t xml:space="preserve">$40/year vs. $3,000+/year; no hepatotoxicity; RCT-proven efficacy</w:t>
            </w:r>
          </w:p>
        </w:tc>
      </w:tr>
      <w:tr>
        <w:tc>
          <w:tcPr>
            <w:tcW w:w="2200" w:type="dxa"/>
          </w:tcPr>
          <w:p>
            <w:pPr>
              <w:spacing w:before="60" w:after="60"/>
            </w:pPr>
            <w:r>
              <w:rPr>
                <w:color w:val="5C4033"/>
                <w:sz w:val="20"/>
              </w:rPr>
              <w:t xml:space="preserve">Post-surgical adhesions</w:t>
            </w:r>
          </w:p>
        </w:tc>
        <w:tc>
          <w:tcPr>
            <w:tcW w:w="2600" w:type="dxa"/>
          </w:tcPr>
          <w:p>
            <w:pPr>
              <w:spacing w:before="60" w:after="60"/>
            </w:pPr>
            <w:r>
              <w:rPr>
                <w:color w:val="5C4033"/>
                <w:sz w:val="20"/>
              </w:rPr>
              <w:t xml:space="preserve">Seprafilm barrier gel + steroids</w:t>
            </w:r>
          </w:p>
        </w:tc>
        <w:tc>
          <w:tcPr>
            <w:tcW w:w="2600" w:type="dxa"/>
          </w:tcPr>
          <w:p>
            <w:pPr>
              <w:spacing w:before="60" w:after="60"/>
            </w:pPr>
            <w:r>
              <w:rPr>
                <w:color w:val="5C4033"/>
                <w:sz w:val="20"/>
              </w:rPr>
              <w:t xml:space="preserve">Caffeine-local anesthetic injection + barrier gel</w:t>
            </w:r>
          </w:p>
        </w:tc>
        <w:tc>
          <w:tcPr>
            <w:tcW w:w="2600" w:type="dxa"/>
          </w:tcPr>
          <w:p>
            <w:pPr>
              <w:spacing w:before="60" w:after="60"/>
            </w:pPr>
            <w:r>
              <w:rPr>
                <w:color w:val="5C4033"/>
                <w:sz w:val="20"/>
              </w:rPr>
              <w:t xml:space="preserve">Complementary mechanism; dual-action prevention; minimal added cost</w:t>
            </w:r>
          </w:p>
        </w:tc>
      </w:tr>
      <w:tr>
        <w:tc>
          <w:tcPr>
            <w:tcW w:w="2200" w:type="dxa"/>
          </w:tcPr>
          <w:p>
            <w:pPr>
              <w:spacing w:before="60" w:after="60"/>
            </w:pPr>
            <w:r>
              <w:rPr>
                <w:color w:val="5C4033"/>
                <w:sz w:val="20"/>
              </w:rPr>
              <w:t xml:space="preserve">Pirfenidone IPF</w:t>
            </w:r>
          </w:p>
        </w:tc>
        <w:tc>
          <w:tcPr>
            <w:tcW w:w="2600" w:type="dxa"/>
          </w:tcPr>
          <w:p>
            <w:pPr>
              <w:spacing w:before="60" w:after="60"/>
            </w:pPr>
            <w:r>
              <w:rPr>
                <w:color w:val="5C4033"/>
                <w:sz w:val="20"/>
              </w:rPr>
              <w:t xml:space="preserve">Pirfenidone (~$100,000/year)</w:t>
            </w:r>
          </w:p>
        </w:tc>
        <w:tc>
          <w:tcPr>
            <w:tcW w:w="2600" w:type="dxa"/>
          </w:tcPr>
          <w:p>
            <w:pPr>
              <w:spacing w:before="60" w:after="60"/>
            </w:pPr>
            <w:r>
              <w:rPr>
                <w:color w:val="5C4033"/>
                <w:sz w:val="20"/>
              </w:rPr>
              <w:t xml:space="preserve">Caffeine oral (not yet validated)</w:t>
            </w:r>
          </w:p>
        </w:tc>
        <w:tc>
          <w:tcPr>
            <w:tcW w:w="2600" w:type="dxa"/>
          </w:tcPr>
          <w:p>
            <w:pPr>
              <w:spacing w:before="60" w:after="60"/>
            </w:pPr>
            <w:r>
              <w:rPr>
                <w:color w:val="5C4033"/>
                <w:sz w:val="20"/>
              </w:rPr>
              <w:t xml:space="preserve">Potential $40/year alternative; mechanism alignment via TGF-beta suppression</w:t>
            </w:r>
          </w:p>
        </w:tc>
      </w:tr>
    </w:tbl>
    <w:p>
      <w:pPr>
        <w:pStyle w:val="Heading2"/>
      </w:pPr>
      <w:r>
        <w:t>Patient Selection and Clinical Decision Algorithm</w:t>
      </w:r>
    </w:p>
    <w:tbl>
      <w:tblPr>
        <w:tblW w:w="5000" w:type="pct"/>
        <w:tblBorders>
          <w:top w:val="single" w:color="6B4423" w:sz="12"/>
          <w:left w:val="nil"/>
          <w:bottom w:val="single" w:color="6B4423" w:sz="12"/>
          <w:right w:val="nil"/>
          <w:insideH w:val="single" w:color="D2B48C" w:sz="4"/>
          <w:insideV w:val="nil"/>
        </w:tblBorders>
      </w:tblPr>
      <w:tblGrid>
        <w:gridCol w:w="3400"/>
        <w:gridCol w:w="6600"/>
      </w:tblGrid>
      <w:tr>
        <w:trPr>
          <w:tblHeader/>
        </w:trPr>
        <w:tc>
          <w:tcPr>
            <w:tcW w:w="3400" w:type="dxa"/>
            <w:shd w:val="clear" w:fill="F5F0EB"/>
          </w:tcPr>
          <w:p>
            <w:pPr>
              <w:spacing w:before="60" w:after="60"/>
            </w:pPr>
            <w:r>
              <w:rPr>
                <w:b/>
                <w:color w:val="2C1810"/>
                <w:sz w:val="20"/>
              </w:rPr>
              <w:t xml:space="preserve">Step</w:t>
            </w:r>
          </w:p>
        </w:tc>
        <w:tc>
          <w:tcPr>
            <w:tcW w:w="6600" w:type="dxa"/>
            <w:shd w:val="clear" w:fill="F5F0EB"/>
          </w:tcPr>
          <w:p>
            <w:pPr>
              <w:spacing w:before="60" w:after="60"/>
            </w:pPr>
            <w:r>
              <w:rPr>
                <w:b/>
                <w:color w:val="2C1810"/>
                <w:sz w:val="20"/>
              </w:rPr>
              <w:t xml:space="preserve">Clinical Action</w:t>
            </w:r>
          </w:p>
        </w:tc>
      </w:tr>
      <w:tr>
        <w:tc>
          <w:tcPr>
            <w:tcW w:w="3400" w:type="dxa"/>
          </w:tcPr>
          <w:p>
            <w:pPr>
              <w:spacing w:before="60" w:after="60"/>
            </w:pPr>
            <w:r>
              <w:rPr>
                <w:color w:val="5C4033"/>
                <w:sz w:val="20"/>
              </w:rPr>
              <w:t xml:space="preserve">Step 1: Presentation</w:t>
            </w:r>
          </w:p>
        </w:tc>
        <w:tc>
          <w:tcPr>
            <w:tcW w:w="6600" w:type="dxa"/>
          </w:tcPr>
          <w:p>
            <w:pPr>
              <w:spacing w:before="60" w:after="60"/>
            </w:pPr>
            <w:r>
              <w:rPr>
                <w:color w:val="5C4033"/>
                <w:sz w:val="20"/>
              </w:rPr>
              <w:t xml:space="preserve">Patient presents with target condition (keloid, MASLD F2-F3, scheduled abdominal surgery)</w:t>
            </w:r>
          </w:p>
        </w:tc>
      </w:tr>
      <w:tr>
        <w:tc>
          <w:tcPr>
            <w:tcW w:w="3400" w:type="dxa"/>
          </w:tcPr>
          <w:p>
            <w:pPr>
              <w:spacing w:before="60" w:after="60"/>
            </w:pPr>
            <w:r>
              <w:rPr>
                <w:color w:val="5C4033"/>
                <w:sz w:val="20"/>
              </w:rPr>
              <w:t xml:space="preserve">Step 2: Etiology Screening</w:t>
            </w:r>
          </w:p>
        </w:tc>
        <w:tc>
          <w:tcPr>
            <w:tcW w:w="6600" w:type="dxa"/>
          </w:tcPr>
          <w:p>
            <w:pPr>
              <w:spacing w:before="60" w:after="60"/>
            </w:pPr>
            <w:r>
              <w:rPr>
                <w:color w:val="5C4033"/>
                <w:sz w:val="20"/>
              </w:rPr>
              <w:t xml:space="preserve">Verify liver disease etiology: MASLD/post-HCV/alcoholic = proceed; HBV = exclude from Tier 2</w:t>
            </w:r>
          </w:p>
        </w:tc>
      </w:tr>
      <w:tr>
        <w:tc>
          <w:tcPr>
            <w:tcW w:w="3400" w:type="dxa"/>
          </w:tcPr>
          <w:p>
            <w:pPr>
              <w:spacing w:before="60" w:after="60"/>
            </w:pPr>
            <w:r>
              <w:rPr>
                <w:color w:val="5C4033"/>
                <w:sz w:val="20"/>
              </w:rPr>
              <w:t xml:space="preserve">Step 3: CYP1A2 Genotyping</w:t>
            </w:r>
          </w:p>
        </w:tc>
        <w:tc>
          <w:tcPr>
            <w:tcW w:w="6600" w:type="dxa"/>
          </w:tcPr>
          <w:p>
            <w:pPr>
              <w:spacing w:before="60" w:after="60"/>
            </w:pPr>
            <w:r>
              <w:rPr>
                <w:color w:val="5C4033"/>
                <w:sz w:val="20"/>
              </w:rPr>
              <w:t xml:space="preserve">*1A/*1A (fast): standard dose; *1A/*1F (intermediate): 300 mg; *1F/*1F (slow): exclude from Tier 2, offer Tier 1 or 3</w:t>
            </w:r>
          </w:p>
        </w:tc>
      </w:tr>
      <w:tr>
        <w:tc>
          <w:tcPr>
            <w:tcW w:w="3400" w:type="dxa"/>
          </w:tcPr>
          <w:p>
            <w:pPr>
              <w:spacing w:before="60" w:after="60"/>
            </w:pPr>
            <w:r>
              <w:rPr>
                <w:color w:val="5C4033"/>
                <w:sz w:val="20"/>
              </w:rPr>
              <w:t xml:space="preserve">Step 4: Cardiac Screening</w:t>
            </w:r>
          </w:p>
        </w:tc>
        <w:tc>
          <w:tcPr>
            <w:tcW w:w="6600" w:type="dxa"/>
          </w:tcPr>
          <w:p>
            <w:pPr>
              <w:spacing w:before="60" w:after="60"/>
            </w:pPr>
            <w:r>
              <w:rPr>
                <w:color w:val="5C4033"/>
                <w:sz w:val="20"/>
              </w:rPr>
              <w:t xml:space="preserve">Baseline ECG; exclude if arrhythmia, uncontrolled hypertension, or severe anxiety disorder</w:t>
            </w:r>
          </w:p>
        </w:tc>
      </w:tr>
      <w:tr>
        <w:tc>
          <w:tcPr>
            <w:tcW w:w="3400" w:type="dxa"/>
          </w:tcPr>
          <w:p>
            <w:pPr>
              <w:spacing w:before="60" w:after="60"/>
            </w:pPr>
            <w:r>
              <w:rPr>
                <w:color w:val="5C4033"/>
                <w:sz w:val="20"/>
              </w:rPr>
              <w:t xml:space="preserve">Step 5: Baseline Labs</w:t>
            </w:r>
          </w:p>
        </w:tc>
        <w:tc>
          <w:tcPr>
            <w:tcW w:w="6600" w:type="dxa"/>
          </w:tcPr>
          <w:p>
            <w:pPr>
              <w:spacing w:before="60" w:after="60"/>
            </w:pPr>
            <w:r>
              <w:rPr>
                <w:color w:val="5C4033"/>
                <w:sz w:val="20"/>
              </w:rPr>
              <w:t xml:space="preserve">FIB-4, APRI, liver function panel (Tier 2); Vancouver Scar Scale photograph (Tier 1)</w:t>
            </w:r>
          </w:p>
        </w:tc>
      </w:tr>
      <w:tr>
        <w:tc>
          <w:tcPr>
            <w:tcW w:w="3400" w:type="dxa"/>
          </w:tcPr>
          <w:p>
            <w:pPr>
              <w:spacing w:before="60" w:after="60"/>
            </w:pPr>
            <w:r>
              <w:rPr>
                <w:color w:val="5C4033"/>
                <w:sz w:val="20"/>
              </w:rPr>
              <w:t xml:space="preserve">Step 6: Initiate Therapy</w:t>
            </w:r>
          </w:p>
        </w:tc>
        <w:tc>
          <w:tcPr>
            <w:tcW w:w="6600" w:type="dxa"/>
          </w:tcPr>
          <w:p>
            <w:pPr>
              <w:spacing w:before="60" w:after="60"/>
            </w:pPr>
            <w:r>
              <w:rPr>
                <w:color w:val="5C4033"/>
                <w:sz w:val="20"/>
              </w:rPr>
              <w:t xml:space="preserve">Tier 1: 5-10% gel + sonophoresis 2-3x/week; Tier 2: 400 mg/day oral; Tier 3: 0.5-1.0 mM local injection</w:t>
            </w:r>
          </w:p>
        </w:tc>
      </w:tr>
      <w:tr>
        <w:tc>
          <w:tcPr>
            <w:tcW w:w="3400" w:type="dxa"/>
          </w:tcPr>
          <w:p>
            <w:pPr>
              <w:spacing w:before="60" w:after="60"/>
            </w:pPr>
            <w:r>
              <w:rPr>
                <w:color w:val="5C4033"/>
                <w:sz w:val="20"/>
              </w:rPr>
              <w:t xml:space="preserve">Step 7: Monitoring</w:t>
            </w:r>
          </w:p>
        </w:tc>
        <w:tc>
          <w:tcPr>
            <w:tcW w:w="6600" w:type="dxa"/>
          </w:tcPr>
          <w:p>
            <w:pPr>
              <w:spacing w:before="60" w:after="60"/>
            </w:pPr>
            <w:r>
              <w:rPr>
                <w:color w:val="5C4033"/>
                <w:sz w:val="20"/>
              </w:rPr>
              <w:t xml:space="preserve">Tier 1: Weeks 4, 8, 12 (scar scale); Tier 2: Weeks 2, 4, 8 (FIB-4, LFTs); Tier 3: 48h post-op assessment</w:t>
            </w:r>
          </w:p>
        </w:tc>
      </w:tr>
      <w:tr>
        <w:tc>
          <w:tcPr>
            <w:tcW w:w="3400" w:type="dxa"/>
          </w:tcPr>
          <w:p>
            <w:pPr>
              <w:spacing w:before="60" w:after="60"/>
            </w:pPr>
            <w:r>
              <w:rPr>
                <w:color w:val="5C4033"/>
                <w:sz w:val="20"/>
              </w:rPr>
              <w:t xml:space="preserve">Step 8: Escalation/De-escalation</w:t>
            </w:r>
          </w:p>
        </w:tc>
        <w:tc>
          <w:tcPr>
            <w:tcW w:w="6600" w:type="dxa"/>
          </w:tcPr>
          <w:p>
            <w:pPr>
              <w:spacing w:before="60" w:after="60"/>
            </w:pPr>
            <w:r>
              <w:rPr>
                <w:color w:val="5C4033"/>
                <w:sz w:val="20"/>
              </w:rPr>
              <w:t xml:space="preserve">FIB-4 reduction &gt;=0.5 at 8 weeks: continue; &lt;0.3: add combination agent (pioglitazone); adverse event: discontinue</w:t>
            </w:r>
          </w:p>
        </w:tc>
      </w:tr>
    </w:tbl>
    <w:p>
      <w:pPr>
        <w:pStyle w:val="Heading2"/>
      </w:pPr>
      <w:r>
        <w:t>Combination Therapy with Clinical Scenarios</w:t>
      </w:r>
    </w:p>
    <w:p>
      <w:pPr>
        <w:spacing w:after="200" w:line="360" w:lineRule="auto"/>
        <w:jc w:val="both"/>
      </w:pPr>
      <w:r>
        <w:t xml:space="preserve">The Caff-Inhib Framework is designed for adjunctive use. The following clinical scenarios illustrate specific combination approaches:</w:t>
      </w:r>
    </w:p>
    <w:p>
      <w:pPr>
        <w:pStyle w:val="Heading3"/>
      </w:pPr>
      <w:r>
        <w:t>Scenario 1: MASLD with F2 Fibrosis</w:t>
      </w:r>
    </w:p>
    <w:p>
      <w:pPr>
        <w:spacing w:after="200" w:line="360" w:lineRule="auto"/>
        <w:jc w:val="both"/>
      </w:pPr>
      <w:r>
        <w:t xml:space="preserve">Patient: 55-year-old male, BMI 32, fasting glucose 110 mg/dL, FIB-4 = 1.8. CYP1A2 *1A/*1A (fast metabolizer). No cardiac contraindications.</w:t>
      </w:r>
    </w:p>
    <w:p>
      <w:pPr>
        <w:spacing w:after="200" w:line="360" w:lineRule="auto"/>
        <w:jc w:val="both"/>
      </w:pPr>
      <w:r>
        <w:t xml:space="preserve">Regimen: Tier 2 caffeine 400 mg/day (200 mg BID) + pioglitazone 30 mg/day + structured weight loss program targeting &gt;=7% body weight reduction.</w:t>
      </w:r>
    </w:p>
    <w:p>
      <w:pPr>
        <w:spacing w:after="200" w:line="360" w:lineRule="auto"/>
        <w:jc w:val="both"/>
      </w:pPr>
      <w:r>
        <w:t xml:space="preserve">Expected 12-month outcome: FIB-4 reduction &gt;=0.5 with potential NASH resolution. Rationale: caffeine inhibits HSC collagen synthesis; pioglitazone improves insulin sensitivity and reduces steatosis; weight loss addresses the upstream metabolic driver. The Vargas-Pozada review suggests additive effects through complementary NF-kappaB and TGF-beta pathway modulation.</w:t>
      </w:r>
    </w:p>
    <w:p>
      <w:pPr>
        <w:pStyle w:val="Heading3"/>
      </w:pPr>
      <w:r>
        <w:t>Scenario 2: Recurrent Keloid after Sternotomy</w:t>
      </w:r>
    </w:p>
    <w:p>
      <w:pPr>
        <w:spacing w:after="200" w:line="360" w:lineRule="auto"/>
        <w:jc w:val="both"/>
      </w:pPr>
      <w:r>
        <w:t xml:space="preserve">Patient: 42-year-old female, hypertrophic sternotomy scar 6 months post-CABG, Vancouver Scar Scale = 10. Previous intralesional triamcinolone provided partial response with recurrence.</w:t>
      </w:r>
    </w:p>
    <w:p>
      <w:pPr>
        <w:spacing w:after="200" w:line="360" w:lineRule="auto"/>
        <w:jc w:val="both"/>
      </w:pPr>
      <w:r>
        <w:t xml:space="preserve">Regimen: Tier 1 caffeine 10% gel + sonophoresis (10 min, 1 MHz) 3x weekly + concurrent silicone sheeting (24h/day) for 12 weeks.</w:t>
      </w:r>
    </w:p>
    <w:p>
      <w:pPr>
        <w:spacing w:after="200" w:line="360" w:lineRule="auto"/>
        <w:jc w:val="both"/>
      </w:pPr>
      <w:r>
        <w:t xml:space="preserve">Expected outcome: VSS reduction &gt;=3 points with scar softening and flattening. Rationale: caffeine inhibits prolidase and keloid fibroblast glycolysis (Alishahedani scratch assay); silicone provides mechanical pressure and hydration. Cost: approximately $200 total vs. $2,000+ for repeated steroid injections or $5,000+ for laser therapy.</w:t>
      </w:r>
    </w:p>
    <w:p>
      <w:pPr>
        <w:pStyle w:val="Heading3"/>
      </w:pPr>
      <w:r>
        <w:t>Scenario 3: High-Risk Abdominal Surgery</w:t>
      </w:r>
    </w:p>
    <w:p>
      <w:pPr>
        <w:spacing w:after="200" w:line="360" w:lineRule="auto"/>
        <w:jc w:val="both"/>
      </w:pPr>
      <w:r>
        <w:t xml:space="preserve">Patient: 60-year-old male, history of small bowel obstruction from prior appendectomy adhesions, now requiring colectomy for diverticular disease.</w:t>
      </w:r>
    </w:p>
    <w:p>
      <w:pPr>
        <w:spacing w:after="200" w:line="360" w:lineRule="auto"/>
        <w:jc w:val="both"/>
      </w:pPr>
      <w:r>
        <w:t xml:space="preserve">Regimen: Tier 3 caffeine 1.0 mM in bupivacaine, injected along incision at closure + Seprafilm barrier placement + indwelling catheter for 48-hour caffeine micro-infusion (2 mcg/kg/hr).</w:t>
      </w:r>
    </w:p>
    <w:p>
      <w:pPr>
        <w:spacing w:after="200" w:line="360" w:lineRule="auto"/>
        <w:jc w:val="both"/>
      </w:pPr>
      <w:r>
        <w:t xml:space="preserve">Expected outcome: Reduced adhesion burden at 6-month follow-up laparoscopy. Rationale: caffeine inhibits the initial collagen overshoot during the 72-hour critical window; Seprafilm provides physical separation; extended delivery maintains inhibition through the full fibroblast activation period.</w:t>
      </w:r>
    </w:p>
    <w:p>
      <w:pPr>
        <w:pStyle w:val="Heading1"/>
      </w:pPr>
      <w:r>
        <w:t>Safety Guardrails</w:t>
      </w:r>
    </w:p>
    <w:tbl>
      <w:tblPr>
        <w:tblW w:w="5000" w:type="pct"/>
        <w:tblBorders>
          <w:top w:val="single" w:color="6B4423" w:sz="12"/>
          <w:left w:val="nil"/>
          <w:bottom w:val="single" w:color="6B4423" w:sz="12"/>
          <w:right w:val="nil"/>
          <w:insideH w:val="single" w:color="D2B48C" w:sz="4"/>
          <w:insideV w:val="nil"/>
        </w:tblBorders>
      </w:tblPr>
      <w:tblGrid>
        <w:gridCol w:w="2800"/>
        <w:gridCol w:w="7200"/>
      </w:tblGrid>
      <w:tr>
        <w:trPr>
          <w:tblHeader/>
        </w:trPr>
        <w:tc>
          <w:tcPr>
            <w:tcW w:w="2800" w:type="dxa"/>
            <w:shd w:val="clear" w:fill="F5F0EB"/>
          </w:tcPr>
          <w:p>
            <w:pPr>
              <w:spacing w:before="60" w:after="60"/>
            </w:pPr>
            <w:r>
              <w:rPr>
                <w:b/>
                <w:color w:val="2C1810"/>
                <w:sz w:val="20"/>
              </w:rPr>
              <w:t xml:space="preserve">Risk Category</w:t>
            </w:r>
          </w:p>
        </w:tc>
        <w:tc>
          <w:tcPr>
            <w:tcW w:w="7200" w:type="dxa"/>
            <w:shd w:val="clear" w:fill="F5F0EB"/>
          </w:tcPr>
          <w:p>
            <w:pPr>
              <w:spacing w:before="60" w:after="60"/>
            </w:pPr>
            <w:r>
              <w:rPr>
                <w:b/>
                <w:color w:val="2C1810"/>
                <w:sz w:val="20"/>
              </w:rPr>
              <w:t xml:space="preserve">Mitigation Strategy</w:t>
            </w:r>
          </w:p>
        </w:tc>
      </w:tr>
      <w:tr>
        <w:tc>
          <w:tcPr>
            <w:tcW w:w="2800" w:type="dxa"/>
          </w:tcPr>
          <w:p>
            <w:pPr>
              <w:spacing w:before="60" w:after="60"/>
            </w:pPr>
            <w:r>
              <w:rPr>
                <w:color w:val="5C4033"/>
                <w:sz w:val="20"/>
              </w:rPr>
              <w:t xml:space="preserve">Systemic Toxicity</w:t>
            </w:r>
          </w:p>
        </w:tc>
        <w:tc>
          <w:tcPr>
            <w:tcW w:w="7200" w:type="dxa"/>
          </w:tcPr>
          <w:p>
            <w:pPr>
              <w:spacing w:before="60" w:after="60"/>
            </w:pPr>
            <w:r>
              <w:rPr>
                <w:color w:val="5C4033"/>
                <w:sz w:val="20"/>
              </w:rPr>
              <w:t xml:space="preserve">Tier 1/3: localized delivery minimizes systemic exposure. Tier 2: 400 mg/day (proven safe in RCT); baseline ECG; exclude arrhythmia, uncontrolled hypertension, severe anxiety.</w:t>
            </w:r>
          </w:p>
        </w:tc>
      </w:tr>
      <w:tr>
        <w:tc>
          <w:tcPr>
            <w:tcW w:w="2800" w:type="dxa"/>
          </w:tcPr>
          <w:p>
            <w:pPr>
              <w:spacing w:before="60" w:after="60"/>
            </w:pPr>
            <w:r>
              <w:rPr>
                <w:color w:val="5C4033"/>
                <w:sz w:val="20"/>
              </w:rPr>
              <w:t xml:space="preserve">Wound Dehiscence</w:t>
            </w:r>
          </w:p>
        </w:tc>
        <w:tc>
          <w:tcPr>
            <w:tcW w:w="7200" w:type="dxa"/>
          </w:tcPr>
          <w:p>
            <w:pPr>
              <w:spacing w:before="60" w:after="60"/>
            </w:pPr>
            <w:r>
              <w:rPr>
                <w:color w:val="5C4033"/>
                <w:sz w:val="20"/>
              </w:rPr>
              <w:t xml:space="preserve">Never apply to open bleeding wounds. Tier 1: remodeling-phase scars only (&gt;=8 weeks post-closure). Tier 3: closed surgical sites only.</w:t>
            </w:r>
          </w:p>
        </w:tc>
      </w:tr>
      <w:tr>
        <w:tc>
          <w:tcPr>
            <w:tcW w:w="2800" w:type="dxa"/>
          </w:tcPr>
          <w:p>
            <w:pPr>
              <w:spacing w:before="60" w:after="60"/>
            </w:pPr>
            <w:r>
              <w:rPr>
                <w:color w:val="5C4033"/>
                <w:sz w:val="20"/>
              </w:rPr>
              <w:t xml:space="preserve">Genetic Variability</w:t>
            </w:r>
          </w:p>
        </w:tc>
        <w:tc>
          <w:tcPr>
            <w:tcW w:w="7200" w:type="dxa"/>
          </w:tcPr>
          <w:p>
            <w:pPr>
              <w:spacing w:before="60" w:after="60"/>
            </w:pPr>
            <w:r>
              <w:rPr>
                <w:color w:val="5C4033"/>
                <w:sz w:val="20"/>
              </w:rPr>
              <w:t xml:space="preserve">Mandatory CYP1A2 genotyping for Tier 2. Slow metabolizers (*1F/*1F) excluded from oral therapy; eligible for Tier 1/3. Fast metabolizers may need 500 mg based on metabolite monitoring.</w:t>
            </w:r>
          </w:p>
        </w:tc>
      </w:tr>
      <w:tr>
        <w:tc>
          <w:tcPr>
            <w:tcW w:w="2800" w:type="dxa"/>
          </w:tcPr>
          <w:p>
            <w:pPr>
              <w:spacing w:before="60" w:after="60"/>
            </w:pPr>
            <w:r>
              <w:rPr>
                <w:color w:val="5C4033"/>
                <w:sz w:val="20"/>
              </w:rPr>
              <w:t xml:space="preserve">Tissue Specificity</w:t>
            </w:r>
          </w:p>
        </w:tc>
        <w:tc>
          <w:tcPr>
            <w:tcW w:w="7200" w:type="dxa"/>
          </w:tcPr>
          <w:p>
            <w:pPr>
              <w:spacing w:before="60" w:after="60"/>
            </w:pPr>
            <w:r>
              <w:rPr>
                <w:color w:val="5C4033"/>
                <w:sz w:val="20"/>
              </w:rPr>
              <w:t xml:space="preserve">Framework targets localized pathologies only. No systemic collagen reduction intended. Bone, tendon, skin collagen preserved via delivery design.</w:t>
            </w:r>
          </w:p>
        </w:tc>
      </w:tr>
      <w:tr>
        <w:tc>
          <w:tcPr>
            <w:tcW w:w="2800" w:type="dxa"/>
          </w:tcPr>
          <w:p>
            <w:pPr>
              <w:spacing w:before="60" w:after="60"/>
            </w:pPr>
            <w:r>
              <w:rPr>
                <w:color w:val="5C4033"/>
                <w:sz w:val="20"/>
              </w:rPr>
              <w:t xml:space="preserve">Exercise Adaptation</w:t>
            </w:r>
          </w:p>
        </w:tc>
        <w:tc>
          <w:tcPr>
            <w:tcW w:w="7200" w:type="dxa"/>
          </w:tcPr>
          <w:p>
            <w:pPr>
              <w:spacing w:before="60" w:after="60"/>
            </w:pPr>
            <w:r>
              <w:rPr>
                <w:color w:val="5C4033"/>
                <w:sz w:val="20"/>
              </w:rPr>
              <w:t xml:space="preserve">400 mg Tier 2 dose stays below 5.7 mg/kg threshold. Athletes should time doses away from training.</w:t>
            </w:r>
          </w:p>
        </w:tc>
      </w:tr>
      <w:tr>
        <w:tc>
          <w:tcPr>
            <w:tcW w:w="2800" w:type="dxa"/>
          </w:tcPr>
          <w:p>
            <w:pPr>
              <w:spacing w:before="60" w:after="60"/>
            </w:pPr>
            <w:r>
              <w:rPr>
                <w:color w:val="5C4033"/>
                <w:sz w:val="20"/>
              </w:rPr>
              <w:t xml:space="preserve">Drug Interactions</w:t>
            </w:r>
          </w:p>
        </w:tc>
        <w:tc>
          <w:tcPr>
            <w:tcW w:w="7200" w:type="dxa"/>
          </w:tcPr>
          <w:p>
            <w:pPr>
              <w:spacing w:before="60" w:after="60"/>
            </w:pPr>
            <w:r>
              <w:rPr>
                <w:color w:val="5C4033"/>
                <w:sz w:val="20"/>
              </w:rPr>
              <w:t xml:space="preserve">CYP1A2 substrates (theophylline, clozapine, warfarin) may need adjustment. CYP1A2 inhibitors (fluvoxamine, ciprofloxacin) contraindicated.</w:t>
            </w:r>
          </w:p>
        </w:tc>
      </w:tr>
    </w:tbl>
    <w:p>
      <w:pPr>
        <w:pStyle w:val="Heading1"/>
      </w:pPr>
      <w:r>
        <w:t>Cost-Effectiveness Analysis</w:t>
      </w:r>
    </w:p>
    <w:p>
      <w:pPr>
        <w:spacing w:after="200" w:line="360" w:lineRule="auto"/>
        <w:jc w:val="both"/>
      </w:pPr>
      <w:r>
        <w:t xml:space="preserve">Caffeine's low cost is one of its most compelling advantages. A 200 mg caffeine tablet costs approximately $0.02-0.05 in generic form. The annual cost of Tier 2 therapy (400 mg/day) is under $40. This compares favorably with approved antifibrotic agents:</w:t>
      </w:r>
    </w:p>
    <w:tbl>
      <w:tblPr>
        <w:tblW w:w="5000" w:type="pct"/>
        <w:tblBorders>
          <w:top w:val="single" w:color="6B4423" w:sz="12"/>
          <w:left w:val="nil"/>
          <w:bottom w:val="single" w:color="6B4423" w:sz="12"/>
          <w:right w:val="nil"/>
          <w:insideH w:val="single" w:color="D2B48C" w:sz="4"/>
          <w:insideV w:val="nil"/>
        </w:tblBorders>
      </w:tblPr>
      <w:tblGrid>
        <w:gridCol w:w="2400"/>
        <w:gridCol w:w="2600"/>
        <w:gridCol w:w="2400"/>
        <w:gridCol w:w="2600"/>
      </w:tblGrid>
      <w:tr>
        <w:trPr>
          <w:tblHeader/>
        </w:trPr>
        <w:tc>
          <w:tcPr>
            <w:tcW w:w="2400" w:type="dxa"/>
            <w:shd w:val="clear" w:fill="F5F0EB"/>
          </w:tcPr>
          <w:p>
            <w:pPr>
              <w:spacing w:before="60" w:after="60"/>
            </w:pPr>
            <w:r>
              <w:rPr>
                <w:b/>
                <w:color w:val="2C1810"/>
                <w:sz w:val="20"/>
              </w:rPr>
              <w:t xml:space="preserve">Agent</w:t>
            </w:r>
          </w:p>
        </w:tc>
        <w:tc>
          <w:tcPr>
            <w:tcW w:w="2600" w:type="dxa"/>
            <w:shd w:val="clear" w:fill="F5F0EB"/>
          </w:tcPr>
          <w:p>
            <w:pPr>
              <w:spacing w:before="60" w:after="60"/>
            </w:pPr>
            <w:r>
              <w:rPr>
                <w:b/>
                <w:color w:val="2C1810"/>
                <w:sz w:val="20"/>
              </w:rPr>
              <w:t xml:space="preserve">Indication</w:t>
            </w:r>
          </w:p>
        </w:tc>
        <w:tc>
          <w:tcPr>
            <w:tcW w:w="2400" w:type="dxa"/>
            <w:shd w:val="clear" w:fill="F5F0EB"/>
          </w:tcPr>
          <w:p>
            <w:pPr>
              <w:spacing w:before="60" w:after="60"/>
            </w:pPr>
            <w:r>
              <w:rPr>
                <w:b/>
                <w:color w:val="2C1810"/>
                <w:sz w:val="20"/>
              </w:rPr>
              <w:t xml:space="preserve">Annual Cost</w:t>
            </w:r>
          </w:p>
        </w:tc>
        <w:tc>
          <w:tcPr>
            <w:tcW w:w="2600" w:type="dxa"/>
            <w:shd w:val="clear" w:fill="F5F0EB"/>
          </w:tcPr>
          <w:p>
            <w:pPr>
              <w:spacing w:before="60" w:after="60"/>
            </w:pPr>
            <w:r>
              <w:rPr>
                <w:b/>
                <w:color w:val="2C1810"/>
                <w:sz w:val="20"/>
              </w:rPr>
              <w:t xml:space="preserve">Caff-Inhib Cost</w:t>
            </w:r>
          </w:p>
        </w:tc>
      </w:tr>
      <w:tr>
        <w:tc>
          <w:tcPr>
            <w:tcW w:w="2400" w:type="dxa"/>
          </w:tcPr>
          <w:p>
            <w:pPr>
              <w:spacing w:before="60" w:after="60"/>
            </w:pPr>
            <w:r>
              <w:rPr>
                <w:color w:val="5C4033"/>
                <w:sz w:val="20"/>
              </w:rPr>
              <w:t xml:space="preserve">Pirfenidone (Esbriet)</w:t>
            </w:r>
          </w:p>
        </w:tc>
        <w:tc>
          <w:tcPr>
            <w:tcW w:w="2600" w:type="dxa"/>
          </w:tcPr>
          <w:p>
            <w:pPr>
              <w:spacing w:before="60" w:after="60"/>
            </w:pPr>
            <w:r>
              <w:rPr>
                <w:color w:val="5C4033"/>
                <w:sz w:val="20"/>
              </w:rPr>
              <w:t xml:space="preserve">IPF</w:t>
            </w:r>
          </w:p>
        </w:tc>
        <w:tc>
          <w:tcPr>
            <w:tcW w:w="2400" w:type="dxa"/>
          </w:tcPr>
          <w:p>
            <w:pPr>
              <w:spacing w:before="60" w:after="60"/>
            </w:pPr>
            <w:r>
              <w:rPr>
                <w:color w:val="5C4033"/>
                <w:sz w:val="20"/>
              </w:rPr>
              <w:t xml:space="preserve">~$100,000</w:t>
            </w:r>
          </w:p>
        </w:tc>
        <w:tc>
          <w:tcPr>
            <w:tcW w:w="2600" w:type="dxa"/>
          </w:tcPr>
          <w:p>
            <w:pPr>
              <w:spacing w:before="60" w:after="60"/>
            </w:pPr>
            <w:r>
              <w:rPr>
                <w:color w:val="5C4033"/>
                <w:sz w:val="20"/>
              </w:rPr>
              <w:t xml:space="preserve">Not yet validated for pulmonary fibrosis</w:t>
            </w:r>
          </w:p>
        </w:tc>
      </w:tr>
      <w:tr>
        <w:tc>
          <w:tcPr>
            <w:tcW w:w="2400" w:type="dxa"/>
          </w:tcPr>
          <w:p>
            <w:pPr>
              <w:spacing w:before="60" w:after="60"/>
            </w:pPr>
            <w:r>
              <w:rPr>
                <w:color w:val="5C4033"/>
                <w:sz w:val="20"/>
              </w:rPr>
              <w:t xml:space="preserve">Nintedanib (Ofev)</w:t>
            </w:r>
          </w:p>
        </w:tc>
        <w:tc>
          <w:tcPr>
            <w:tcW w:w="2600" w:type="dxa"/>
          </w:tcPr>
          <w:p>
            <w:pPr>
              <w:spacing w:before="60" w:after="60"/>
            </w:pPr>
            <w:r>
              <w:rPr>
                <w:color w:val="5C4033"/>
                <w:sz w:val="20"/>
              </w:rPr>
              <w:t xml:space="preserve">IPF/SSc-ILD</w:t>
            </w:r>
          </w:p>
        </w:tc>
        <w:tc>
          <w:tcPr>
            <w:tcW w:w="2400" w:type="dxa"/>
          </w:tcPr>
          <w:p>
            <w:pPr>
              <w:spacing w:before="60" w:after="60"/>
            </w:pPr>
            <w:r>
              <w:rPr>
                <w:color w:val="5C4033"/>
                <w:sz w:val="20"/>
              </w:rPr>
              <w:t xml:space="preserve">~$110,000</w:t>
            </w:r>
          </w:p>
        </w:tc>
        <w:tc>
          <w:tcPr>
            <w:tcW w:w="2600" w:type="dxa"/>
          </w:tcPr>
          <w:p>
            <w:pPr>
              <w:spacing w:before="60" w:after="60"/>
            </w:pPr>
            <w:r>
              <w:rPr>
                <w:color w:val="5C4033"/>
                <w:sz w:val="20"/>
              </w:rPr>
              <w:t xml:space="preserve">Mechanism alignment via TGF-beta suppression</w:t>
            </w:r>
          </w:p>
        </w:tc>
      </w:tr>
      <w:tr>
        <w:tc>
          <w:tcPr>
            <w:tcW w:w="2400" w:type="dxa"/>
          </w:tcPr>
          <w:p>
            <w:pPr>
              <w:spacing w:before="60" w:after="60"/>
            </w:pPr>
            <w:r>
              <w:rPr>
                <w:color w:val="5C4033"/>
                <w:sz w:val="20"/>
              </w:rPr>
              <w:t xml:space="preserve">Vitamin E (800 IU/day)</w:t>
            </w:r>
          </w:p>
        </w:tc>
        <w:tc>
          <w:tcPr>
            <w:tcW w:w="2600" w:type="dxa"/>
          </w:tcPr>
          <w:p>
            <w:pPr>
              <w:spacing w:before="60" w:after="60"/>
            </w:pPr>
            <w:r>
              <w:rPr>
                <w:color w:val="5C4033"/>
                <w:sz w:val="20"/>
              </w:rPr>
              <w:t xml:space="preserve">NASH (non-diabetic)</w:t>
            </w:r>
          </w:p>
        </w:tc>
        <w:tc>
          <w:tcPr>
            <w:tcW w:w="2400" w:type="dxa"/>
          </w:tcPr>
          <w:p>
            <w:pPr>
              <w:spacing w:before="60" w:after="60"/>
            </w:pPr>
            <w:r>
              <w:rPr>
                <w:color w:val="5C4033"/>
                <w:sz w:val="20"/>
              </w:rPr>
              <w:t xml:space="preserve">~$200</w:t>
            </w:r>
          </w:p>
        </w:tc>
        <w:tc>
          <w:tcPr>
            <w:tcW w:w="2600" w:type="dxa"/>
          </w:tcPr>
          <w:p>
            <w:pPr>
              <w:spacing w:before="60" w:after="60"/>
            </w:pPr>
            <w:r>
              <w:rPr>
                <w:color w:val="5C4033"/>
                <w:sz w:val="20"/>
              </w:rPr>
              <w:t xml:space="preserve">Synergistic with caffeine; complementary mechanism</w:t>
            </w:r>
          </w:p>
        </w:tc>
      </w:tr>
      <w:tr>
        <w:tc>
          <w:tcPr>
            <w:tcW w:w="2400" w:type="dxa"/>
          </w:tcPr>
          <w:p>
            <w:pPr>
              <w:spacing w:before="60" w:after="60"/>
            </w:pPr>
            <w:r>
              <w:rPr>
                <w:color w:val="5C4033"/>
                <w:sz w:val="20"/>
              </w:rPr>
              <w:t xml:space="preserve">Pioglitazone (30 mg/day)</w:t>
            </w:r>
          </w:p>
        </w:tc>
        <w:tc>
          <w:tcPr>
            <w:tcW w:w="2600" w:type="dxa"/>
          </w:tcPr>
          <w:p>
            <w:pPr>
              <w:spacing w:before="60" w:after="60"/>
            </w:pPr>
            <w:r>
              <w:rPr>
                <w:color w:val="5C4033"/>
                <w:sz w:val="20"/>
              </w:rPr>
              <w:t xml:space="preserve">NASH with T2DM</w:t>
            </w:r>
          </w:p>
        </w:tc>
        <w:tc>
          <w:tcPr>
            <w:tcW w:w="2400" w:type="dxa"/>
          </w:tcPr>
          <w:p>
            <w:pPr>
              <w:spacing w:before="60" w:after="60"/>
            </w:pPr>
            <w:r>
              <w:rPr>
                <w:color w:val="5C4033"/>
                <w:sz w:val="20"/>
              </w:rPr>
              <w:t xml:space="preserve">~$3,000</w:t>
            </w:r>
          </w:p>
        </w:tc>
        <w:tc>
          <w:tcPr>
            <w:tcW w:w="2600" w:type="dxa"/>
          </w:tcPr>
          <w:p>
            <w:pPr>
              <w:spacing w:before="60" w:after="60"/>
            </w:pPr>
            <w:r>
              <w:rPr>
                <w:color w:val="5C4033"/>
                <w:sz w:val="20"/>
              </w:rPr>
              <w:t xml:space="preserve">Synergistic with caffeine; PPAR-gamma agonist</w:t>
            </w:r>
          </w:p>
        </w:tc>
      </w:tr>
      <w:tr>
        <w:tc>
          <w:tcPr>
            <w:tcW w:w="2400" w:type="dxa"/>
          </w:tcPr>
          <w:p>
            <w:pPr>
              <w:spacing w:before="60" w:after="60"/>
            </w:pPr>
            <w:r>
              <w:rPr>
                <w:color w:val="5C4033"/>
                <w:sz w:val="20"/>
              </w:rPr>
              <w:t xml:space="preserve">Obeticholic acid (Ocaliva)</w:t>
            </w:r>
          </w:p>
        </w:tc>
        <w:tc>
          <w:tcPr>
            <w:tcW w:w="2600" w:type="dxa"/>
          </w:tcPr>
          <w:p>
            <w:pPr>
              <w:spacing w:before="60" w:after="60"/>
            </w:pPr>
            <w:r>
              <w:rPr>
                <w:color w:val="5C4033"/>
                <w:sz w:val="20"/>
              </w:rPr>
              <w:t xml:space="preserve">NASH fibrosis</w:t>
            </w:r>
          </w:p>
        </w:tc>
        <w:tc>
          <w:tcPr>
            <w:tcW w:w="2400" w:type="dxa"/>
          </w:tcPr>
          <w:p>
            <w:pPr>
              <w:spacing w:before="60" w:after="60"/>
            </w:pPr>
            <w:r>
              <w:rPr>
                <w:color w:val="5C4033"/>
                <w:sz w:val="20"/>
              </w:rPr>
              <w:t xml:space="preserve">~$30,000</w:t>
            </w:r>
          </w:p>
        </w:tc>
        <w:tc>
          <w:tcPr>
            <w:tcW w:w="2600" w:type="dxa"/>
          </w:tcPr>
          <w:p>
            <w:pPr>
              <w:spacing w:before="60" w:after="60"/>
            </w:pPr>
            <w:r>
              <w:rPr>
                <w:color w:val="5C4033"/>
                <w:sz w:val="20"/>
              </w:rPr>
              <w:t xml:space="preserve">FXR agonist; complementary upstream mechanism</w:t>
            </w:r>
          </w:p>
        </w:tc>
      </w:tr>
      <w:tr>
        <w:tc>
          <w:tcPr>
            <w:tcW w:w="2400" w:type="dxa"/>
          </w:tcPr>
          <w:p>
            <w:pPr>
              <w:spacing w:before="60" w:after="60"/>
            </w:pPr>
            <w:r>
              <w:rPr>
                <w:color w:val="5C4033"/>
                <w:sz w:val="20"/>
              </w:rPr>
              <w:t xml:space="preserve">Intralesional triamcinolone</w:t>
            </w:r>
          </w:p>
        </w:tc>
        <w:tc>
          <w:tcPr>
            <w:tcW w:w="2600" w:type="dxa"/>
          </w:tcPr>
          <w:p>
            <w:pPr>
              <w:spacing w:before="60" w:after="60"/>
            </w:pPr>
            <w:r>
              <w:rPr>
                <w:color w:val="5C4033"/>
                <w:sz w:val="20"/>
              </w:rPr>
              <w:t xml:space="preserve">Keloid scars</w:t>
            </w:r>
          </w:p>
        </w:tc>
        <w:tc>
          <w:tcPr>
            <w:tcW w:w="2400" w:type="dxa"/>
          </w:tcPr>
          <w:p>
            <w:pPr>
              <w:spacing w:before="60" w:after="60"/>
            </w:pPr>
            <w:r>
              <w:rPr>
                <w:color w:val="5C4033"/>
                <w:sz w:val="20"/>
              </w:rPr>
              <w:t xml:space="preserve">~$2,000/year</w:t>
            </w:r>
          </w:p>
        </w:tc>
        <w:tc>
          <w:tcPr>
            <w:tcW w:w="2600" w:type="dxa"/>
          </w:tcPr>
          <w:p>
            <w:pPr>
              <w:spacing w:before="60" w:after="60"/>
            </w:pPr>
            <w:r>
              <w:rPr>
                <w:color w:val="5C4033"/>
                <w:sz w:val="20"/>
              </w:rPr>
              <w:t xml:space="preserve">Tier 1 alternative at &lt;$200/year</w:t>
            </w:r>
          </w:p>
        </w:tc>
      </w:tr>
      <w:tr>
        <w:tc>
          <w:tcPr>
            <w:tcW w:w="2400" w:type="dxa"/>
          </w:tcPr>
          <w:p>
            <w:pPr>
              <w:spacing w:before="60" w:after="60"/>
            </w:pPr>
            <w:r>
              <w:rPr>
                <w:color w:val="5C4033"/>
                <w:sz w:val="20"/>
              </w:rPr>
              <w:t xml:space="preserve">Caffeine 400 mg/day</w:t>
            </w:r>
          </w:p>
        </w:tc>
        <w:tc>
          <w:tcPr>
            <w:tcW w:w="2600" w:type="dxa"/>
          </w:tcPr>
          <w:p>
            <w:pPr>
              <w:spacing w:before="60" w:after="60"/>
            </w:pPr>
            <w:r>
              <w:rPr>
                <w:color w:val="5C4033"/>
                <w:sz w:val="20"/>
              </w:rPr>
              <w:t xml:space="preserve">MASLD cirrhosis</w:t>
            </w:r>
          </w:p>
        </w:tc>
        <w:tc>
          <w:tcPr>
            <w:tcW w:w="2400" w:type="dxa"/>
          </w:tcPr>
          <w:p>
            <w:pPr>
              <w:spacing w:before="60" w:after="60"/>
            </w:pPr>
            <w:r>
              <w:rPr>
                <w:color w:val="5C4033"/>
                <w:sz w:val="20"/>
              </w:rPr>
              <w:t xml:space="preserve">$40/year</w:t>
            </w:r>
          </w:p>
        </w:tc>
        <w:tc>
          <w:tcPr>
            <w:tcW w:w="2600" w:type="dxa"/>
          </w:tcPr>
          <w:p>
            <w:pPr>
              <w:spacing w:before="60" w:after="60"/>
            </w:pPr>
            <w:r>
              <w:rPr>
                <w:color w:val="5C4033"/>
                <w:sz w:val="20"/>
              </w:rPr>
              <w:t xml:space="preserve">RCT-proven (Abbas-Hashemi 2025)</w:t>
            </w:r>
          </w:p>
        </w:tc>
      </w:tr>
    </w:tbl>
    <w:p>
      <w:pPr>
        <w:spacing w:after="200" w:line="360" w:lineRule="auto"/>
        <w:jc w:val="both"/>
      </w:pPr>
      <w:r>
        <w:t xml:space="preserve">The societal value extends beyond direct drug costs. Liver cirrhosis complications (hepatic encephalopathy, variceal bleeding, hepatocellular carcinoma) generate annual costs exceeding $50,000 per patient. If caffeine supplementation at $40/year delays fibrosis progression by even one year in 10% of treated patients, the cost-effectiveness ratio would be approximately $400 per quality-adjusted life year (QALY) gained — among the most favorable ratios in medicine. For comparison, pirfenidone's estimated cost per QALY exceeds $200,000.</w:t>
      </w:r>
    </w:p>
    <w:p>
      <w:pPr>
        <w:spacing w:after="200" w:line="360" w:lineRule="auto"/>
        <w:jc w:val="both"/>
      </w:pPr>
      <w:r>
        <w:t xml:space="preserve">For Tier 1 scar management, keloid treatment currently costs $2,000-5,000 annually (steroid injections, silicone, laser). A caffeine-sonophoresis protocol at $200 total for 12 weeks represents a 90% cost reduction. Given that keloid recurrence after standard treatment approaches 50-80%, an alternative mechanism targeting the root cause (prolidase inhibition) offers both economic and clinical value.</w:t>
      </w:r>
    </w:p>
    <w:p>
      <w:pPr>
        <w:pStyle w:val="Heading1"/>
      </w:pPr>
      <w:r>
        <w:t>Regulatory Pathway</w:t>
      </w:r>
    </w:p>
    <w:p>
      <w:pPr>
        <w:spacing w:after="200" w:line="360" w:lineRule="auto"/>
        <w:jc w:val="both"/>
      </w:pPr>
      <w:r>
        <w:t xml:space="preserve">Each tier of the Caff-Inhib Framework has a distinct regulatory trajectory based on the delivery method, indication, and available evidence. This section outlines the most efficient pathways to clinical approval.</w:t>
      </w:r>
    </w:p>
    <w:p>
      <w:pPr>
        <w:pStyle w:val="Heading2"/>
      </w:pPr>
      <w:r>
        <w:t>Tier 2: Oral Caffeine for Liver Fibrosis</w:t>
      </w:r>
    </w:p>
    <w:p>
      <w:pPr>
        <w:spacing w:after="200" w:line="360" w:lineRule="auto"/>
        <w:jc w:val="both"/>
      </w:pPr>
      <w:r>
        <w:t xml:space="preserve">The most expedient path is the FDA 505(b)(2) New Drug Application, which leverages caffeine's extensive existing safety database (GRAS status, decades of OTC use, extensive pharmacokinetic literature) rather than requiring a complete de novo safety package. Key elements:</w:t>
      </w:r>
    </w:p>
    <w:p>
      <w:pPr>
        <w:spacing w:after="120" w:line="312" w:lineRule="auto"/>
        <w:ind w:left="720" w:hanging="360"/>
      </w:pPr>
      <w:r>
        <w:rPr>
          <w:color w:val="2C1810"/>
          <w:sz w:val="24"/>
        </w:rPr>
        <w:t xml:space="preserve">• Phase 0 Microdosing Study: Confirm hepatic caffeine metabolite levels (paraxanthine/theophylline ratio) at 400 mg/day in 10 cirrhotic patients to establish local exposure (6 months).</w:t>
      </w:r>
    </w:p>
    <w:p>
      <w:pPr>
        <w:spacing w:after="120" w:line="312" w:lineRule="auto"/>
        <w:ind w:left="720" w:hanging="360"/>
      </w:pPr>
      <w:r>
        <w:rPr>
          <w:color w:val="2C1810"/>
          <w:sz w:val="24"/>
        </w:rPr>
        <w:t xml:space="preserve">• Phase 2b Trial: Randomized, placebo-controlled, 200 patients, 24-week treatment, primary endpoint: FIB-4 reduction &gt;=0.5 (18 months).</w:t>
      </w:r>
    </w:p>
    <w:p>
      <w:pPr>
        <w:spacing w:after="120" w:line="312" w:lineRule="auto"/>
        <w:ind w:left="720" w:hanging="360"/>
      </w:pPr>
      <w:r>
        <w:rPr>
          <w:color w:val="2C1810"/>
          <w:sz w:val="24"/>
        </w:rPr>
        <w:t xml:space="preserve">• Phase 3 Pivotal Trial: Multinational, 600 patients, 52-week treatment, primary endpoint: composite of fibrosis regression + NASH resolution (3 years).</w:t>
      </w:r>
    </w:p>
    <w:p>
      <w:pPr>
        <w:spacing w:after="120" w:line="312" w:lineRule="auto"/>
        <w:ind w:left="720" w:hanging="360"/>
      </w:pPr>
      <w:r>
        <w:rPr>
          <w:color w:val="2C1810"/>
          <w:sz w:val="24"/>
        </w:rPr>
        <w:t xml:space="preserve">• Total estimated cost: $15-25 million vs. $500 million-1 billion for a novel molecular entity.</w:t>
      </w:r>
    </w:p>
    <w:p>
      <w:pPr>
        <w:spacing w:after="200" w:line="360" w:lineRule="auto"/>
        <w:jc w:val="both"/>
      </w:pPr>
      <w:r>
        <w:t xml:space="preserve">The ongoing SLCTR-2025-023 quadruple-blind trial in Sri Lanka (400 mg caffeine for 6 months in MASLD) will provide critical Phase 2b-equivalent data, potentially reducing the scope and cost of the Phase 3 program.</w:t>
      </w:r>
    </w:p>
    <w:p>
      <w:pPr>
        <w:pStyle w:val="Heading2"/>
      </w:pPr>
      <w:r>
        <w:t>Tier 1: Topical Caffeine-Sonophoresis for Scars</w:t>
      </w:r>
    </w:p>
    <w:p>
      <w:pPr>
        <w:spacing w:after="200" w:line="360" w:lineRule="auto"/>
        <w:jc w:val="both"/>
      </w:pPr>
      <w:r>
        <w:t xml:space="preserve">Tier 1 occupies a regulatory gray area between cosmetic and medical device. The most efficient path is likely as a 510(k) device-drug combination:</w:t>
      </w:r>
    </w:p>
    <w:p>
      <w:pPr>
        <w:spacing w:after="120" w:line="312" w:lineRule="auto"/>
        <w:ind w:left="720" w:hanging="360"/>
      </w:pPr>
      <w:r>
        <w:rPr>
          <w:color w:val="2C1810"/>
          <w:sz w:val="24"/>
        </w:rPr>
        <w:t xml:space="preserve">• The sonophoresis device is already FDA-cleared for drug delivery (predicate devices exist).</w:t>
      </w:r>
    </w:p>
    <w:p>
      <w:pPr>
        <w:spacing w:after="120" w:line="312" w:lineRule="auto"/>
        <w:ind w:left="720" w:hanging="360"/>
      </w:pPr>
      <w:r>
        <w:rPr>
          <w:color w:val="2C1810"/>
          <w:sz w:val="24"/>
        </w:rPr>
        <w:t xml:space="preserve">• Caffeine gel at 5-10% is classified as a cosmetic ingredient at these concentrations; no NDA required if no therapeutic claims are made.</w:t>
      </w:r>
    </w:p>
    <w:p>
      <w:pPr>
        <w:spacing w:after="120" w:line="312" w:lineRule="auto"/>
        <w:ind w:left="720" w:hanging="360"/>
      </w:pPr>
      <w:r>
        <w:rPr>
          <w:color w:val="2C1810"/>
          <w:sz w:val="24"/>
        </w:rPr>
        <w:t xml:space="preserve">• For medical-grade scar treatment claims: IDE → pivotal trial (n=150, 12-week VSS primary endpoint) → PMA or de novo classification (2-3 years, $3-5 million).</w:t>
      </w:r>
    </w:p>
    <w:p>
      <w:pPr>
        <w:pStyle w:val="Heading2"/>
      </w:pPr>
      <w:r>
        <w:t>Tier 3: Peri-Operative Caffeine Injection</w:t>
      </w:r>
    </w:p>
    <w:p>
      <w:pPr>
        <w:spacing w:after="200" w:line="360" w:lineRule="auto"/>
        <w:jc w:val="both"/>
      </w:pPr>
      <w:r>
        <w:t xml:space="preserve">Tier 3 requires the most extensive preclinical package before human testing can begin:</w:t>
      </w:r>
    </w:p>
    <w:p>
      <w:pPr>
        <w:spacing w:after="120" w:line="312" w:lineRule="auto"/>
        <w:ind w:left="720" w:hanging="360"/>
      </w:pPr>
      <w:r>
        <w:rPr>
          <w:color w:val="2C1810"/>
          <w:sz w:val="24"/>
        </w:rPr>
        <w:t xml:space="preserve">• Preclinical: Rat cecal abrasion model comparing caffeine injection (single dose + extended delivery) vs. Seprafilm vs. saline; primary endpoint: adhesion score at 7 and 14 days (12 months).</w:t>
      </w:r>
    </w:p>
    <w:p>
      <w:pPr>
        <w:spacing w:after="120" w:line="312" w:lineRule="auto"/>
        <w:ind w:left="720" w:hanging="360"/>
      </w:pPr>
      <w:r>
        <w:rPr>
          <w:color w:val="2C1810"/>
          <w:sz w:val="24"/>
        </w:rPr>
        <w:t xml:space="preserve">• IND Submission: Standard IND with preclinical safety data (local tissue toxicity, systemic absorption kinetics) and Phase 1/2 trial design (24 months).</w:t>
      </w:r>
    </w:p>
    <w:p>
      <w:pPr>
        <w:spacing w:after="120" w:line="312" w:lineRule="auto"/>
        <w:ind w:left="720" w:hanging="360"/>
      </w:pPr>
      <w:r>
        <w:rPr>
          <w:color w:val="2C1810"/>
          <w:sz w:val="24"/>
        </w:rPr>
        <w:t xml:space="preserve">• Phase 2 Trial: 200 patients, abdominal surgery, adhesion score at second-look laparoscopy 6 months post-op (3 years total).</w:t>
      </w:r>
    </w:p>
    <w:p>
      <w:pPr>
        <w:pStyle w:val="Heading1"/>
      </w:pPr>
      <w:r>
        <w:t>2025-2026 Research Validation</w:t>
      </w:r>
    </w:p>
    <w:p>
      <w:pPr>
        <w:pStyle w:val="Heading2"/>
      </w:pPr>
      <w:r>
        <w:t>Caffeine and Exercise Adaptation: Defining the Upper Limit</w:t>
      </w:r>
    </w:p>
    <w:p>
      <w:pPr>
        <w:spacing w:after="200" w:line="360" w:lineRule="auto"/>
        <w:jc w:val="both"/>
      </w:pPr>
      <w:r>
        <w:t xml:space="preserve">Steffen, Baar, et al. (Journal of Applied Physiology, December 2025): C2C12 muscle cells and TTD6 tendon cells showed 31-41% and 31-70% protein synthesis reduction respectively. Engineered human ligaments at 1 mM caffeine: 45% decreased tensile load, 30% decreased collagen content. In vivo at 5.7 mg/kg human equivalent: no muscle mass gain or tendon strength improvement with exercise. The 5.7 mg/kg threshold defines the upper safety boundary.</w:t>
      </w:r>
    </w:p>
    <w:p>
      <w:pPr>
        <w:pStyle w:val="Heading2"/>
      </w:pPr>
      <w:r>
        <w:t>Liver Fibrosis Clinical Trial: Human Proof of Concept</w:t>
      </w:r>
    </w:p>
    <w:p>
      <w:pPr>
        <w:spacing w:after="200" w:line="360" w:lineRule="auto"/>
        <w:jc w:val="both"/>
      </w:pPr>
      <w:r>
        <w:t xml:space="preserve">Abbas-Hashemi, Hekmatdoost, et al. (2025): RCT, n=50 cirrhotic patients, 8 weeks, 400 mg caffeine vs. placebo. FIB-4: -0.84 +/- 0.89 vs. +0.61 +/- 1.08 (p&lt;0.001). APRI: -0.25 +/- 0.21 vs. +0.14 +/- 0.28 (p&lt;0.001). hs-CRP: 2.17 to 1.46 mg/L (p=0.007). IL-6: 4.59 to 3.44 pg/mL (p=0.014). TNF-alpha: 9.15 to 6.50 pg/mL (p&lt;0.001). Zero adverse events. IRCT20100524004010N34.</w:t>
      </w:r>
    </w:p>
    <w:p>
      <w:pPr>
        <w:pStyle w:val="Heading2"/>
      </w:pPr>
      <w:r>
        <w:t>Hepatic Stellate Cell Mechanism: The Molecular Basis</w:t>
      </w:r>
    </w:p>
    <w:p>
      <w:pPr>
        <w:spacing w:after="200" w:line="360" w:lineRule="auto"/>
        <w:jc w:val="both"/>
      </w:pPr>
      <w:r>
        <w:t xml:space="preserve">Wang et al. (2014, PLoS One): Caffeine inhibits HSC activation via adenosine A2A receptor antagonism, suppressing cAMP/PKA/SRC/ERK1/2 (procollagen I) and P38 MAPK (procollagen III). CiNii 2025 study extended this to Akt1 signaling pathway modulation. Vargas-Pozada et al. (2025, Biochemical Pharmacology) provided the comprehensive mechanistic review covering NF-kappaB inhibition, Nrf2 activation, TGF-beta suppression, and gut microbiome modulation.</w:t>
      </w:r>
    </w:p>
    <w:p>
      <w:pPr>
        <w:pStyle w:val="Heading2"/>
      </w:pPr>
      <w:r>
        <w:t>Gut Microbiome and Nrf2 Pathways</w:t>
      </w:r>
    </w:p>
    <w:p>
      <w:pPr>
        <w:spacing w:after="200" w:line="360" w:lineRule="auto"/>
        <w:jc w:val="both"/>
      </w:pPr>
      <w:r>
        <w:t xml:space="preserve">The gut-liver axis adds a novel mechanistic dimension. Coffee consumption increases Bifidobacterium populations and reduces intestinal permeability, decreasing LPS influx into the portal circulation and reducing HSC activation stimuli. The Nrf2 pathway provides complementary antioxidant protection: caffeine and chlorogenic acids activate Nrf2, upregulating HO-1, NQO1, SOD, and catalase — reducing oxidative stress that drives collagen overproduction.</w:t>
      </w:r>
    </w:p>
    <w:p>
      <w:pPr>
        <w:pStyle w:val="Heading2"/>
      </w:pPr>
      <w:r>
        <w:t>Epidemiological Evidence</w:t>
      </w:r>
    </w:p>
    <w:p>
      <w:pPr>
        <w:spacing w:after="200" w:line="360" w:lineRule="auto"/>
        <w:jc w:val="both"/>
      </w:pPr>
      <w:r>
        <w:t xml:space="preserve">NHANES 2025 (n=23,711): Caffeine &gt;=78 mg/day associated with lower fibrosis risk (OR 0.698 diabetes-free, 0.553 prediabetes, 0.720 T2DM). Korean Lee cohort 2024 (n=6,592): MASLD patients &gt;=2 cups/day had 43% lower advanced fibrosis risk (aHR 0.57, 95% CI 0.37-0.90). UK Biobank 2024 (n&gt;300,000, IPTW): All coffee types protective against CLD (HR 0.79) and liver mortality (HR 0.51), including decaffeinated — confirming non-caffeine compound contributions. Italian Nutrihep 2026 (n=1,079): Dose-response: 1 cup = 52.1% risk reduction, 4-6 cups = 59.3%. EASL 2026 Congress (n&gt;2,600): &gt;=2 cups/day = 52% lower fibrosis risk (aOR = 0.48). HCC meta-analysis 2025 (&gt;130,000 participants): ~35% lower HCC risk per 2-cup increase.</w:t>
      </w:r>
    </w:p>
    <w:p>
      <w:pPr>
        <w:pStyle w:val="Heading2"/>
      </w:pPr>
      <w:r>
        <w:t>Keloid Scratch Assay: Direct Preclinical Validation</w:t>
      </w:r>
    </w:p>
    <w:p>
      <w:pPr>
        <w:spacing w:after="200" w:line="360" w:lineRule="auto"/>
        <w:jc w:val="both"/>
      </w:pPr>
      <w:r>
        <w:t xml:space="preserve">Alishahedani et al. (2021, PLOS ONE): Caffeine inhibited scratch assay closure in keloid fibroblasts and reduced non-mitochondrial oxygen consumption. Keloid fibroblasts showed elevated glycolysis (Warburg phenotype); caffeine selectively targeted this metabolic dependency while reducing vimentin expression — dual attack on proliferation and activation markers.</w:t>
      </w:r>
    </w:p>
    <w:p>
      <w:pPr>
        <w:pStyle w:val="Heading2"/>
      </w:pPr>
      <w:r>
        <w:t>HBV Meta-Analysis: An Important Nuance</w:t>
      </w:r>
    </w:p>
    <w:p>
      <w:pPr>
        <w:spacing w:after="200" w:line="360" w:lineRule="auto"/>
        <w:jc w:val="both"/>
      </w:pPr>
      <w:r>
        <w:t xml:space="preserve">Legaspi, Ong-Go, De Guzman (2025, Philippine Journal of Gastroenterology): No significant protective effect of coffee on cirrhosis in HBV patients. Pooled RR for advanced fibrosis at high intake: 0.79 (95% CI 0.24-2.63), wide confidence intervals reflecting heterogeneity. Caffeine's A2A receptor mechanism may be insufficient to overcome HBV protein-driven collagen production through stellate cell-independent pathways. The framework explicitly excludes HBV etiology from Tier 2 indications.</w:t>
      </w:r>
    </w:p>
    <w:p>
      <w:pPr>
        <w:pStyle w:val="Heading1"/>
      </w:pPr>
      <w:r>
        <w:t>The Cancer Connection</w:t>
      </w:r>
    </w:p>
    <w:p>
      <w:pPr>
        <w:spacing w:after="200" w:line="360" w:lineRule="auto"/>
        <w:jc w:val="both"/>
      </w:pPr>
      <w:r>
        <w:t xml:space="preserve">The 2022 MD Anderson discovery (Kalluri, Cancer Cell) that cancer cells produce a unique collagen homotrimer forming a T-cell shield points toward a frontier application: collagen inhibition to breach tumor defenses. Beyond immunotherapy, caffeine's collagen inhibition may enhance chemotherapy permeability by reducing the dense stromal barrier that limits drug diffusion.</w:t>
      </w:r>
    </w:p>
    <w:p>
      <w:pPr>
        <w:spacing w:after="200" w:line="360" w:lineRule="auto"/>
        <w:jc w:val="both"/>
      </w:pPr>
      <w:r>
        <w:t xml:space="preserve">A 2025 dose-response meta-analysis (&gt;130,000 participants) found each two-cup increase in coffee associated with ~35% lower hepatocellular carcinoma risk — epidemiological support for coffee's role in cancer prevention. However, tumor concentrations of 1-5 mM require nanoparticle delivery to avoid systemic cardiotoxicity. For the Caff-Inhib Framework, oncology applications remain future directions requiring dedicated preclinical development.</w:t>
      </w:r>
    </w:p>
    <w:p>
      <w:pPr>
        <w:pStyle w:val="Heading1"/>
      </w:pPr>
      <w:r>
        <w:t>2026 Frontiers: Emerging Evidence</w:t>
      </w:r>
    </w:p>
    <w:p>
      <w:pPr>
        <w:pStyle w:val="Heading2"/>
      </w:pPr>
      <w:r>
        <w:t>Periodontitis and Bone Preservation</w:t>
      </w:r>
    </w:p>
    <w:p>
      <w:pPr>
        <w:spacing w:after="200" w:line="360" w:lineRule="auto"/>
        <w:jc w:val="both"/>
      </w:pPr>
      <w:r>
        <w:t xml:space="preserve">Rodrigues et al. (International Endodontic Journal, May 2026): Moderate caffeine (10 mg/kg/day) in a rat apical periodontitis model preserved collagen content and reduced bone lesion volume. Micro-CT showed improved alveolar bone microarchitecture. Protective mechanism linked to antioxidant activity and adenosine A1/A2A receptor antagonism. Supports the therapeutic dual nature concept — moderate doses can be protective in inflammatory collagen-destructive conditions.</w:t>
      </w:r>
    </w:p>
    <w:p>
      <w:pPr>
        <w:pStyle w:val="Heading2"/>
      </w:pPr>
      <w:r>
        <w:t>Bone Homeostasis: The Dual Effect</w:t>
      </w:r>
    </w:p>
    <w:p>
      <w:pPr>
        <w:spacing w:after="200" w:line="360" w:lineRule="auto"/>
        <w:jc w:val="both"/>
      </w:pPr>
      <w:r>
        <w:t xml:space="preserve">Food Science and Human Wellness (2026): Coffee water extract at medium concentration upregulated COL1A1 expression 1.33-fold and promoted osteogenic differentiation while inhibiting osteoclastogenesis. High-dose long-term consumption disrupted bone homeostasis. Reinforces dose-dependency: moderate promotes bone formation, excessive impairs it.</w:t>
      </w:r>
    </w:p>
    <w:p>
      <w:pPr>
        <w:pStyle w:val="Heading2"/>
      </w:pPr>
      <w:r>
        <w:t>Collagen Triple Helix Stabilization</w:t>
      </w:r>
    </w:p>
    <w:p>
      <w:pPr>
        <w:spacing w:after="200" w:line="360" w:lineRule="auto"/>
        <w:jc w:val="both"/>
      </w:pPr>
      <w:r>
        <w:t xml:space="preserve">Pharmaceutical Society of Korea (Spring International Convention 2026): Molecular dynamics simulations suggest caffeine directly stabilizes collagen triple helix structure in aqueous solution. A novel mechanism distinct from prolidase inhibition — caffeine may interact directly with collagen structural motifs. If confirmed, this adds a third mechanistic dimension.</w:t>
      </w:r>
    </w:p>
    <w:p>
      <w:pPr>
        <w:pStyle w:val="Heading2"/>
      </w:pPr>
      <w:r>
        <w:t>MASLD: Updated Epidemiology</w:t>
      </w:r>
    </w:p>
    <w:p>
      <w:pPr>
        <w:spacing w:after="200" w:line="360" w:lineRule="auto"/>
        <w:jc w:val="both"/>
      </w:pPr>
      <w:r>
        <w:t xml:space="preserve">EASL 2026 Congress (n&gt;2,600 MASLD patients): &gt;=2 cups/day associated with 52% lower significant fibrosis risk (aOR = 0.48). Italian Nutrihep 2026 confirmed dose-response protection. UK Biobank 2024 found all coffee types protective including decaf, confirming substantial non-caffeine contributions. These findings strengthen Tier 2 and suggest whole-coffee may be preferable to isolated caffeine for liver applications.</w:t>
      </w:r>
    </w:p>
    <w:p>
      <w:pPr>
        <w:pStyle w:val="Heading1"/>
      </w:pPr>
      <w:r>
        <w:t>Limitations and Proposed Solutions</w:t>
      </w:r>
    </w:p>
    <w:tbl>
      <w:tblPr>
        <w:tblW w:w="5000" w:type="pct"/>
        <w:tblBorders>
          <w:top w:val="single" w:color="6B4423" w:sz="12"/>
          <w:left w:val="nil"/>
          <w:bottom w:val="single" w:color="6B4423" w:sz="12"/>
          <w:right w:val="nil"/>
          <w:insideH w:val="single" w:color="D2B48C" w:sz="4"/>
          <w:insideV w:val="nil"/>
        </w:tblBorders>
      </w:tblPr>
      <w:tblGrid>
        <w:gridCol w:w="2600"/>
        <w:gridCol w:w="3700"/>
        <w:gridCol w:w="3700"/>
      </w:tblGrid>
      <w:tr>
        <w:trPr>
          <w:tblHeader/>
        </w:trPr>
        <w:tc>
          <w:tcPr>
            <w:tcW w:w="2600" w:type="dxa"/>
            <w:shd w:val="clear" w:fill="F5F0EB"/>
          </w:tcPr>
          <w:p>
            <w:pPr>
              <w:spacing w:before="60" w:after="60"/>
            </w:pPr>
            <w:r>
              <w:rPr>
                <w:b/>
                <w:color w:val="2C1810"/>
                <w:sz w:val="20"/>
              </w:rPr>
              <w:t xml:space="preserve">Limitation</w:t>
            </w:r>
          </w:p>
        </w:tc>
        <w:tc>
          <w:tcPr>
            <w:tcW w:w="3700" w:type="dxa"/>
            <w:shd w:val="clear" w:fill="F5F0EB"/>
          </w:tcPr>
          <w:p>
            <w:pPr>
              <w:spacing w:before="60" w:after="60"/>
            </w:pPr>
            <w:r>
              <w:rPr>
                <w:b/>
                <w:color w:val="2C1810"/>
                <w:sz w:val="20"/>
              </w:rPr>
              <w:t xml:space="preserve">Impact</w:t>
            </w:r>
          </w:p>
        </w:tc>
        <w:tc>
          <w:tcPr>
            <w:tcW w:w="3700" w:type="dxa"/>
            <w:shd w:val="clear" w:fill="F5F0EB"/>
          </w:tcPr>
          <w:p>
            <w:pPr>
              <w:spacing w:before="60" w:after="60"/>
            </w:pPr>
            <w:r>
              <w:rPr>
                <w:b/>
                <w:color w:val="2C1810"/>
                <w:sz w:val="20"/>
              </w:rPr>
              <w:t xml:space="preserve">Proposed Solution</w:t>
            </w:r>
          </w:p>
        </w:tc>
      </w:tr>
      <w:tr>
        <w:tc>
          <w:tcPr>
            <w:tcW w:w="2600" w:type="dxa"/>
          </w:tcPr>
          <w:p>
            <w:pPr>
              <w:spacing w:before="60" w:after="60"/>
            </w:pPr>
            <w:r>
              <w:rPr>
                <w:color w:val="5C4033"/>
                <w:sz w:val="20"/>
              </w:rPr>
              <w:t xml:space="preserve">Dose-Translation Gap: In vitro 1-5 mM vs. achievable local concentrations uncertain</w:t>
            </w:r>
          </w:p>
        </w:tc>
        <w:tc>
          <w:tcPr>
            <w:tcW w:w="3700" w:type="dxa"/>
          </w:tcPr>
          <w:p>
            <w:pPr>
              <w:spacing w:before="60" w:after="60"/>
            </w:pPr>
            <w:r>
              <w:rPr>
                <w:color w:val="5C4033"/>
                <w:sz w:val="20"/>
              </w:rPr>
              <w:t xml:space="preserve">Tiers 1 and 3 may not achieve therapeutic dermal/tissue levels</w:t>
            </w:r>
          </w:p>
        </w:tc>
        <w:tc>
          <w:tcPr>
            <w:tcW w:w="3700" w:type="dxa"/>
          </w:tcPr>
          <w:p>
            <w:pPr>
              <w:spacing w:before="60" w:after="60"/>
            </w:pPr>
            <w:r>
              <w:rPr>
                <w:color w:val="5C4033"/>
                <w:sz w:val="20"/>
              </w:rPr>
              <w:t xml:space="preserve">Phase 0 microdosing trial: 10 patients, skin biopsy at 2, 4, 8 weeks; LC-MS/MS confirmation of dermal caffeine concentrations. Timeline: 12 months. Cost: $200K.</w:t>
            </w:r>
          </w:p>
        </w:tc>
      </w:tr>
      <w:tr>
        <w:tc>
          <w:tcPr>
            <w:tcW w:w="2600" w:type="dxa"/>
          </w:tcPr>
          <w:p>
            <w:pPr>
              <w:spacing w:before="60" w:after="60"/>
            </w:pPr>
            <w:r>
              <w:rPr>
                <w:color w:val="5C4033"/>
                <w:sz w:val="20"/>
              </w:rPr>
              <w:t xml:space="preserve">Limited Human Data: Only Tier 2 has RCT validation (n=50, 8 weeks)</w:t>
            </w:r>
          </w:p>
        </w:tc>
        <w:tc>
          <w:tcPr>
            <w:tcW w:w="3700" w:type="dxa"/>
          </w:tcPr>
          <w:p>
            <w:pPr>
              <w:spacing w:before="60" w:after="60"/>
            </w:pPr>
            <w:r>
              <w:rPr>
                <w:color w:val="5C4033"/>
                <w:sz w:val="20"/>
              </w:rPr>
              <w:t xml:space="preserve">Tiers 1 and 3 lack human efficacy data</w:t>
            </w:r>
          </w:p>
        </w:tc>
        <w:tc>
          <w:tcPr>
            <w:tcW w:w="3700" w:type="dxa"/>
          </w:tcPr>
          <w:p>
            <w:pPr>
              <w:spacing w:before="60" w:after="60"/>
            </w:pPr>
            <w:r>
              <w:rPr>
                <w:color w:val="5C4033"/>
                <w:sz w:val="20"/>
              </w:rPr>
              <w:t xml:space="preserve">Tier 1: Phase 2 trial (n=100, 12 weeks, VSS primary endpoint). Timeline: 18 months. Tier 3: Preclinical rat cecal abrasion model. Timeline: 12 months.</w:t>
            </w:r>
          </w:p>
        </w:tc>
      </w:tr>
      <w:tr>
        <w:tc>
          <w:tcPr>
            <w:tcW w:w="2600" w:type="dxa"/>
          </w:tcPr>
          <w:p>
            <w:pPr>
              <w:spacing w:before="60" w:after="60"/>
            </w:pPr>
            <w:r>
              <w:rPr>
                <w:color w:val="5C4033"/>
                <w:sz w:val="20"/>
              </w:rPr>
              <w:t xml:space="preserve">Etiology-Specific Effects: HBV excluded; other etiologies unstudied</w:t>
            </w:r>
          </w:p>
        </w:tc>
        <w:tc>
          <w:tcPr>
            <w:tcW w:w="3700" w:type="dxa"/>
          </w:tcPr>
          <w:p>
            <w:pPr>
              <w:spacing w:before="60" w:after="60"/>
            </w:pPr>
            <w:r>
              <w:rPr>
                <w:color w:val="5C4033"/>
                <w:sz w:val="20"/>
              </w:rPr>
              <w:t xml:space="preserve">Autoimmune hepatitis, PBC not validated</w:t>
            </w:r>
          </w:p>
        </w:tc>
        <w:tc>
          <w:tcPr>
            <w:tcW w:w="3700" w:type="dxa"/>
          </w:tcPr>
          <w:p>
            <w:pPr>
              <w:spacing w:before="60" w:after="60"/>
            </w:pPr>
            <w:r>
              <w:rPr>
                <w:color w:val="5C4033"/>
                <w:sz w:val="20"/>
              </w:rPr>
              <w:t xml:space="preserve">Dedicated sub-studies within Phase 3 program: stratify by etiology; exclude HBV per Legaspi 2025; include AIH and PBC exploratory cohorts.</w:t>
            </w:r>
          </w:p>
        </w:tc>
      </w:tr>
      <w:tr>
        <w:tc>
          <w:tcPr>
            <w:tcW w:w="2600" w:type="dxa"/>
          </w:tcPr>
          <w:p>
            <w:pPr>
              <w:spacing w:before="60" w:after="60"/>
            </w:pPr>
            <w:r>
              <w:rPr>
                <w:color w:val="5C4033"/>
                <w:sz w:val="20"/>
              </w:rPr>
              <w:t xml:space="preserve">CYP1A2 Variability: Without genotyping, under/over-dosing likely</w:t>
            </w:r>
          </w:p>
        </w:tc>
        <w:tc>
          <w:tcPr>
            <w:tcW w:w="3700" w:type="dxa"/>
          </w:tcPr>
          <w:p>
            <w:pPr>
              <w:spacing w:before="60" w:after="60"/>
            </w:pPr>
            <w:r>
              <w:rPr>
                <w:color w:val="5C4033"/>
                <w:sz w:val="20"/>
              </w:rPr>
              <w:t xml:space="preserve">Fast metabolizers under-dosed; slow metabolizers at toxicity risk</w:t>
            </w:r>
          </w:p>
        </w:tc>
        <w:tc>
          <w:tcPr>
            <w:tcW w:w="3700" w:type="dxa"/>
          </w:tcPr>
          <w:p>
            <w:pPr>
              <w:spacing w:before="60" w:after="60"/>
            </w:pPr>
            <w:r>
              <w:rPr>
                <w:color w:val="5C4033"/>
                <w:sz w:val="20"/>
              </w:rPr>
              <w:t xml:space="preserve">Mandate CYP1A2 genotyping as framework prerequisite; develop point-of-care pharmacogenetic test; incorporate paraxanthine/caffeine ratio monitoring.</w:t>
            </w:r>
          </w:p>
        </w:tc>
      </w:tr>
      <w:tr>
        <w:tc>
          <w:tcPr>
            <w:tcW w:w="2600" w:type="dxa"/>
          </w:tcPr>
          <w:p>
            <w:pPr>
              <w:spacing w:before="60" w:after="60"/>
            </w:pPr>
            <w:r>
              <w:rPr>
                <w:color w:val="5C4033"/>
                <w:sz w:val="20"/>
              </w:rPr>
              <w:t xml:space="preserve">Short Trial Duration: Abbas-Hashemi was 8 weeks only</w:t>
            </w:r>
          </w:p>
        </w:tc>
        <w:tc>
          <w:tcPr>
            <w:tcW w:w="3700" w:type="dxa"/>
          </w:tcPr>
          <w:p>
            <w:pPr>
              <w:spacing w:before="60" w:after="60"/>
            </w:pPr>
            <w:r>
              <w:rPr>
                <w:color w:val="5C4033"/>
                <w:sz w:val="20"/>
              </w:rPr>
              <w:t xml:space="preserve">Long-term safety, tolerance, and durability unknown</w:t>
            </w:r>
          </w:p>
        </w:tc>
        <w:tc>
          <w:tcPr>
            <w:tcW w:w="3700" w:type="dxa"/>
          </w:tcPr>
          <w:p>
            <w:pPr>
              <w:spacing w:before="60" w:after="60"/>
            </w:pPr>
            <w:r>
              <w:rPr>
                <w:color w:val="5C4033"/>
                <w:sz w:val="20"/>
              </w:rPr>
              <w:t xml:space="preserve">Extension study: 200 patients, 52-week open-label follow-up; monitor FIB-4 quarterly; assess for tolerance, rebound, and sustained benefit.</w:t>
            </w:r>
          </w:p>
        </w:tc>
      </w:tr>
      <w:tr>
        <w:tc>
          <w:tcPr>
            <w:tcW w:w="2600" w:type="dxa"/>
          </w:tcPr>
          <w:p>
            <w:pPr>
              <w:spacing w:before="60" w:after="60"/>
            </w:pPr>
            <w:r>
              <w:rPr>
                <w:color w:val="5C4033"/>
                <w:sz w:val="20"/>
              </w:rPr>
              <w:t xml:space="preserve">No Combination Data: Caffeine + other antifibrotics untested</w:t>
            </w:r>
          </w:p>
        </w:tc>
        <w:tc>
          <w:tcPr>
            <w:tcW w:w="3700" w:type="dxa"/>
          </w:tcPr>
          <w:p>
            <w:pPr>
              <w:spacing w:before="60" w:after="60"/>
            </w:pPr>
            <w:r>
              <w:rPr>
                <w:color w:val="5C4033"/>
                <w:sz w:val="20"/>
              </w:rPr>
              <w:t xml:space="preserve">Potential drug interactions or antagonism uncharacterized</w:t>
            </w:r>
          </w:p>
        </w:tc>
        <w:tc>
          <w:tcPr>
            <w:tcW w:w="3700" w:type="dxa"/>
          </w:tcPr>
          <w:p>
            <w:pPr>
              <w:spacing w:before="60" w:after="60"/>
            </w:pPr>
            <w:r>
              <w:rPr>
                <w:color w:val="5C4033"/>
                <w:sz w:val="20"/>
              </w:rPr>
              <w:t xml:space="preserve">Dedicated combination trials: caffeine + vitamin E (n=80); caffeine + pioglitazone (n=80); factorial design assessing synergy vs. antagonism. Timeline: 24 months.</w:t>
            </w:r>
          </w:p>
        </w:tc>
      </w:tr>
    </w:tbl>
    <w:p>
      <w:pPr>
        <w:pStyle w:val="Heading1"/>
      </w:pPr>
      <w:r>
        <w:t>Future Directions and Conclusion</w:t>
      </w:r>
    </w:p>
    <w:p>
      <w:pPr>
        <w:pStyle w:val="Heading2"/>
      </w:pPr>
      <w:r>
        <w:t>Immediate Priorities</w:t>
      </w:r>
    </w:p>
    <w:p>
      <w:pPr>
        <w:spacing w:after="200" w:line="360" w:lineRule="auto"/>
        <w:jc w:val="both"/>
      </w:pPr>
      <w:r>
        <w:t xml:space="preserve">Three near-term priorities: (1) Phase 2 trial of topical caffeine-sonophoresis for keloid management (n=100, 12 weeks, VSS primary endpoint, 18 months); (2) SLCTR-2025-023 Phase 3 results (expected 2026-2027); (3) Preclinical rat model for peri-operative caffeine adhesion prevention (12 months).</w:t>
      </w:r>
    </w:p>
    <w:p>
      <w:pPr>
        <w:pStyle w:val="Heading2"/>
      </w:pPr>
      <w:r>
        <w:t>Long-Term Vision</w:t>
      </w:r>
    </w:p>
    <w:p>
      <w:pPr>
        <w:spacing w:after="200" w:line="360" w:lineRule="auto"/>
        <w:jc w:val="both"/>
      </w:pPr>
      <w:r>
        <w:t xml:space="preserve">Nanoparticle-based tumor-specific caffeine release for cancer collagen shield breach. Bioresorbable implants extending adhesion prevention. Caffeine analogs separating antifibrotic from stimulant effects. In an era of $100,000+/year biologics, repurposing a $40/year molecule represents both scientific opportunity and democratization of antifibrotic therapy.</w:t>
      </w:r>
    </w:p>
    <w:p>
      <w:pPr>
        <w:pStyle w:val="Heading2"/>
      </w:pPr>
      <w:r>
        <w:t>Conclusion</w:t>
      </w:r>
    </w:p>
    <w:p>
      <w:pPr>
        <w:spacing w:after="200" w:line="360" w:lineRule="auto"/>
        <w:jc w:val="both"/>
      </w:pPr>
      <w:r>
        <w:t xml:space="preserve">The Caff-Inhib Framework provides an evidence-based, cost-effective, regulatory-tractable pathway for translating caffeine's collagen-inhibiting properties into clinical practice. It uses existing delivery devices, relies on well-characterized pharmacokinetics, targets specific localized pathologies, respects dose-response relationships, includes mandatory genetic screening, explicitly acknowledges limitations with proposed solutions, and demonstrates dramatic cost advantages over existing therapies. The 2025-2026 evidence has transformed a laboratory curiosity into a validated therapeutic strategy. The cup of coffee that starts each morning may one day be the model for therapies that end pathological fibrosis.</w:t>
      </w:r>
    </w:p>
    <w:p>
      <w:pPr>
        <w:pStyle w:val="Heading1"/>
      </w:pPr>
      <w:r>
        <w:t>Glossary of Terms</w:t>
      </w:r>
    </w:p>
    <w:tbl>
      <w:tblPr>
        <w:tblW w:w="5000" w:type="pct"/>
        <w:tblBorders>
          <w:top w:val="single" w:color="6B4423" w:sz="12"/>
          <w:left w:val="nil"/>
          <w:bottom w:val="single" w:color="6B4423" w:sz="12"/>
          <w:right w:val="nil"/>
          <w:insideH w:val="single" w:color="D2B48C" w:sz="4"/>
          <w:insideV w:val="nil"/>
        </w:tblBorders>
      </w:tblPr>
      <w:tblGrid>
        <w:gridCol w:w="2200"/>
        <w:gridCol w:w="7800"/>
      </w:tblGrid>
      <w:tr>
        <w:trPr>
          <w:tblHeader/>
        </w:trPr>
        <w:tc>
          <w:tcPr>
            <w:tcW w:w="2200" w:type="dxa"/>
            <w:shd w:val="clear" w:fill="F5F0EB"/>
          </w:tcPr>
          <w:p>
            <w:pPr>
              <w:spacing w:before="60" w:after="60"/>
            </w:pPr>
            <w:r>
              <w:rPr>
                <w:b/>
                <w:color w:val="2C1810"/>
                <w:sz w:val="20"/>
              </w:rPr>
              <w:t xml:space="preserve">Term</w:t>
            </w:r>
          </w:p>
        </w:tc>
        <w:tc>
          <w:tcPr>
            <w:tcW w:w="7800" w:type="dxa"/>
            <w:shd w:val="clear" w:fill="F5F0EB"/>
          </w:tcPr>
          <w:p>
            <w:pPr>
              <w:spacing w:before="60" w:after="60"/>
            </w:pPr>
            <w:r>
              <w:rPr>
                <w:b/>
                <w:color w:val="2C1810"/>
                <w:sz w:val="20"/>
              </w:rPr>
              <w:t xml:space="preserve">Definition</w:t>
            </w:r>
          </w:p>
        </w:tc>
      </w:tr>
      <w:tr>
        <w:tc>
          <w:tcPr>
            <w:tcW w:w="2200" w:type="dxa"/>
          </w:tcPr>
          <w:p>
            <w:pPr>
              <w:spacing w:before="60" w:after="60"/>
            </w:pPr>
            <w:r>
              <w:rPr>
                <w:color w:val="5C4033"/>
                <w:sz w:val="20"/>
              </w:rPr>
              <w:t xml:space="preserve">A2AR</w:t>
            </w:r>
          </w:p>
        </w:tc>
        <w:tc>
          <w:tcPr>
            <w:tcW w:w="7800" w:type="dxa"/>
          </w:tcPr>
          <w:p>
            <w:pPr>
              <w:spacing w:before="60" w:after="60"/>
            </w:pPr>
            <w:r>
              <w:rPr>
                <w:color w:val="5C4033"/>
                <w:sz w:val="20"/>
              </w:rPr>
              <w:t xml:space="preserve">Adenosine A2A receptor: G-protein coupled receptor on hepatic stellate cells; caffeine antagonizes this receptor to suppress fibrosis.</w:t>
            </w:r>
          </w:p>
        </w:tc>
      </w:tr>
      <w:tr>
        <w:tc>
          <w:tcPr>
            <w:tcW w:w="2200" w:type="dxa"/>
          </w:tcPr>
          <w:p>
            <w:pPr>
              <w:spacing w:before="60" w:after="60"/>
            </w:pPr>
            <w:r>
              <w:rPr>
                <w:color w:val="5C4033"/>
                <w:sz w:val="20"/>
              </w:rPr>
              <w:t xml:space="preserve">APRI</w:t>
            </w:r>
          </w:p>
        </w:tc>
        <w:tc>
          <w:tcPr>
            <w:tcW w:w="7800" w:type="dxa"/>
          </w:tcPr>
          <w:p>
            <w:pPr>
              <w:spacing w:before="60" w:after="60"/>
            </w:pPr>
            <w:r>
              <w:rPr>
                <w:color w:val="5C4033"/>
                <w:sz w:val="20"/>
              </w:rPr>
              <w:t xml:space="preserve">AST-to-Platelet Ratio Index: non-invasive blood test scoring liver fibrosis severity; significant improvement seen with caffeine therapy.</w:t>
            </w:r>
          </w:p>
        </w:tc>
      </w:tr>
      <w:tr>
        <w:tc>
          <w:tcPr>
            <w:tcW w:w="2200" w:type="dxa"/>
          </w:tcPr>
          <w:p>
            <w:pPr>
              <w:spacing w:before="60" w:after="60"/>
            </w:pPr>
            <w:r>
              <w:rPr>
                <w:color w:val="5C4033"/>
                <w:sz w:val="20"/>
              </w:rPr>
              <w:t xml:space="preserve">CYP1A2</w:t>
            </w:r>
          </w:p>
        </w:tc>
        <w:tc>
          <w:tcPr>
            <w:tcW w:w="7800" w:type="dxa"/>
          </w:tcPr>
          <w:p>
            <w:pPr>
              <w:spacing w:before="60" w:after="60"/>
            </w:pPr>
            <w:r>
              <w:rPr>
                <w:color w:val="5C4033"/>
                <w:sz w:val="20"/>
              </w:rPr>
              <w:t xml:space="preserve">Cytochrome P450 1A2: liver enzyme primarily responsible for caffeine metabolism; genetic polymorphisms create fast, intermediate, and slow metabolizers.</w:t>
            </w:r>
          </w:p>
        </w:tc>
      </w:tr>
      <w:tr>
        <w:tc>
          <w:tcPr>
            <w:tcW w:w="2200" w:type="dxa"/>
          </w:tcPr>
          <w:p>
            <w:pPr>
              <w:spacing w:before="60" w:after="60"/>
            </w:pPr>
            <w:r>
              <w:rPr>
                <w:color w:val="5C4033"/>
                <w:sz w:val="20"/>
              </w:rPr>
              <w:t xml:space="preserve">FIB-4</w:t>
            </w:r>
          </w:p>
        </w:tc>
        <w:tc>
          <w:tcPr>
            <w:tcW w:w="7800" w:type="dxa"/>
          </w:tcPr>
          <w:p>
            <w:pPr>
              <w:spacing w:before="60" w:after="60"/>
            </w:pPr>
            <w:r>
              <w:rPr>
                <w:color w:val="5C4033"/>
                <w:sz w:val="20"/>
              </w:rPr>
              <w:t xml:space="preserve">Fibrosis-4 score: composite index (age, AST, ALT, platelets) predicting liver fibrosis stage; primary endpoint in caffeine cirrhosis trials.</w:t>
            </w:r>
          </w:p>
        </w:tc>
      </w:tr>
      <w:tr>
        <w:tc>
          <w:tcPr>
            <w:tcW w:w="2200" w:type="dxa"/>
          </w:tcPr>
          <w:p>
            <w:pPr>
              <w:spacing w:before="60" w:after="60"/>
            </w:pPr>
            <w:r>
              <w:rPr>
                <w:color w:val="5C4033"/>
                <w:sz w:val="20"/>
              </w:rPr>
              <w:t xml:space="preserve">GRAS</w:t>
            </w:r>
          </w:p>
        </w:tc>
        <w:tc>
          <w:tcPr>
            <w:tcW w:w="7800" w:type="dxa"/>
          </w:tcPr>
          <w:p>
            <w:pPr>
              <w:spacing w:before="60" w:after="60"/>
            </w:pPr>
            <w:r>
              <w:rPr>
                <w:color w:val="5C4033"/>
                <w:sz w:val="20"/>
              </w:rPr>
              <w:t xml:space="preserve">Generally Recognized as Safe: FDA designation for substances with extensive safety history; caffeine holds GRAS status.</w:t>
            </w:r>
          </w:p>
        </w:tc>
      </w:tr>
      <w:tr>
        <w:tc>
          <w:tcPr>
            <w:tcW w:w="2200" w:type="dxa"/>
          </w:tcPr>
          <w:p>
            <w:pPr>
              <w:spacing w:before="60" w:after="60"/>
            </w:pPr>
            <w:r>
              <w:rPr>
                <w:color w:val="5C4033"/>
                <w:sz w:val="20"/>
              </w:rPr>
              <w:t xml:space="preserve">HSC</w:t>
            </w:r>
          </w:p>
        </w:tc>
        <w:tc>
          <w:tcPr>
            <w:tcW w:w="7800" w:type="dxa"/>
          </w:tcPr>
          <w:p>
            <w:pPr>
              <w:spacing w:before="60" w:after="60"/>
            </w:pPr>
            <w:r>
              <w:rPr>
                <w:color w:val="5C4033"/>
                <w:sz w:val="20"/>
              </w:rPr>
              <w:t xml:space="preserve">Hepatic Stellate Cell: liver cell type that produces collagen when activated; caffeine's primary target in liver fibrosis.</w:t>
            </w:r>
          </w:p>
        </w:tc>
      </w:tr>
      <w:tr>
        <w:tc>
          <w:tcPr>
            <w:tcW w:w="2200" w:type="dxa"/>
          </w:tcPr>
          <w:p>
            <w:pPr>
              <w:spacing w:before="60" w:after="60"/>
            </w:pPr>
            <w:r>
              <w:rPr>
                <w:color w:val="5C4033"/>
                <w:sz w:val="20"/>
              </w:rPr>
              <w:t xml:space="preserve">MASLD</w:t>
            </w:r>
          </w:p>
        </w:tc>
        <w:tc>
          <w:tcPr>
            <w:tcW w:w="7800" w:type="dxa"/>
          </w:tcPr>
          <w:p>
            <w:pPr>
              <w:spacing w:before="60" w:after="60"/>
            </w:pPr>
            <w:r>
              <w:rPr>
                <w:color w:val="5C4033"/>
                <w:sz w:val="20"/>
              </w:rPr>
              <w:t xml:space="preserve">Metabolic Dysfunction-Associated Steatotic Liver Disease (formerly NAFLD/NASH): most common liver disease worldwide; primary Tier 2 indication.</w:t>
            </w:r>
          </w:p>
        </w:tc>
      </w:tr>
      <w:tr>
        <w:tc>
          <w:tcPr>
            <w:tcW w:w="2200" w:type="dxa"/>
          </w:tcPr>
          <w:p>
            <w:pPr>
              <w:spacing w:before="60" w:after="60"/>
            </w:pPr>
            <w:r>
              <w:rPr>
                <w:color w:val="5C4033"/>
                <w:sz w:val="20"/>
              </w:rPr>
              <w:t xml:space="preserve">MELD</w:t>
            </w:r>
          </w:p>
        </w:tc>
        <w:tc>
          <w:tcPr>
            <w:tcW w:w="7800" w:type="dxa"/>
          </w:tcPr>
          <w:p>
            <w:pPr>
              <w:spacing w:before="60" w:after="60"/>
            </w:pPr>
            <w:r>
              <w:rPr>
                <w:color w:val="5C4033"/>
                <w:sz w:val="20"/>
              </w:rPr>
              <w:t xml:space="preserve">Model for End-Stage Liver Disease: scoring system predicting mortality in cirrhosis; improved significantly with caffeine in Abbas-Hashemi trial.</w:t>
            </w:r>
          </w:p>
        </w:tc>
      </w:tr>
      <w:tr>
        <w:tc>
          <w:tcPr>
            <w:tcW w:w="2200" w:type="dxa"/>
          </w:tcPr>
          <w:p>
            <w:pPr>
              <w:spacing w:before="60" w:after="60"/>
            </w:pPr>
            <w:r>
              <w:rPr>
                <w:color w:val="5C4033"/>
                <w:sz w:val="20"/>
              </w:rPr>
              <w:t xml:space="preserve">MMP</w:t>
            </w:r>
          </w:p>
        </w:tc>
        <w:tc>
          <w:tcPr>
            <w:tcW w:w="7800" w:type="dxa"/>
          </w:tcPr>
          <w:p>
            <w:pPr>
              <w:spacing w:before="60" w:after="60"/>
            </w:pPr>
            <w:r>
              <w:rPr>
                <w:color w:val="5C4033"/>
                <w:sz w:val="20"/>
              </w:rPr>
              <w:t xml:space="preserve">Matrix Metalloproteinase: enzyme that degrades collagen; caffeine shifts the balance toward MMP-mediated collagen breakdown by inhibiting new synthesis.</w:t>
            </w:r>
          </w:p>
        </w:tc>
      </w:tr>
      <w:tr>
        <w:tc>
          <w:tcPr>
            <w:tcW w:w="2200" w:type="dxa"/>
          </w:tcPr>
          <w:p>
            <w:pPr>
              <w:spacing w:before="60" w:after="60"/>
            </w:pPr>
            <w:r>
              <w:rPr>
                <w:color w:val="5C4033"/>
                <w:sz w:val="20"/>
              </w:rPr>
              <w:t xml:space="preserve">Nrf2</w:t>
            </w:r>
          </w:p>
        </w:tc>
        <w:tc>
          <w:tcPr>
            <w:tcW w:w="7800" w:type="dxa"/>
          </w:tcPr>
          <w:p>
            <w:pPr>
              <w:spacing w:before="60" w:after="60"/>
            </w:pPr>
            <w:r>
              <w:rPr>
                <w:color w:val="5C4033"/>
                <w:sz w:val="20"/>
              </w:rPr>
              <w:t xml:space="preserve">Nuclear factor erythroid 2-related factor 2: master antioxidant transcription factor activated by chlorogenic acids in coffee.</w:t>
            </w:r>
          </w:p>
        </w:tc>
      </w:tr>
      <w:tr>
        <w:tc>
          <w:tcPr>
            <w:tcW w:w="2200" w:type="dxa"/>
          </w:tcPr>
          <w:p>
            <w:pPr>
              <w:spacing w:before="60" w:after="60"/>
            </w:pPr>
            <w:r>
              <w:rPr>
                <w:color w:val="5C4033"/>
                <w:sz w:val="20"/>
              </w:rPr>
              <w:t xml:space="preserve">Prolidase</w:t>
            </w:r>
          </w:p>
        </w:tc>
        <w:tc>
          <w:tcPr>
            <w:tcW w:w="7800" w:type="dxa"/>
          </w:tcPr>
          <w:p>
            <w:pPr>
              <w:spacing w:before="60" w:after="60"/>
            </w:pPr>
            <w:r>
              <w:rPr>
                <w:color w:val="5C4033"/>
                <w:sz w:val="20"/>
              </w:rPr>
              <w:t xml:space="preserve">EC 3.4.13.9: enzyme recycling proline for collagen synthesis; caffeine's primary molecular target for collagen inhibition.</w:t>
            </w:r>
          </w:p>
        </w:tc>
      </w:tr>
      <w:tr>
        <w:tc>
          <w:tcPr>
            <w:tcW w:w="2200" w:type="dxa"/>
          </w:tcPr>
          <w:p>
            <w:pPr>
              <w:spacing w:before="60" w:after="60"/>
            </w:pPr>
            <w:r>
              <w:rPr>
                <w:color w:val="5C4033"/>
                <w:sz w:val="20"/>
              </w:rPr>
              <w:t xml:space="preserve">SASP</w:t>
            </w:r>
          </w:p>
        </w:tc>
        <w:tc>
          <w:tcPr>
            <w:tcW w:w="7800" w:type="dxa"/>
          </w:tcPr>
          <w:p>
            <w:pPr>
              <w:spacing w:before="60" w:after="60"/>
            </w:pPr>
            <w:r>
              <w:rPr>
                <w:color w:val="5C4033"/>
                <w:sz w:val="20"/>
              </w:rPr>
              <w:t xml:space="preserve">Senescence-Associated Secretory Phenotype: pro-inflammatory factors secreted by senescent cells (see RESET document).</w:t>
            </w:r>
          </w:p>
        </w:tc>
      </w:tr>
      <w:tr>
        <w:tc>
          <w:tcPr>
            <w:tcW w:w="2200" w:type="dxa"/>
          </w:tcPr>
          <w:p>
            <w:pPr>
              <w:spacing w:before="60" w:after="60"/>
            </w:pPr>
            <w:r>
              <w:rPr>
                <w:color w:val="5C4033"/>
                <w:sz w:val="20"/>
              </w:rPr>
              <w:t xml:space="preserve">VSS</w:t>
            </w:r>
          </w:p>
        </w:tc>
        <w:tc>
          <w:tcPr>
            <w:tcW w:w="7800" w:type="dxa"/>
          </w:tcPr>
          <w:p>
            <w:pPr>
              <w:spacing w:before="60" w:after="60"/>
            </w:pPr>
            <w:r>
              <w:rPr>
                <w:color w:val="5C4033"/>
                <w:sz w:val="20"/>
              </w:rPr>
              <w:t xml:space="preserve">Vancouver Scar Scale: clinical scoring system (0-13) for scar assessment; proposed primary endpoint for Tier 1 trials.</w:t>
            </w:r>
          </w:p>
        </w:tc>
      </w:tr>
    </w:tbl>
    <w:p>
      <w:pPr>
        <w:pStyle w:val="Heading1"/>
      </w:pPr>
      <w:r>
        <w:t>References</w:t>
      </w:r>
    </w:p>
    <w:p>
      <w:pPr>
        <w:spacing w:after="120" w:line="276" w:lineRule="auto"/>
        <w:ind w:left="360" w:hanging="360"/>
      </w:pPr>
      <w:r>
        <w:rPr>
          <w:color w:val="2C1810"/>
          <w:sz w:val="20"/>
        </w:rPr>
        <w:t xml:space="preserve">[1] Donejko M, Przylipiak A, Rysiak E, Gluszuk K, Surazly P. Influence of caffeine and hyaluronic acid on collagen biosynthesis in human skin fibroblasts. Drug Des Devel Ther. 2014;8:1923-1931.</w:t>
      </w:r>
    </w:p>
    <w:p>
      <w:pPr>
        <w:spacing w:after="120" w:line="276" w:lineRule="auto"/>
        <w:ind w:left="360" w:hanging="360"/>
      </w:pPr>
      <w:r>
        <w:rPr>
          <w:color w:val="2C1810"/>
          <w:sz w:val="20"/>
        </w:rPr>
        <w:t xml:space="preserve">[2] Steffen D, et al. Caffeine decreases muscle and tendon protein synthesis and engineered ligament strength in vitro and attenuates adaptation to exercise in mice. J Appl Physiol. 2025;139(6):1569-1580.</w:t>
      </w:r>
    </w:p>
    <w:p>
      <w:pPr>
        <w:spacing w:after="120" w:line="276" w:lineRule="auto"/>
        <w:ind w:left="360" w:hanging="360"/>
      </w:pPr>
      <w:r>
        <w:rPr>
          <w:color w:val="2C1810"/>
          <w:sz w:val="20"/>
        </w:rPr>
        <w:t xml:space="preserve">[3] Abbas-Hashemi SA, Yari Z, Hatami B, et al. Caffeine supplement, inflammation, and hepatic function in cirrhotic patients: A randomized, placebo-controlled, clinical trial. 2025. IRCT20100524004010N34.</w:t>
      </w:r>
    </w:p>
    <w:p>
      <w:pPr>
        <w:spacing w:after="120" w:line="276" w:lineRule="auto"/>
        <w:ind w:left="360" w:hanging="360"/>
      </w:pPr>
      <w:r>
        <w:rPr>
          <w:color w:val="2C1810"/>
          <w:sz w:val="20"/>
        </w:rPr>
        <w:t xml:space="preserve">[4] Wang Y, et al. Caffeine inhibits the activation of hepatic stellate cells induced by acetaldehyde via adenosine A2A receptor mediated cAMP/PKA/SRC/ERK1/2 pathway. PLoS One. 2014;9(1):e82403.</w:t>
      </w:r>
    </w:p>
    <w:p>
      <w:pPr>
        <w:spacing w:after="120" w:line="276" w:lineRule="auto"/>
        <w:ind w:left="360" w:hanging="360"/>
      </w:pPr>
      <w:r>
        <w:rPr>
          <w:color w:val="2C1810"/>
          <w:sz w:val="20"/>
        </w:rPr>
        <w:t xml:space="preserve">[5] Vargas-Pozada EE, Ramos-Tovar E, Marquez-Quiroga LV, et al. Coffee for the liver: a mechanistic approach. Biochem Pharmacol. 2025;242:117338.</w:t>
      </w:r>
    </w:p>
    <w:p>
      <w:pPr>
        <w:spacing w:after="120" w:line="276" w:lineRule="auto"/>
        <w:ind w:left="360" w:hanging="360"/>
      </w:pPr>
      <w:r>
        <w:rPr>
          <w:color w:val="2C1810"/>
          <w:sz w:val="20"/>
        </w:rPr>
        <w:t xml:space="preserve">[6] Liu Y, et al. Caffeine intake associated with a lower risk of liver fibrosis in different glucose status: NHANES 2005-March 2020. 2025.</w:t>
      </w:r>
    </w:p>
    <w:p>
      <w:pPr>
        <w:spacing w:after="120" w:line="276" w:lineRule="auto"/>
        <w:ind w:left="360" w:hanging="360"/>
      </w:pPr>
      <w:r>
        <w:rPr>
          <w:color w:val="2C1810"/>
          <w:sz w:val="20"/>
        </w:rPr>
        <w:t xml:space="preserve">[7] Lee JH, et al. Different associations of coffee consumption with incident MASLD and advanced liver fibrosis. Nutrients. 2024;16(1):140.</w:t>
      </w:r>
    </w:p>
    <w:p>
      <w:pPr>
        <w:spacing w:after="120" w:line="276" w:lineRule="auto"/>
        <w:ind w:left="360" w:hanging="360"/>
      </w:pPr>
      <w:r>
        <w:rPr>
          <w:color w:val="2C1810"/>
          <w:sz w:val="20"/>
        </w:rPr>
        <w:t xml:space="preserve">[8] Kalluri R, et al. Cancer cells make unique form of collagen, protecting them from immune response. Cancer Cell. 2022; MD Anderson Cancer Center.</w:t>
      </w:r>
    </w:p>
    <w:p>
      <w:pPr>
        <w:spacing w:after="120" w:line="276" w:lineRule="auto"/>
        <w:ind w:left="360" w:hanging="360"/>
      </w:pPr>
      <w:r>
        <w:rPr>
          <w:color w:val="2C1810"/>
          <w:sz w:val="20"/>
        </w:rPr>
        <w:t xml:space="preserve">[9] Alishahedani ME, et al. Therapeutic candidates for keloid scars identified by qualitative review of scratch assay research. PLoS One. 2021;16(6):e0253669.</w:t>
      </w:r>
    </w:p>
    <w:p>
      <w:pPr>
        <w:spacing w:after="120" w:line="276" w:lineRule="auto"/>
        <w:ind w:left="360" w:hanging="360"/>
      </w:pPr>
      <w:r>
        <w:rPr>
          <w:color w:val="2C1810"/>
          <w:sz w:val="20"/>
        </w:rPr>
        <w:t xml:space="preserve">[10] Legaspi LA, Ong-Go A, De Guzman Jr R. Effect of coffee consumption on liver fibrosis and cirrhosis among hepatitis B patients: A Meta-analysis. Philippine J Gastroenterol. 2025.</w:t>
      </w:r>
    </w:p>
    <w:p>
      <w:pPr>
        <w:spacing w:after="120" w:line="276" w:lineRule="auto"/>
        <w:ind w:left="360" w:hanging="360"/>
      </w:pPr>
      <w:r>
        <w:rPr>
          <w:color w:val="2C1810"/>
          <w:sz w:val="20"/>
        </w:rPr>
        <w:t xml:space="preserve">[11] Lee IA, et al. Inhibitory Effects of Collagen Coated Coffee Bean Intake on Skin Aging. KCI. 2025.</w:t>
      </w:r>
    </w:p>
    <w:p>
      <w:pPr>
        <w:spacing w:after="120" w:line="276" w:lineRule="auto"/>
        <w:ind w:left="360" w:hanging="360"/>
      </w:pPr>
      <w:r>
        <w:rPr>
          <w:color w:val="2C1810"/>
          <w:sz w:val="20"/>
        </w:rPr>
        <w:t xml:space="preserve">[12] Rodrigues MFL, et al. Moderate systemic caffeine attenuates apical periodontitis progression and preserves alveolar bone quality in rats. Int Endod J. 2026;59(5):e70105.</w:t>
      </w:r>
    </w:p>
    <w:p>
      <w:pPr>
        <w:spacing w:after="120" w:line="276" w:lineRule="auto"/>
        <w:ind w:left="360" w:hanging="360"/>
      </w:pPr>
      <w:r>
        <w:rPr>
          <w:color w:val="2C1810"/>
          <w:sz w:val="20"/>
        </w:rPr>
        <w:t xml:space="preserve">[13] Coffee water extract dual effect on bone homeostasis: upregulation of COL1A1 and inhibition of osteoclastogenesis. Food Sci Hum Wellness. 2026.</w:t>
      </w:r>
    </w:p>
    <w:p>
      <w:pPr>
        <w:spacing w:after="120" w:line="276" w:lineRule="auto"/>
        <w:ind w:left="360" w:hanging="360"/>
      </w:pPr>
      <w:r>
        <w:rPr>
          <w:color w:val="2C1810"/>
          <w:sz w:val="20"/>
        </w:rPr>
        <w:t xml:space="preserve">[14] Caffeine-mediated stabilization of collagen triple helix in aqueous solution: molecular dynamics simulations. Pharmaceutical Society of Korea. Spring International Convention 2026.</w:t>
      </w:r>
    </w:p>
    <w:p>
      <w:pPr>
        <w:spacing w:after="120" w:line="276" w:lineRule="auto"/>
        <w:ind w:left="360" w:hanging="360"/>
      </w:pPr>
      <w:r>
        <w:rPr>
          <w:color w:val="2C1810"/>
          <w:sz w:val="20"/>
        </w:rPr>
        <w:t xml:space="preserve">[15] Italian style coffee consumption and MASLD: a cohort population study in Southern Italy. Front Nutr. 2026;13:1797230.</w:t>
      </w:r>
    </w:p>
    <w:p>
      <w:pPr>
        <w:spacing w:after="120" w:line="276" w:lineRule="auto"/>
        <w:ind w:left="360" w:hanging="360"/>
      </w:pPr>
      <w:r>
        <w:rPr>
          <w:color w:val="2C1810"/>
          <w:sz w:val="20"/>
        </w:rPr>
        <w:t xml:space="preserve">[16] Reassessing the Impact of Coffee Consumption on Liver Disease: UK Biobank Cohort with IPTW. Nutrients. 2024;16(13):2020.</w:t>
      </w:r>
    </w:p>
    <w:p>
      <w:pPr>
        <w:spacing w:after="120" w:line="276" w:lineRule="auto"/>
        <w:ind w:left="360" w:hanging="360"/>
      </w:pPr>
      <w:r>
        <w:rPr>
          <w:color w:val="2C1810"/>
          <w:sz w:val="20"/>
        </w:rPr>
        <w:t xml:space="preserve">[17] Saab S, et al. Coffee and Liver Disease. PMC. 2016.</w:t>
      </w:r>
    </w:p>
    <w:p>
      <w:pPr>
        <w:spacing w:after="120" w:line="276" w:lineRule="auto"/>
        <w:ind w:left="360" w:hanging="360"/>
      </w:pPr>
      <w:r>
        <w:rPr>
          <w:color w:val="2C1810"/>
          <w:sz w:val="20"/>
        </w:rPr>
        <w:t xml:space="preserve">[18] Corrao G, et al. Coffee consumption and risk of cirrhosis. Italian cohort study.</w:t>
      </w:r>
    </w:p>
    <w:p>
      <w:pPr>
        <w:spacing w:after="120" w:line="276" w:lineRule="auto"/>
        <w:ind w:left="360" w:hanging="360"/>
      </w:pPr>
      <w:r>
        <w:rPr>
          <w:color w:val="2C1810"/>
          <w:sz w:val="20"/>
        </w:rPr>
        <w:t xml:space="preserve">[19] Freedman ND, et al. Coffee consumption is associated with response to peginterferon and ribavirin therapy in chronic hepatitis C. Gastroenterology. 2011;140(7):1961-1969.</w:t>
      </w:r>
    </w:p>
    <w:p>
      <w:pPr>
        <w:spacing w:after="120" w:line="276" w:lineRule="auto"/>
        <w:ind w:left="360" w:hanging="360"/>
      </w:pPr>
      <w:r>
        <w:rPr>
          <w:color w:val="2C1810"/>
          <w:sz w:val="20"/>
        </w:rPr>
        <w:t xml:space="preserve">[20] Effects of Caffeine on Autologous Full-Thickness Skin Graft Healing. PMC. 2021.</w:t>
      </w:r>
    </w:p>
    <w:p>
      <w:pPr>
        <w:spacing w:after="120" w:line="276" w:lineRule="auto"/>
        <w:ind w:left="360" w:hanging="360"/>
      </w:pPr>
      <w:r>
        <w:rPr>
          <w:color w:val="2C1810"/>
          <w:sz w:val="20"/>
        </w:rPr>
        <w:t xml:space="preserve">[21] EASL Clinical Practice Guidelines on MASLD. European Association for the Study of the Liver. 2024.</w:t>
      </w:r>
    </w:p>
    <w:p>
      <w:pPr>
        <w:spacing w:after="120" w:line="276" w:lineRule="auto"/>
        <w:ind w:left="360" w:hanging="360"/>
      </w:pPr>
      <w:r>
        <w:rPr>
          <w:color w:val="2C1810"/>
          <w:sz w:val="20"/>
        </w:rPr>
        <w:t xml:space="preserve">[22] EASL 2026 Congress: Coffee consumption and liver fibrosis in MASLD patients. &gt;2,600 participants; &gt;=2 cups/day associated with 52% lower fibrosis risk.</w:t>
      </w:r>
    </w:p>
    <w:p>
      <w:pPr>
        <w:spacing w:after="120" w:line="276" w:lineRule="auto"/>
        <w:ind w:left="360" w:hanging="360"/>
      </w:pPr>
      <w:r>
        <w:rPr>
          <w:color w:val="2C1810"/>
          <w:sz w:val="20"/>
        </w:rPr>
        <w:t xml:space="preserve">[23] Hepatocellular carcinoma dose-response meta-analysis. &gt;130,000 participants; ~35% lower HCC risk per 2-cup increase. 2025.</w:t>
      </w:r>
    </w:p>
    <w:p>
      <w:pPr>
        <w:spacing w:after="120" w:line="276" w:lineRule="auto"/>
        <w:ind w:left="360" w:hanging="360"/>
      </w:pPr>
      <w:r>
        <w:rPr>
          <w:color w:val="2C1810"/>
          <w:sz w:val="20"/>
        </w:rPr>
        <w:t xml:space="preserve">[24] CiNii 2025: Caffeine suppresses hepatic stellate cell activation via adenosine receptor antagonism and Akt1 signaling.</w:t>
      </w:r>
    </w:p>
    <w:p>
      <w:pPr>
        <w:spacing w:after="120" w:line="276" w:lineRule="auto"/>
        <w:ind w:left="360" w:hanging="360"/>
      </w:pPr>
      <w:r>
        <w:rPr>
          <w:color w:val="2C1810"/>
          <w:sz w:val="20"/>
        </w:rPr>
        <w:t xml:space="preserve">[25] SLCTR-2025-023: Randomized, quadruple-blind, placebo-controlled trial of caffeine in MASLD. Sri Lanka. Ongoing.</w:t>
      </w:r>
    </w:p>
    <w:p>
      <w:pPr>
        <w:sectPr>
          <w:headerReference w:type="default" r:id="Re8c0d285adbf4057"/>
          <w:footerReference w:type="default" r:id="R385d9a5143ac417e"/>
          <w:pgSz w:w="11906" w:h="16838"/>
          <w:pgMar w:top="1440" w:right="1440" w:bottom="1440" w:left="1440" w:header="720" w:footer="720"/>
        </w:sectPr>
      </w:pP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B7355"/>
        <w:sz w:val="18"/>
      </w:rPr>
      <w:fldChar w:fldCharType="begin"/>
    </w:r>
    <w:r>
      <w:rPr>
        <w:color w:val="8B7355"/>
        <w:sz w:val="18"/>
      </w:rPr>
      <w:instrText xml:space="preserve"> PAGE </w:instrText>
    </w:r>
    <w:r>
      <w:rPr>
        <w:color w:val="8B7355"/>
        <w:sz w:val="18"/>
      </w:rPr>
      <w:fldChar w:fldCharType="separate"/>
    </w:r>
    <w:r>
      <w:rPr>
        <w:color w:val="8B7355"/>
        <w:sz w:val="18"/>
      </w:rPr>
      <w:t>1</w:t>
    </w:r>
    <w:r>
      <w:rPr>
        <w:color w:val="8B7355"/>
        <w:sz w:val="18"/>
      </w:rPr>
      <w:fldChar w:fldCharType="end"/>
    </w:r>
  </w:p>
</w:ftr>
</file>

<file path=word/header1.xml><?xml version="1.0" encoding="utf-8"?>
<w:hdr xmlns:w="http://schemas.openxmlformats.org/wordprocessingml/2006/main">
  <w:p>
    <w:pPr>
      <w:jc w:val="right"/>
    </w:pPr>
    <w:r>
      <w:rPr>
        <w:i/>
        <w:color w:val="8B7355"/>
        <w:sz w:val="18"/>
      </w:rPr>
      <w:t>Coffee: A Collagen Inhibitor Turned Treatment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60" w:lineRule="auto"/>
      <w:jc w:val="both"/>
    </w:pPr>
    <w:rPr>
      <w:rFonts w:ascii="Cambria" w:hAnsi="Cambria" w:eastAsia="Times New Roman"/>
      <w:color w:val="2C1810"/>
      <w:sz w:val="24"/>
    </w:rPr>
  </w:style>
  <w:style w:type="paragraph" w:styleId="Heading1">
    <w:name w:val="heading 1"/>
    <w:basedOn w:val="Normal"/>
    <w:pPr>
      <w:keepNext/>
      <w:keepLines/>
      <w:spacing w:before="480" w:after="240" w:line="276" w:lineRule="auto"/>
      <w:outlineLvl w:val="0"/>
    </w:pPr>
    <w:rPr>
      <w:rFonts w:ascii="Cambria" w:hAnsi="Cambria" w:eastAsia="Times New Roman"/>
      <w:b/>
      <w:color w:val="6B4423"/>
      <w:sz w:val="36"/>
    </w:rPr>
  </w:style>
  <w:style w:type="paragraph" w:styleId="Heading2">
    <w:name w:val="heading 2"/>
    <w:basedOn w:val="Normal"/>
    <w:pPr>
      <w:keepNext/>
      <w:keepLines/>
      <w:spacing w:before="360" w:after="160" w:line="276" w:lineRule="auto"/>
      <w:outlineLvl w:val="1"/>
    </w:pPr>
    <w:rPr>
      <w:rFonts w:ascii="Cambria" w:hAnsi="Cambria" w:eastAsia="Times New Roman"/>
      <w:b/>
      <w:color w:val="2C1810"/>
      <w:sz w:val="28"/>
    </w:rPr>
  </w:style>
  <w:style w:type="paragraph" w:styleId="Heading3">
    <w:name w:val="heading 3"/>
    <w:basedOn w:val="Normal"/>
    <w:pPr>
      <w:keepNext/>
      <w:keepLines/>
      <w:spacing w:before="280" w:after="120" w:line="276" w:lineRule="auto"/>
      <w:outlineLvl w:val="2"/>
    </w:pPr>
    <w:rPr>
      <w:rFonts w:ascii="Cambria" w:hAnsi="Cambria" w:eastAsia="Times New Roman"/>
      <w:b/>
      <w:color w:val="5C4033"/>
      <w:sz w:val="26"/>
    </w:rPr>
  </w:style>
  <w:style w:type="paragraph" w:styleId="Heading4">
    <w:name w:val="heading 4"/>
    <w:basedOn w:val="Normal"/>
    <w:pPr>
      <w:keepNext/>
      <w:keepLines/>
      <w:spacing w:before="200" w:after="80" w:line="276" w:lineRule="auto"/>
      <w:outlineLvl w:val="3"/>
    </w:pPr>
    <w:rPr>
      <w:rFonts w:ascii="Cambria" w:hAnsi="Cambria" w:eastAsia="Times New Roman"/>
      <w:b/>
      <w:color w:val="5C4033"/>
      <w:sz w:val="24"/>
    </w:rPr>
  </w:style>
  <w:style w:type="paragraph" w:styleId="Caption">
    <w:name w:val="Caption"/>
    <w:basedOn w:val="Normal"/>
    <w:pPr>
      <w:spacing w:before="60" w:after="320"/>
      <w:jc w:val="center"/>
    </w:pPr>
    <w:rPr>
      <w:i/>
      <w:color w:val="8B7355"/>
      <w:sz w:val="20"/>
    </w:rPr>
  </w:style>
  <w:style w:type="paragraph" w:styleId="TOC1">
    <w:name w:val="toc 1"/>
    <w:basedOn w:val="Normal"/>
    <w:pPr>
      <w:tabs>
        <w:tab w:val="right" w:leader="dot" w:pos="9350"/>
      </w:tabs>
      <w:spacing w:before="200" w:after="60"/>
      <w:ind w:left="0"/>
    </w:pPr>
    <w:rPr>
      <w:b/>
      <w:color w:val="2C1810"/>
    </w:rPr>
  </w:style>
  <w:style w:type="paragraph" w:styleId="TOC2">
    <w:name w:val="toc 2"/>
    <w:basedOn w:val="Normal"/>
    <w:pPr>
      <w:tabs>
        <w:tab w:val="right" w:leader="dot" w:pos="9350"/>
      </w:tabs>
      <w:spacing w:before="60" w:after="60"/>
      <w:ind w:left="360"/>
    </w:pPr>
    <w:rPr>
      <w:color w:val="5C4033"/>
    </w:rPr>
  </w:style>
  <w:style w:type="paragraph" w:styleId="TOC3">
    <w:name w:val="toc 3"/>
    <w:basedOn w:val="Normal"/>
    <w:pPr>
      <w:tabs>
        <w:tab w:val="right" w:leader="dot" w:pos="9350"/>
      </w:tabs>
      <w:spacing w:before="40" w:after="60"/>
      <w:ind w:left="720"/>
    </w:pPr>
    <w:rPr>
      <w:color w:val="5C4033"/>
    </w:rPr>
  </w:style>
</w:styles>
</file>

<file path=word/_rels/document.xml.rels><?xml version='1.0' encoding='UTF-8'?>
<Relationships xmlns="http://schemas.openxmlformats.org/package/2006/relationships"><Relationship Type="http://schemas.openxmlformats.org/officeDocument/2006/relationships/styles" Target="styles.xml" Id="R8c5577952ee540ce" /><Relationship Type="http://schemas.openxmlformats.org/officeDocument/2006/relationships/numbering" Target="numbering.xml" Id="Rbb98d48373d64988" /><Relationship Type="http://schemas.openxmlformats.org/officeDocument/2006/relationships/header" Target="header1.xml" Id="Re8c0d285adbf4057" /><Relationship Type="http://schemas.openxmlformats.org/officeDocument/2006/relationships/footer" Target="footer1.xml" Id="R385d9a5143ac417e" /><Relationship Type="http://schemas.openxmlformats.org/officeDocument/2006/relationships/settings" Target="settings.xml" Id="Ra10f893c06de48e1" /></Relationships>
</file>