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34eb804d3e1b4c0b"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rFonts w:ascii="Cambria" w:hAnsi="Cambria"/>
          <w:b/>
          <w:color w:val="1A5276"/>
          <w:sz w:val="96"/>
        </w:rPr>
        <w:t>RESET</w:t>
      </w:r>
    </w:p>
    <w:p>
      <w:pPr>
        <w:spacing w:after="400"/>
        <w:jc w:val="center"/>
      </w:pPr>
      <w:r>
        <w:rPr>
          <w:rFonts w:ascii="Cambria" w:hAnsi="Cambria"/>
          <w:color w:val="2E86C1"/>
          <w:sz w:val="32"/>
        </w:rPr>
        <w:t>Regenerative Senolytic Engineering &amp; Tissue-Repopulation</w:t>
      </w:r>
    </w:p>
    <w:p>
      <w:pPr>
        <w:spacing w:after="600"/>
        <w:jc w:val="center"/>
      </w:pPr>
      <w:r>
        <w:rPr>
          <w:rFonts w:ascii="Cambria" w:hAnsi="Cambria"/>
          <w:i/>
          <w:color w:val="148F77"/>
          <w:sz w:val="26"/>
        </w:rPr>
        <w:t>A Comprehensive Blueprint for Systemic Rejuvenation</w:t>
      </w:r>
    </w:p>
    <w:p>
      <w:pPr>
        <w:spacing w:before="1200" w:after="200"/>
        <w:jc w:val="center"/>
      </w:pPr>
      <w:r>
        <w:rPr>
          <w:rFonts w:ascii="Cambria" w:hAnsi="Cambria"/>
          <w:b/>
          <w:color w:val="1C2833"/>
          <w:sz w:val="28"/>
        </w:rPr>
        <w:t>Expanded Second Edition</w:t>
      </w:r>
    </w:p>
    <w:p>
      <w:pPr>
        <w:spacing w:after="200"/>
        <w:jc w:val="center"/>
      </w:pPr>
      <w:r>
        <w:rPr>
          <w:color w:val="566573"/>
          <w:sz w:val="24"/>
        </w:rPr>
        <w:t>Integrating Breakthrough 2026 Preclinical Research</w:t>
      </w:r>
    </w:p>
    <w:p>
      <w:pPr>
        <w:pBdr>
          <w:bottom w:val="single" w:color="1A5276" w:sz="12"/>
        </w:pBdr>
        <w:spacing w:before="800" w:after="800"/>
      </w:pPr>
      <w:r/>
    </w:p>
    <w:p>
      <w:pPr>
        <w:spacing w:after="400"/>
        <w:jc w:val="center"/>
      </w:pPr>
      <w:r>
        <w:rPr>
          <w:color w:val="566573"/>
          <w:sz w:val="22"/>
        </w:rPr>
        <w:t>Scientific Concept Document | Theoretical Framework</w:t>
      </w:r>
    </w:p>
    <w:p>
      <w:pPr>
        <w:spacing w:before="2000"/>
        <w:jc w:val="center"/>
      </w:pPr>
      <w:r>
        <w:rPr>
          <w:color w:val="85929E"/>
          <w:sz w:val="24"/>
        </w:rPr>
        <w:t>June 2026</w:t>
      </w:r>
    </w:p>
    <w:p>
      <w:pPr>
        <w:sectPr>
          <w:type w:val="nextPage"/>
          <w:pgSz w:w="11906" w:h="16838"/>
          <w:pgMar w:top="1440" w:right="1440" w:bottom="1440" w:left="1440" w:header="720" w:footer="720"/>
        </w:sectPr>
      </w:pPr>
    </w:p>
    <w:p>
      <w:pPr>
        <w:pStyle w:val="Heading1"/>
      </w:pPr>
      <w:r>
        <w:t>Table of Contents</w:t>
      </w:r>
    </w:p>
    <w:p>
      <w:pPr>
        <w:spacing w:after="200"/>
      </w:pPr>
      <w:r>
        <w:rPr>
          <w:color w:val="85929E"/>
          <w:sz w:val="20"/>
        </w:rPr>
        <w:t>Right-click and select "Update Field" to refresh page numbers after editing</w:t>
      </w:r>
    </w:p>
    <w:p>
      <w:r>
        <w:fldChar w:fldCharType="begin"/>
      </w:r>
      <w:r>
        <w:instrText xml:space="preserve"> TOC \o "1-3" \h \z \u </w:instrText>
      </w:r>
      <w:r>
        <w:fldChar w:fldCharType="separate"/>
      </w:r>
    </w:p>
    <w:p>
      <w:pPr>
        <w:pStyle w:val="TOC1"/>
      </w:pPr>
      <w:r>
        <w:t>Abstract and Scientific Rationale</w:t>
      </w:r>
      <w:r>
        <w:tab/>
      </w:r>
      <w:r>
        <w:t>3</w:t>
      </w:r>
    </w:p>
    <w:p>
      <w:pPr>
        <w:pStyle w:val="TOC1"/>
      </w:pPr>
      <w:r>
        <w:t>Theoretical Foundations</w:t>
      </w:r>
      <w:r>
        <w:tab/>
      </w:r>
      <w:r>
        <w:t>4</w:t>
      </w:r>
    </w:p>
    <w:p>
      <w:pPr>
        <w:pStyle w:val="TOC2"/>
      </w:pPr>
      <w:r>
        <w:t>Telomeres and Cellular Aging</w:t>
      </w:r>
      <w:r>
        <w:tab/>
      </w:r>
      <w:r>
        <w:t>4</w:t>
      </w:r>
    </w:p>
    <w:p>
      <w:pPr>
        <w:pStyle w:val="TOC2"/>
      </w:pPr>
      <w:r>
        <w:t>Senescent Cells and the SASP</w:t>
      </w:r>
      <w:r>
        <w:tab/>
      </w:r>
      <w:r>
        <w:t>5</w:t>
      </w:r>
    </w:p>
    <w:p>
      <w:pPr>
        <w:pStyle w:val="TOC2"/>
      </w:pPr>
      <w:r>
        <w:t>The Senolytic Revolution</w:t>
      </w:r>
      <w:r>
        <w:tab/>
      </w:r>
      <w:r>
        <w:t>6</w:t>
      </w:r>
    </w:p>
    <w:p>
      <w:pPr>
        <w:pStyle w:val="TOC1"/>
      </w:pPr>
      <w:r>
        <w:t>The RESET Architecture</w:t>
      </w:r>
      <w:r>
        <w:tab/>
      </w:r>
      <w:r>
        <w:t>8</w:t>
      </w:r>
    </w:p>
    <w:p>
      <w:pPr>
        <w:pStyle w:val="TOC2"/>
      </w:pPr>
      <w:r>
        <w:t>Phase I: Comprehensive Baseline Mapping</w:t>
      </w:r>
      <w:r>
        <w:tab/>
      </w:r>
      <w:r>
        <w:t>9</w:t>
      </w:r>
    </w:p>
    <w:p>
      <w:pPr>
        <w:pStyle w:val="TOC2"/>
      </w:pPr>
      <w:r>
        <w:t>Phase II: Targeted Senolytic Clearance</w:t>
      </w:r>
      <w:r>
        <w:tab/>
      </w:r>
      <w:r>
        <w:t>10</w:t>
      </w:r>
    </w:p>
    <w:p>
      <w:pPr>
        <w:pStyle w:val="TOC2"/>
      </w:pPr>
      <w:r>
        <w:t>Phase III: Microenvironment Reset</w:t>
      </w:r>
      <w:r>
        <w:tab/>
      </w:r>
      <w:r>
        <w:t>11</w:t>
      </w:r>
    </w:p>
    <w:p>
      <w:pPr>
        <w:pStyle w:val="TOC2"/>
      </w:pPr>
      <w:r>
        <w:t>Phase IV: Autologous Cell Preparation</w:t>
      </w:r>
      <w:r>
        <w:tab/>
      </w:r>
      <w:r>
        <w:t>12</w:t>
      </w:r>
    </w:p>
    <w:p>
      <w:pPr>
        <w:pStyle w:val="TOC2"/>
      </w:pPr>
      <w:r>
        <w:t>Phase V: Precision Repopulation</w:t>
      </w:r>
      <w:r>
        <w:tab/>
      </w:r>
      <w:r>
        <w:t>13</w:t>
      </w:r>
    </w:p>
    <w:p>
      <w:pPr>
        <w:pStyle w:val="TOC2"/>
      </w:pPr>
      <w:r>
        <w:t>Phase VI: Integration and Monitoring</w:t>
      </w:r>
      <w:r>
        <w:tab/>
      </w:r>
      <w:r>
        <w:t>14</w:t>
      </w:r>
    </w:p>
    <w:p>
      <w:pPr>
        <w:pStyle w:val="TOC1"/>
      </w:pPr>
      <w:r>
        <w:t>2026 Research Validation</w:t>
      </w:r>
      <w:r>
        <w:tab/>
      </w:r>
      <w:r>
        <w:t>15</w:t>
      </w:r>
    </w:p>
    <w:p>
      <w:pPr>
        <w:pStyle w:val="TOC2"/>
      </w:pPr>
      <w:r>
        <w:t>The SenoVax Breakthrough: Senolytic-MSC Synergy</w:t>
      </w:r>
      <w:r>
        <w:tab/>
      </w:r>
      <w:r>
        <w:t>15</w:t>
      </w:r>
    </w:p>
    <w:p>
      <w:pPr>
        <w:pStyle w:val="TOC2"/>
      </w:pPr>
      <w:r>
        <w:t>Senolytics Restore MSC Function</w:t>
      </w:r>
      <w:r>
        <w:tab/>
      </w:r>
      <w:r>
        <w:t>17</w:t>
      </w:r>
    </w:p>
    <w:p>
      <w:pPr>
        <w:pStyle w:val="TOC2"/>
      </w:pPr>
      <w:r>
        <w:t>Organ-Specific Aging Reversal</w:t>
      </w:r>
      <w:r>
        <w:tab/>
      </w:r>
      <w:r>
        <w:t>18</w:t>
      </w:r>
    </w:p>
    <w:p>
      <w:pPr>
        <w:pStyle w:val="TOC2"/>
      </w:pPr>
      <w:r>
        <w:t>Emerging Combinatorial Strategies</w:t>
      </w:r>
      <w:r>
        <w:tab/>
      </w:r>
      <w:r>
        <w:t>19</w:t>
      </w:r>
    </w:p>
    <w:p>
      <w:pPr>
        <w:pStyle w:val="TOC2"/>
      </w:pPr>
      <w:r>
        <w:t>Non-Drug Senescent Cell Removal</w:t>
      </w:r>
      <w:r>
        <w:tab/>
      </w:r>
      <w:r>
        <w:t>20</w:t>
      </w:r>
    </w:p>
    <w:p>
      <w:pPr>
        <w:pStyle w:val="TOC2"/>
      </w:pPr>
      <w:r>
        <w:t>Lifestyle-Pharmacological Synergies</w:t>
      </w:r>
      <w:r>
        <w:tab/>
      </w:r>
      <w:r>
        <w:t>21</w:t>
      </w:r>
    </w:p>
    <w:p>
      <w:pPr>
        <w:pStyle w:val="TOC1"/>
      </w:pPr>
      <w:r>
        <w:t>Addressing Critical Bottlenecks</w:t>
      </w:r>
      <w:r>
        <w:tab/>
      </w:r>
      <w:r>
        <w:t>22</w:t>
      </w:r>
    </w:p>
    <w:p>
      <w:pPr>
        <w:pStyle w:val="TOC1"/>
      </w:pPr>
      <w:r>
        <w:t>Safety Framework and Risk Mitigation</w:t>
      </w:r>
      <w:r>
        <w:tab/>
      </w:r>
      <w:r>
        <w:t>24</w:t>
      </w:r>
    </w:p>
    <w:p>
      <w:pPr>
        <w:pStyle w:val="TOC1"/>
      </w:pPr>
      <w:r>
        <w:t>Regulatory Pathway</w:t>
      </w:r>
      <w:r>
        <w:tab/>
      </w:r>
      <w:r>
        <w:t>25</w:t>
      </w:r>
    </w:p>
    <w:p>
      <w:pPr>
        <w:pStyle w:val="TOC1"/>
      </w:pPr>
      <w:r>
        <w:t>Future Directions and Conclusion</w:t>
      </w:r>
      <w:r>
        <w:tab/>
      </w:r>
      <w:r>
        <w:t>26</w:t>
      </w:r>
    </w:p>
    <w:p>
      <w:pPr>
        <w:pStyle w:val="TOC1"/>
      </w:pPr>
      <w:r>
        <w:t>References</w:t>
      </w:r>
      <w:r>
        <w:tab/>
      </w:r>
      <w:r>
        <w:t>28</w:t>
      </w:r>
    </w:p>
    <w:p>
      <w:r>
        <w:fldChar w:fldCharType="end"/>
      </w:r>
    </w:p>
    <w:p>
      <w:pPr>
        <w:sectPr>
          <w:type w:val="nextPage"/>
          <w:pgSz w:w="11906" w:h="16838"/>
          <w:pgMar w:top="1440" w:right="1440" w:bottom="1440" w:left="1440" w:header="720" w:footer="720"/>
        </w:sectPr>
      </w:pPr>
    </w:p>
    <w:p>
      <w:pPr>
        <w:pStyle w:val="Heading1"/>
      </w:pPr>
      <w:r>
        <w:t>Abstract and Scientific Rationale</w:t>
      </w:r>
    </w:p>
    <w:p>
      <w:pPr>
        <w:spacing w:after="200" w:line="360" w:lineRule="auto"/>
        <w:jc w:val="both"/>
      </w:pPr>
      <w:r>
        <w:t xml:space="preserve">Aging represents the single greatest risk factor for human morbidity and mortality, yet it has historically been treated as an immutable process rather than a tractable biological engineering challenge. Emerging research across multiple disciplines has revealed that aging is driven by the accumulation of dysfunctional cells, the progressive deterioration of tissue microenvironments, and the exhaustion of regenerative capacity. This document presents RESET (Regenerative Senolytic Engineering and Tissue-Repopulation), a theoretical multi-module rejuvenation architecture designed to address aging as a coordinated systems engineering problem rather than a collection of isolated pathologies.</w:t>
      </w:r>
    </w:p>
    <w:p>
      <w:pPr>
        <w:spacing w:after="200" w:line="360" w:lineRule="auto"/>
        <w:jc w:val="both"/>
      </w:pPr>
      <w:r>
        <w:t xml:space="preserve">RESET operates on a foundational premise: that aging can be meaningfully reversed by sequentially removing damaged cellular elements, repairing the tissue niches they inhabit, and repopulating those niches with functional autologous cells. This approach integrates three distinct therapeutic domains that have historically developed in isolation: senolytic pharmacology, microenvironmental engineering, and stem cell therapeutics. By orchestrating these interventions in a precisely timed sequence, RESET aims to restore a younger cellular composition to aged tissues, potentially extending both healthspan and lifespan through periodic rejuvenation cycles.</w:t>
      </w:r>
    </w:p>
    <w:p>
      <w:pPr>
        <w:spacing w:after="200" w:line="360" w:lineRule="auto"/>
        <w:jc w:val="both"/>
      </w:pPr>
      <w:r>
        <w:t xml:space="preserve">The year 2026 has witnessed unprecedented acceleration in the scientific validation of RESET's core principles. A landmark preclinical study by Ichim and colleagues, published in June 2026, provided the first direct experimental evidence that senolytic immunotherapy combined with personalized mesenchymal stem cell (MSC) therapy produces synergistic benefits exceeding either treatment alone. This bombshell publication, together with a cascade of related findings throughout early 2026, has transformed RESET from a theoretical framework into a clinically plausible therapeutic strategy. This expanded second edition integrates these breakthrough findings to present the most current and comprehensive blueprint for systemic rejuvenation.</w:t>
      </w:r>
    </w:p>
    <w:p>
      <w:pPr>
        <w:pStyle w:val="Heading1"/>
      </w:pPr>
      <w:r>
        <w:t>Theoretical Foundations</w:t>
      </w:r>
    </w:p>
    <w:p>
      <w:pPr>
        <w:pStyle w:val="Heading2"/>
      </w:pPr>
      <w:r>
        <w:t>Telomeres and Cellular Aging</w:t>
      </w:r>
    </w:p>
    <w:p>
      <w:pPr>
        <w:spacing w:after="200" w:line="360" w:lineRule="auto"/>
        <w:jc w:val="both"/>
      </w:pPr>
      <w:r>
        <w:t xml:space="preserve">The understanding of cellular aging has been fundamentally transformed by decades of research into telomere biology. Telomeres, the protective nucleoprotein caps at chromosome termini composed of repetitive TTAGGG sequences, serve as critical guardians of genomic integrity. With each cell division, approximately 50-100 base pairs are lost due to the end-replication problem, creating a molecular countdown mechanism that limits proliferative capacity. When telomeres reach a critically shortened threshold, they trigger cellular senescence or apoptosis through DNA damage response pathways, a process elegantly demonstrated by Harley, Futcher, and Greider in their landmark 1990 study.</w:t>
      </w:r>
    </w:p>
    <w:p>
      <w:pPr>
        <w:spacing w:after="200" w:line="360" w:lineRule="auto"/>
        <w:jc w:val="both"/>
      </w:pPr>
      <w:r>
        <w:t xml:space="preserve">The enzyme telomerase, discovered by Greider and Blackburn in 1985, can reverse this attrition by adding telomeric repeats to chromosome ends. However, in most somatic cells, telomerase expression is silenced, creating a deliberate barrier to unlimited proliferation that serves as a tumor suppression mechanism. This evolutionary trade-off means that while telomere shortening protects against cancer, it simultaneously drives tissue aging through progressive stem cell exhaustion and cellular senescence. Recent research has illuminated the complex interplay between telomere dynamics, oxidative stress, and chronic inflammation. The telomere-mitochondrial axis captures the bidirectional crosstalk between these systems: dysfunctional telomeres trigger p53 activation, which suppresses PGC-1alpha, leading to mitochondrial dysfunction and increased reactive oxygen species production. Conversely, ROS directly damages telomeric DNA due to its guanine-rich composition, accelerating attrition beyond the rate predicted by replication alone.</w:t>
      </w:r>
    </w:p>
    <w:p>
      <w:pPr>
        <w:spacing w:after="200" w:line="360" w:lineRule="auto"/>
        <w:jc w:val="both"/>
      </w:pPr>
      <w:r>
        <w:t xml:space="preserve">Clinical evidence strongly supports the relevance of telomere biology to human aging. Meta-analyses of over 48,000 individuals have identified genetic loci including TERC and TERT that influence leukocyte telomere length, with shorter telomeres significantly increasing coronary artery disease risk. Studies demonstrate that chronic inflammation, as measured by elevated IL-6 and TNF-alpha, accelerates telomere shortening through suppression of telomerase activity, creating a destructive feedback loop. Understanding these mechanisms is essential for designing interventions that can reset cellular age distribution.</w:t>
      </w:r>
    </w:p>
    <w:p>
      <w:pPr>
        <w:pStyle w:val="Heading2"/>
      </w:pPr>
      <w:r>
        <w:t>Senescent Cells and the SASP</w:t>
      </w:r>
    </w:p>
    <w:p>
      <w:pPr>
        <w:spacing w:after="200" w:line="360" w:lineRule="auto"/>
        <w:jc w:val="both"/>
      </w:pPr>
      <w:r>
        <w:t xml:space="preserve">Cellular senescence represents a state of irreversible cell cycle arrest that cells enter in response to various stressors including telomere shortening, DNA damage, oxidative stress, and oncogene activation. While initially protective against malignant transformation, the accumulation of senescent cells with age becomes profoundly deleterious. These cells remain metabolically active but cease to contribute to tissue function, instead secreting a complex cocktail of pro-inflammatory cytokines, chemokines, growth factors, and matrix-degrading enzymes collectively termed the Senescence-Associated Secretory Phenotype (SASP).</w:t>
      </w:r>
    </w:p>
    <w:p>
      <w:pPr>
        <w:spacing w:after="200" w:line="360" w:lineRule="auto"/>
        <w:jc w:val="both"/>
      </w:pPr>
      <w:r>
        <w:t xml:space="preserve">The SASP transforms senescent cells from passive bystanders into active drivers of tissue dysfunction. Key SASP components include interleukin-6 (IL-6), interleukin-8 (IL-8), IL-1alpha, IL-1beta, tumor necrosis factor-alpha (TNF-alpha), monocyte chemoattractant protein-1 (MCP-1), and matrix metalloproteinases (MMPs). These factors create a pro-inflammatory microenvironment that disrupts tissue architecture, induces secondary senescence in neighboring healthy cells through paracrine signaling, impairs stem cell function, and drives chronic systemic inflammation termed inflammaging. Critically, senescent cells exhibit substantial heterogeneity depending on their cell type of origin, the inducing stimulus, and the tissue microenvironment. Senescent endothelial cells and preadipocytes tend to express more aggressive SASP profiles than epithelial cells or myoblasts, suggesting that targeted clearance strategies must account for this diversity.</w:t>
      </w:r>
    </w:p>
    <w:p>
      <w:pPr>
        <w:spacing w:after="200" w:line="360" w:lineRule="auto"/>
        <w:jc w:val="both"/>
      </w:pPr>
      <w:r>
        <w:t xml:space="preserve">Research has identified distinct subtypes of senescent cells: helper (H) senescent cells that may support tissue repair and wound healing, and deleterious (D) senescent cells that drive chronic inflammation and tissue damage through their SASP. The ability to selectively target D-senescent cells while preserving H-senescent cell functions represents a critical challenge for therapeutic development. Studies in mice have demonstrated that even small numbers of transplanted senescent cells can drive early onset of physical dysfunction and premature death, while their elimination can extend lifespan and improve healthspan in genetically heterogeneous animals.</w:t>
      </w:r>
    </w:p>
    <w:p>
      <w:pPr>
        <w:pStyle w:val="Heading2"/>
      </w:pPr>
      <w:r>
        <w:t>The Senolytic Revolution</w:t>
      </w:r>
    </w:p>
    <w:p>
      <w:pPr>
        <w:spacing w:after="200" w:line="360" w:lineRule="auto"/>
        <w:jc w:val="both"/>
      </w:pPr>
      <w:r>
        <w:t xml:space="preserve">The term senolytic (from senescence and lytic, meaning destruction) refers to a class of compounds that selectively induce apoptosis in senescent cells while sparing healthy cells. Unlike senomorphics, which merely suppress the SASP without eliminating the source, senolytics remove senescent cells entirely, potentially providing durable benefits from intermittent administration. The most extensively studied combination, dasatinib plus quercetin (D+Q), targets anti-apoptotic pathways upregulated in senescent cells. Dasatinib, a tyrosine kinase inhibitor, suppresses ephrin B-dependent suppression of apoptosis, while quercetin, a flavonoid, inhibits BCL-2 and serpins that protect senescent cells from programmed cell death.</w:t>
      </w:r>
    </w:p>
    <w:p>
      <w:pPr>
        <w:spacing w:after="200" w:line="360" w:lineRule="auto"/>
        <w:jc w:val="both"/>
      </w:pPr>
      <w:r>
        <w:t xml:space="preserve">Human clinical trials of senolytics have demonstrated promising results across multiple conditions. In idiopathic pulmonary fibrosis, intermittent D+Q improved six-minute walk distance and physical function. In diabetic kidney disease, treatment reduced senescence biomarkers in urine and improved insulin sensitivity. The STAMINA pilot study found that D+Q was feasible and safe in older adults with mild cognitive impairment, with preliminary evidence of cognitive improvement and reduction in TNF-alpha correlating with enhanced Montreal Cognitive Assessment scores. Multiple Phase II trials are underway for osteoarthritis, Alzheimer's disease, cardiovascular aging, and interstitial lung disease.</w:t>
      </w:r>
    </w:p>
    <w:p>
      <w:pPr>
        <w:spacing w:after="200" w:line="360" w:lineRule="auto"/>
        <w:jc w:val="both"/>
      </w:pPr>
      <w:r>
        <w:t xml:space="preserve">Next-generation senolytics aim to improve specificity and reduce off-target effects through multiple innovative approaches. Antibody-drug conjugates (ADCs) targeting senescence-specific surface markers such as DPP4, uPAR, or B2M can deliver cytotoxic payloads directly to senescent cells. Nanoparticle-based delivery systems exploit the unique metabolic signatures of senescent cells, including enhanced lysosomal beta-galactosidase activity and altered pH gradients, to achieve selective drug release. Prodrugs activated by senescence-associated enzymes represent another promising direction, as do engineered immune cells designed to recognize and eliminate senescent cells through targeted immunotherapy approaches.</w:t>
      </w:r>
    </w:p>
    <w:p>
      <w:pPr>
        <w:pStyle w:val="Heading1"/>
      </w:pPr>
      <w:r>
        <w:t>The RESET Architecture</w:t>
      </w:r>
    </w:p>
    <w:p>
      <w:pPr>
        <w:spacing w:after="200" w:line="360" w:lineRule="auto"/>
        <w:jc w:val="both"/>
      </w:pPr>
      <w:r>
        <w:t xml:space="preserve">RESET represents a paradigm shift from treating aging as a collection of individual diseases to approaching it as a systems engineering challenge amenable to coordinated multi-module intervention. The architecture comprises six interconnected phases, each building upon the outputs of the preceding phase and creating conditions necessary for the success of subsequent phases. This sequential orchestration distinguishes RESET from isolated senolytic or stem cell therapies, creating synergies that neither approach could achieve independently.</w:t>
      </w:r>
    </w:p>
    <w:p>
      <w:pPr>
        <w:spacing w:after="200" w:line="360" w:lineRule="auto"/>
        <w:jc w:val="both"/>
      </w:pPr>
      <w:r>
        <w:t xml:space="preserve">The fundamental insight underlying RESET is that tissue aging involves three convergent failures: the accumulation of dysfunctional senescent cells, the progressive degradation of the microenvironment that supports functional cells, and the depletion of regenerative stem and progenitor cell pools. Addressing any one of these failures in isolation produces limited and transient benefits. Removing senescent cells without repairing the damaged niche leaves an environment hostile to new cell integration. Repopulating tissues with functional cells without first clearing senescent cells and their SASP ensures that the new cells will be exposed to inflammatory signals that impair their engraftment and function. Only by addressing all three failures in sequence can meaningful rejuvenation be achieved.</w:t>
      </w:r>
    </w:p>
    <w:p>
      <w:pPr>
        <w:pStyle w:val="Heading2"/>
      </w:pPr>
      <w:r>
        <w:t>Phase I: Comprehensive Baseline Mapping</w:t>
      </w:r>
    </w:p>
    <w:p>
      <w:pPr>
        <w:spacing w:after="200" w:line="360" w:lineRule="auto"/>
        <w:jc w:val="both"/>
      </w:pPr>
      <w:r>
        <w:t xml:space="preserve">The RESET cycle begins with exhaustive characterization of the patient's current biological state. This phase employs a multi-omic approach to quantify senescent cell burden, assess tissue microenvironment integrity, map regenerative capacity, and identify tissue-specific vulnerabilities. Baseline mapping serves three critical functions: guiding treatment prioritization, establishing endpoints for efficacy assessment, and enabling personalized protocol adaptation.</w:t>
      </w:r>
    </w:p>
    <w:p>
      <w:pPr>
        <w:spacing w:after="200" w:line="360" w:lineRule="auto"/>
        <w:jc w:val="both"/>
      </w:pPr>
      <w:r>
        <w:t xml:space="preserve">Senescence quantification leverages a panel of established biomarkers including p16INK4a expression (measured by immunohistochemistry, flow cytometry, or quantitative PCR), p21Cip1 levels, senescence-associated beta-galactosidase (SA-beta-gal) activity, and SASP factor profiling (IL-6, IL-8, MMP-3, MMP-12) in blood, urine, and where feasible, tissue biopsies. Advanced imaging techniques including positron emission tomography with senescence-targeted tracers and magnetic resonance elastography for tissue stiffness assessment provide non-invasive quantification of senescent cell distribution. DNA methylation clocks, particularly the Horvath and GrimAge clocks, offer composite measures of biological age that integrate multiple aging processes.</w:t>
      </w:r>
    </w:p>
    <w:p>
      <w:pPr>
        <w:spacing w:after="200" w:line="360" w:lineRule="auto"/>
        <w:jc w:val="both"/>
      </w:pPr>
      <w:r>
        <w:t xml:space="preserve">Tissue-specific assessments vary by target organ. For vascular aging, pulse wave velocity and endothelial function testing quantify arterial stiffness. For metabolic tissues, body composition analysis, oral glucose tolerance testing, and adipose tissue biopsy characterize senescent cell distribution. For musculoskeletal targets, bone density scanning, muscle strength assessment, and gait analysis establish functional baselines. Comprehensive metabolic panels, inflammatory marker profiling (hsCRP, TNF-alpha, IL-6), and oxidative stress markers (8-OHdG, F2-isoprostanes) complete the systemic assessment.</w:t>
      </w:r>
    </w:p>
    <w:p>
      <w:pPr>
        <w:pStyle w:val="Heading2"/>
      </w:pPr>
      <w:r>
        <w:t>Phase II: Targeted Senolytic Clearance</w:t>
      </w:r>
    </w:p>
    <w:p>
      <w:pPr>
        <w:spacing w:after="200" w:line="360" w:lineRule="auto"/>
        <w:jc w:val="both"/>
      </w:pPr>
      <w:r>
        <w:t xml:space="preserve">Following baseline characterization, Phase II initiates targeted clearance of senescent cells using an optimized senolytic protocol. The current evidence supports an intermittent hit-and-run dosing strategy rather than continuous administration, which limits off-target toxicity while allowing time for senescent cells to undergo apoptosis between doses. Based on published clinical trials, the established D+Q regimen involves 100mg dasatinib and 1,000mg quercetin administered orally on two consecutive days, repeated every two weeks for a total of 3-6 months depending on response biomarkers.</w:t>
      </w:r>
    </w:p>
    <w:p>
      <w:pPr>
        <w:spacing w:after="200" w:line="360" w:lineRule="auto"/>
        <w:jc w:val="both"/>
      </w:pPr>
      <w:r>
        <w:t xml:space="preserve">The RESET protocol proposes several enhancements to standard senolytic administration. First, tissue-specific targeting may be achieved through localized delivery routes. Intra-articular injection for osteoarthritic joints, inhalational delivery for pulmonary targets, and catheter-based delivery for cardiovascular tissues could achieve higher local concentrations while minimizing systemic exposure. Second, combination with fisetin (500mg orally on the same schedule) may broaden senescent cell clearance through complementary mechanisms involving downregulation of BCL-2 family members and inhibition of the PI3K/AKT pathway. Third, next-generation precision senolytics including nanoparticle-formulated compounds or antibody-drug conjugates may replace first-generation agents as they advance through clinical development.</w:t>
      </w:r>
    </w:p>
    <w:p>
      <w:pPr>
        <w:spacing w:after="200" w:line="360" w:lineRule="auto"/>
        <w:jc w:val="both"/>
      </w:pPr>
      <w:r>
        <w:t xml:space="preserve">Monitoring during the clearance phase tracks both efficacy and safety. Key efficacy endpoints include reduction in circulating SASP factors (IL-6, MMP-3), improvement in physical function measures (gait speed, chair-stand time), and where feasible, reduction in tissue SA-beta-gal staining or p16 expression. Safety monitoring includes complete blood counts, liver and renal function tests, and surveillance for adverse events. The clearance phase continues until biomarkers indicate maximal achievable senescent cell reduction or until a plateau is reached, typically requiring 3-6 months of intermittent therapy.</w:t>
      </w:r>
    </w:p>
    <w:p>
      <w:pPr>
        <w:pStyle w:val="Heading2"/>
      </w:pPr>
      <w:r>
        <w:t>Phase III: Microenvironment Reset</w:t>
      </w:r>
    </w:p>
    <w:p>
      <w:pPr>
        <w:spacing w:after="200" w:line="360" w:lineRule="auto"/>
        <w:jc w:val="both"/>
      </w:pPr>
      <w:r>
        <w:t xml:space="preserve">Senolytic clearance alone, while beneficial, does not automatically restore a receptive microenvironment for incoming cells. The ECM may remain stiffened by cross-linked collagen, cytokine gradients may still favor inflammation over regeneration, and stem cell niches may require active remodeling to become supportive. Phase III addresses these residual environmental deficits through a multi-pronged microenvironmental normalization approach.</w:t>
      </w:r>
    </w:p>
    <w:p>
      <w:pPr>
        <w:spacing w:after="200" w:line="360" w:lineRule="auto"/>
        <w:jc w:val="both"/>
      </w:pPr>
      <w:r>
        <w:t xml:space="preserve">Anti-fibrotic intervention targets the stiffened extracellular matrix that characterizes aged tissues. Losartan, an angiotensin II receptor blocker with demonstrated anti-fibrotic properties, can reduce TGF-beta signaling and myofibroblast activation. Matrix metalloproteinase activators, delivered locally or systemically, promote degradation of cross-linked collagen deposits. Emerging approaches include direct enzymatic decrosslinking using transglutaminase inhibitors and advanced glycation end-product (AGE) breakers that restore matrix elasticity.</w:t>
      </w:r>
    </w:p>
    <w:p>
      <w:pPr>
        <w:spacing w:after="200" w:line="360" w:lineRule="auto"/>
        <w:jc w:val="both"/>
      </w:pPr>
      <w:r>
        <w:t xml:space="preserve">Immunomodulation during the reset window aims to shift the tissue milieu from pro-inflammatory to pro-regenerative. Low-dose IL-2 promotes regulatory T cell expansion, which supports tissue repair and prevents excessive inflammatory responses. Mesenchymal stem cell-derived extracellular vesicles (EVs) provide a cell-free approach to immunomodulation, delivering miRNAs and proteins that suppress NF-kappaB signaling and promote M2 macrophage polarization. Biomaterial scaffolds engineered with specific mechanical properties and biochemical cues can further direct the regenerative microenvironment.</w:t>
      </w:r>
    </w:p>
    <w:p>
      <w:pPr>
        <w:pStyle w:val="Heading2"/>
      </w:pPr>
      <w:r>
        <w:t>Phase IV: Autologous Cell Preparation</w:t>
      </w:r>
    </w:p>
    <w:p>
      <w:pPr>
        <w:spacing w:after="200" w:line="360" w:lineRule="auto"/>
        <w:jc w:val="both"/>
      </w:pPr>
      <w:r>
        <w:t xml:space="preserve">Phase IV initiates in parallel with Phase III, involving harvest, expansion, and quality verification of autologous cells for subsequent repopulation. The choice of cell source depends on the target tissues: bone marrow-derived mesenchymal stem cells (BMSCs) for musculoskeletal and vascular targets, adipose-derived stem cells (ASCs) for metabolic and soft tissue applications, hematopoietic stem cells for immune system rejuvenation, and tissue-specific progenitors (such as endothelial progenitor cells) for organ-specific repair.</w:t>
      </w:r>
    </w:p>
    <w:p>
      <w:pPr>
        <w:spacing w:after="200" w:line="360" w:lineRule="auto"/>
        <w:jc w:val="both"/>
      </w:pPr>
      <w:r>
        <w:t xml:space="preserve">Ex vivo expansion occurs in GMP-compliant bioreactor systems under defined conditions that preserve genomic stability and functional potential. Key parameters include: low oxygen tension (2-5%) to maintain hypoxia-inducible factor signaling and prevent oxidative stress; defined serum-free media supplemented with recombinant growth factors (bFGF, EGF) to eliminate batch variability; and continuous monitoring of pH, dissolved oxygen, and metabolite concentrations. Expansion targets typically require 2-4 weeks to achieve therapeutic cell doses (10^8 to 10^9 cells depending on indication), with harvesting before passage 5 to minimize replicative senescence and genomic drift.</w:t>
      </w:r>
    </w:p>
    <w:p>
      <w:pPr>
        <w:pStyle w:val="Heading2"/>
      </w:pPr>
      <w:r>
        <w:t>Phase V: Precision Repopulation</w:t>
      </w:r>
    </w:p>
    <w:p>
      <w:pPr>
        <w:spacing w:after="200" w:line="360" w:lineRule="auto"/>
        <w:jc w:val="both"/>
      </w:pPr>
      <w:r>
        <w:t xml:space="preserve">The repopulation phase represents the critical therapeutic window when expanded autologous cells are delivered to cleared and primed tissues. Timing is essential: cells must be delivered after senolytic effects have peaked and acute toxicity resolved, but before endogenous cells or fibrosis can re-occupy the open niches. Based on pharmacokinetic modeling of senolytic clearance and tissue remodeling dynamics, the optimal window typically opens 2-4 weeks after the final senolytic dose and remains favorable for approximately 4-8 weeks.</w:t>
      </w:r>
    </w:p>
    <w:p>
      <w:pPr>
        <w:spacing w:after="200" w:line="360" w:lineRule="auto"/>
        <w:jc w:val="both"/>
      </w:pPr>
      <w:r>
        <w:t xml:space="preserve">Delivery routes are selected based on target tissue vascular anatomy and accessibility. Intravenous infusion remains the standard for broadly distributed targets including vascular endothelium, bone marrow, and metabolic tissues. However, RESET emphasizes enhanced targeting strategies to overcome the first-pass pulmonary entrapment that limits systemic delivery efficiency. Cell surface engineering approaches, such as decorating MSC surfaces with heparin or tissue-targeted peptides, increase homing to specific organs. Genetic modification to overexpress chemokine receptors (CXCR4 for bone marrow, c-Met for liver, CCR2 for inflammatory sites) enhances tissue-specific migration.</w:t>
      </w:r>
    </w:p>
    <w:p>
      <w:pPr>
        <w:pStyle w:val="Heading2"/>
      </w:pPr>
      <w:r>
        <w:t>Phase VI: Integration and Monitoring</w:t>
      </w:r>
    </w:p>
    <w:p>
      <w:pPr>
        <w:spacing w:after="200" w:line="360" w:lineRule="auto"/>
        <w:jc w:val="both"/>
      </w:pPr>
      <w:r>
        <w:t xml:space="preserve">The final phase of the RESET cycle involves comprehensive monitoring of engraftment, functional integration, and tissue remodeling over extended timeframes. Short-term monitoring (0-3 months) focuses on engraftment markers including donor cell tracking (if cells were labeled with iron oxide nanoparticles or fluorescent dyes), tissue function changes versus baseline, and inflammatory markers to detect adverse responses. Medium-term assessment (3-12 months) evaluates senescent cell rebound, structural changes (imaging of fibrosis, vascular remodeling, tissue density), and functional endpoints specific to targeted tissues.</w:t>
      </w:r>
    </w:p>
    <w:p>
      <w:pPr>
        <w:spacing w:after="200" w:line="360" w:lineRule="auto"/>
        <w:jc w:val="both"/>
      </w:pPr>
      <w:r>
        <w:t xml:space="preserve">If the initial RESET cycle demonstrates safety and preliminary efficacy, the protocol envisions iterative administration every 2-5 years as a long-term maintenance strategy. Subsequent cycles may be optimized based on response to the initial treatment: senolytic intensity may be adjusted, cell doses titrated, and tissue targets refined. This iterative approach mirrors scheduled maintenance of engineered systems, periodically resetting tissue state before accumulated damage reaches pathological thresholds.</w:t>
      </w:r>
    </w:p>
    <w:p>
      <w:pPr>
        <w:pStyle w:val="Heading1"/>
      </w:pPr>
      <w:r>
        <w:t>2026 Research Validation: The Acceleration of Evidence</w:t>
      </w:r>
    </w:p>
    <w:p>
      <w:pPr>
        <w:spacing w:after="200" w:line="360" w:lineRule="auto"/>
        <w:jc w:val="both"/>
      </w:pPr>
      <w:r>
        <w:t xml:space="preserve">The year 2026 has marked an inflection point in regenerative medicine, with a cascade of high-impact publications providing unprecedented experimental validation for RESET's central hypotheses. What follows is a comprehensive analysis of the breakthrough studies that have transformed the theoretical framework into an evidence-based therapeutic strategy. These findings not only validate each phase of the RESET architecture but also reveal new opportunities for optimization and expansion.</w:t>
      </w:r>
    </w:p>
    <w:p>
      <w:pPr>
        <w:pStyle w:val="Heading2"/>
      </w:pPr>
      <w:r>
        <w:t>The SenoVax Breakthrough: Senolytic-MSC Synergy Proven</w:t>
      </w:r>
    </w:p>
    <w:p>
      <w:pPr>
        <w:spacing w:after="200" w:line="360" w:lineRule="auto"/>
        <w:jc w:val="both"/>
      </w:pPr>
      <w:r>
        <w:t xml:space="preserve">The landmark study by Ichim and colleagues, published in the Journal of Translational Medicine on June 7, 2026, represents the most significant preclinical validation of the senolytic-regenerative combination approach to date. This research provides the first direct, experimental evidence that RESET's core hypothesis is correct: senescent cells must be cleared before regenerative cell therapy can achieve its full potential.</w:t>
      </w:r>
    </w:p>
    <w:p>
      <w:pPr>
        <w:pStyle w:val="Heading3"/>
      </w:pPr>
      <w:r>
        <w:t>Study Design and Methods</w:t>
      </w:r>
    </w:p>
    <w:p>
      <w:pPr>
        <w:spacing w:after="200" w:line="360" w:lineRule="auto"/>
        <w:jc w:val="both"/>
      </w:pPr>
      <w:r>
        <w:t xml:space="preserve">The study investigated the synergistic effects of SenoVax, a novel dendritic cell-based senolytic immunotherapy, combined with personalized mesenchymal stem cells (pMSCs) derived from syngeneic pluripotent stem cells. Two established murine models were employed: carbon tetrachloride (CCl4)-mediated liver injury and doxorubicin-induced systemic senescence. The CCl4 model induces chronic hepatic injury as a paradigm of senescence-associated inflammation, while low-dose doxorubicin administration recapitulates therapy-induced accelerated aging without immediate lethality.</w:t>
      </w:r>
    </w:p>
    <w:p>
      <w:pPr>
        <w:spacing w:after="200" w:line="360" w:lineRule="auto"/>
        <w:jc w:val="both"/>
      </w:pPr>
      <w:r>
        <w:t xml:space="preserve">Animals were randomized to four treatment groups: control (vehicle only), SenoVax monotherapy, pMSC monotherapy, and combination therapy (SenoVax plus pMSCs). Primary outcomes included biochemical and histologic indices of liver injury, circulating and tissue biomarkers of senescence (IL-11, YKL-40, IL-6, IL-23R) and regeneration (Klotho, FGF-2, neo-VEGF, GDF-11), physical performance measures, and survival endpoints.</w:t>
      </w:r>
    </w:p>
    <w:p>
      <w:pPr>
        <w:pStyle w:val="Heading3"/>
      </w:pPr>
      <w:r>
        <w:t>Key Findings</w:t>
      </w:r>
    </w:p>
    <w:p>
      <w:pPr>
        <w:spacing w:after="200" w:line="360" w:lineRule="auto"/>
        <w:jc w:val="both"/>
      </w:pPr>
      <w:r>
        <w:t xml:space="preserve">The study produced three transformative findings that directly validate the RESET architecture. First, senescence directly suppresses stem cell therapy: when senescent cells and their SASP factors were present, mesenchymal stem cells alone exhibited limited activity, confirming that the inflammatory microenvironment created by senescent cells is hostile to regenerative processes. Second, senolytics function as a critical adjuvant: SenoVax effectively cleared senescent cells, creating an environment where pMSCs could finally exert their therapeutic potential. Third, the combination is genuinely synergistic: combined senolytic plus pMSC therapy outperformed either treatment alone by a substantial margin across all measured endpoints.</w:t>
      </w:r>
    </w:p>
    <w:p>
      <w:pPr>
        <w:spacing w:after="200" w:line="360" w:lineRule="auto"/>
        <w:jc w:val="both"/>
      </w:pPr>
      <w:r>
        <w:t xml:space="preserve">In the CCl4 liver injury model, combination therapy reduced AST and ALT levels by 58-62%, surpassing monotherapy reductions of 32-40%, indicating enhanced hepatic regeneration. The combination also produced the highest reduction in SASP-related cytokines (IL-11, YKL-40, IL-23R, IL-6) and the greatest increase in regenerative biomarkers (Klotho, FGF-2, VEGF, GDF-11). Critically, pMSCs alone showed limited activity in the presence of high senescent cell burden, confirming that simply adding new cells without first clearing the damaged cellular environment is insufficient.</w:t>
      </w:r>
    </w:p>
    <w:p>
      <w:pPr>
        <w:spacing w:after="200" w:line="360" w:lineRule="auto"/>
        <w:jc w:val="both"/>
      </w:pPr>
      <w:r>
        <w:t xml:space="preserve">In the doxorubicin accelerated aging model, the combination improved physical performance in the T-climbing test by 65%, reflecting preserved motor coordination and strength. Most remarkably, the combination achieved approximately 73% increase in mean survival and approximately 84% extension of median lifespan compared with untreated controls. Monotherapies extended median survival modestly, but the synergy achieved statistical significance (p &lt; 0.05 versus monotherapies), with 50% survival at Day 35 and 20% at Day 40 for the combination versus complete mortality by Day 30 in untreated controls.</w:t>
      </w:r>
    </w:p>
    <w:p>
      <w:pPr>
        <w:pStyle w:val="Heading3"/>
      </w:pPr>
      <w:r>
        <w:t>How This Validates RESET</w:t>
      </w:r>
    </w:p>
    <w:p>
      <w:pPr>
        <w:spacing w:after="200" w:line="360" w:lineRule="auto"/>
        <w:jc w:val="both"/>
      </w:pPr>
      <w:r>
        <w:t xml:space="preserve">This 2026 paper constitutes a direct, empirical validation of the RESET architecture's central premise: you cannot simply add new cells; you must first clear senescent cells and repair the niche. The study's authors explicitly state: "Targeted senolytic immunotherapy enhances the efficacy of regenerative interventions and represents a promising combinatorial strategy for modifying biological aging itself."</w:t>
      </w:r>
    </w:p>
    <w:p>
      <w:pPr>
        <w:spacing w:after="200" w:line="360" w:lineRule="auto"/>
        <w:jc w:val="both"/>
      </w:pPr>
      <w:r>
        <w:t xml:space="preserve">The following table maps how each finding validates specific RESET phases:</w:t>
      </w:r>
    </w:p>
    <w:tbl>
      <w:tblPr>
        <w:tblW w:w="5000" w:type="pct"/>
        <w:tblBorders>
          <w:top w:val="single" w:color="1A5276" w:sz="12"/>
          <w:left w:val="nil"/>
          <w:bottom w:val="single" w:color="1A5276" w:sz="12"/>
          <w:right w:val="nil"/>
          <w:insideH w:val="single" w:color="D5D8DC" w:sz="4"/>
          <w:insideV w:val="nil"/>
        </w:tblBorders>
      </w:tblPr>
      <w:tblGrid>
        <w:gridCol w:w="2500"/>
        <w:gridCol w:w="3500"/>
        <w:gridCol w:w="4000"/>
      </w:tblGrid>
      <w:tr>
        <w:trPr>
          <w:tblHeader/>
        </w:trPr>
        <w:tc>
          <w:tcPr>
            <w:tcW w:w="2500" w:type="dxa"/>
            <w:shd w:val="clear" w:fill="EBF0F5"/>
          </w:tcPr>
          <w:p>
            <w:pPr>
              <w:spacing w:before="60" w:after="60"/>
            </w:pPr>
            <w:r>
              <w:rPr>
                <w:b/>
                <w:color w:val="1C2833"/>
                <w:sz w:val="20"/>
              </w:rPr>
              <w:t xml:space="preserve">RESET Phase</w:t>
            </w:r>
          </w:p>
        </w:tc>
        <w:tc>
          <w:tcPr>
            <w:tcW w:w="3500" w:type="dxa"/>
            <w:shd w:val="clear" w:fill="EBF0F5"/>
          </w:tcPr>
          <w:p>
            <w:pPr>
              <w:spacing w:before="60" w:after="60"/>
            </w:pPr>
            <w:r>
              <w:rPr>
                <w:b/>
                <w:color w:val="1C2833"/>
                <w:sz w:val="20"/>
              </w:rPr>
              <w:t xml:space="preserve">2026 Study Finding</w:t>
            </w:r>
          </w:p>
        </w:tc>
        <w:tc>
          <w:tcPr>
            <w:tcW w:w="4000" w:type="dxa"/>
            <w:shd w:val="clear" w:fill="EBF0F5"/>
          </w:tcPr>
          <w:p>
            <w:pPr>
              <w:spacing w:before="60" w:after="60"/>
            </w:pPr>
            <w:r>
              <w:rPr>
                <w:b/>
                <w:color w:val="1C2833"/>
                <w:sz w:val="20"/>
              </w:rPr>
              <w:t xml:space="preserve">Validation Significance</w:t>
            </w:r>
          </w:p>
        </w:tc>
      </w:tr>
      <w:tr>
        <w:tc>
          <w:tcPr>
            <w:tcW w:w="2500" w:type="dxa"/>
          </w:tcPr>
          <w:p>
            <w:pPr>
              <w:spacing w:before="60" w:after="60"/>
            </w:pPr>
            <w:r>
              <w:rPr>
                <w:color w:val="566573"/>
                <w:sz w:val="20"/>
              </w:rPr>
              <w:t xml:space="preserve">Phase I: Baseline Mapping</w:t>
            </w:r>
          </w:p>
        </w:tc>
        <w:tc>
          <w:tcPr>
            <w:tcW w:w="3500" w:type="dxa"/>
          </w:tcPr>
          <w:p>
            <w:pPr>
              <w:spacing w:before="60" w:after="60"/>
            </w:pPr>
            <w:r>
              <w:rPr>
                <w:color w:val="566573"/>
                <w:sz w:val="20"/>
              </w:rPr>
              <w:t xml:space="preserve">Used IL-11, YKL-40, IL-6, IL-23R to quantify senescence; Klotho, FGF-2, VEGF, GDF-11 for regeneration</w:t>
            </w:r>
          </w:p>
        </w:tc>
        <w:tc>
          <w:tcPr>
            <w:tcW w:w="4000" w:type="dxa"/>
          </w:tcPr>
          <w:p>
            <w:pPr>
              <w:spacing w:before="60" w:after="60"/>
            </w:pPr>
            <w:r>
              <w:rPr>
                <w:color w:val="566573"/>
                <w:sz w:val="20"/>
              </w:rPr>
              <w:t xml:space="preserve">Biomarker panel directly validates comprehensive assessment approach</w:t>
            </w:r>
          </w:p>
        </w:tc>
      </w:tr>
      <w:tr>
        <w:tc>
          <w:tcPr>
            <w:tcW w:w="2500" w:type="dxa"/>
          </w:tcPr>
          <w:p>
            <w:pPr>
              <w:spacing w:before="60" w:after="60"/>
            </w:pPr>
            <w:r>
              <w:rPr>
                <w:color w:val="566573"/>
                <w:sz w:val="20"/>
              </w:rPr>
              <w:t xml:space="preserve">Phase II: Senolytic Clearance</w:t>
            </w:r>
          </w:p>
        </w:tc>
        <w:tc>
          <w:tcPr>
            <w:tcW w:w="3500" w:type="dxa"/>
          </w:tcPr>
          <w:p>
            <w:pPr>
              <w:spacing w:before="60" w:after="60"/>
            </w:pPr>
            <w:r>
              <w:rPr>
                <w:color w:val="566573"/>
                <w:sz w:val="20"/>
              </w:rPr>
              <w:t xml:space="preserve">SenoVax cleared senescent cells; without this, MSCs were ineffective</w:t>
            </w:r>
          </w:p>
        </w:tc>
        <w:tc>
          <w:tcPr>
            <w:tcW w:w="4000" w:type="dxa"/>
          </w:tcPr>
          <w:p>
            <w:pPr>
              <w:spacing w:before="60" w:after="60"/>
            </w:pPr>
            <w:r>
              <w:rPr>
                <w:color w:val="566573"/>
                <w:sz w:val="20"/>
              </w:rPr>
              <w:t xml:space="preserve">Proves senolytic clearance must precede cell therapy for efficacy</w:t>
            </w:r>
          </w:p>
        </w:tc>
      </w:tr>
      <w:tr>
        <w:tc>
          <w:tcPr>
            <w:tcW w:w="2500" w:type="dxa"/>
          </w:tcPr>
          <w:p>
            <w:pPr>
              <w:spacing w:before="60" w:after="60"/>
            </w:pPr>
            <w:r>
              <w:rPr>
                <w:color w:val="566573"/>
                <w:sz w:val="20"/>
              </w:rPr>
              <w:t xml:space="preserve">Phase IV: Cell Preparation</w:t>
            </w:r>
          </w:p>
        </w:tc>
        <w:tc>
          <w:tcPr>
            <w:tcW w:w="3500" w:type="dxa"/>
          </w:tcPr>
          <w:p>
            <w:pPr>
              <w:spacing w:before="60" w:after="60"/>
            </w:pPr>
            <w:r>
              <w:rPr>
                <w:color w:val="566573"/>
                <w:sz w:val="20"/>
              </w:rPr>
              <w:t xml:space="preserve">Used personalized MSCs from pluripotent stem cells (pMSCs)</w:t>
            </w:r>
          </w:p>
        </w:tc>
        <w:tc>
          <w:tcPr>
            <w:tcW w:w="4000" w:type="dxa"/>
          </w:tcPr>
          <w:p>
            <w:pPr>
              <w:spacing w:before="60" w:after="60"/>
            </w:pPr>
            <w:r>
              <w:rPr>
                <w:color w:val="566573"/>
                <w:sz w:val="20"/>
              </w:rPr>
              <w:t xml:space="preserve">Confirms autologous cell preparation with enhanced potency</w:t>
            </w:r>
          </w:p>
        </w:tc>
      </w:tr>
      <w:tr>
        <w:tc>
          <w:tcPr>
            <w:tcW w:w="2500" w:type="dxa"/>
          </w:tcPr>
          <w:p>
            <w:pPr>
              <w:spacing w:before="60" w:after="60"/>
            </w:pPr>
            <w:r>
              <w:rPr>
                <w:color w:val="566573"/>
                <w:sz w:val="20"/>
              </w:rPr>
              <w:t xml:space="preserve">Phase V: Repopulation</w:t>
            </w:r>
          </w:p>
        </w:tc>
        <w:tc>
          <w:tcPr>
            <w:tcW w:w="3500" w:type="dxa"/>
          </w:tcPr>
          <w:p>
            <w:pPr>
              <w:spacing w:before="60" w:after="60"/>
            </w:pPr>
            <w:r>
              <w:rPr>
                <w:color w:val="566573"/>
                <w:sz w:val="20"/>
              </w:rPr>
              <w:t xml:space="preserve">Combination showed 58-62% reduction in liver injury markers vs 32-40% for monotherapies</w:t>
            </w:r>
          </w:p>
        </w:tc>
        <w:tc>
          <w:tcPr>
            <w:tcW w:w="4000" w:type="dxa"/>
          </w:tcPr>
          <w:p>
            <w:pPr>
              <w:spacing w:before="60" w:after="60"/>
            </w:pPr>
            <w:r>
              <w:rPr>
                <w:color w:val="566573"/>
                <w:sz w:val="20"/>
              </w:rPr>
              <w:t xml:space="preserve">Demonstrates synergistic tissue repair beyond additive effects</w:t>
            </w:r>
          </w:p>
        </w:tc>
      </w:tr>
      <w:tr>
        <w:tc>
          <w:tcPr>
            <w:tcW w:w="2500" w:type="dxa"/>
          </w:tcPr>
          <w:p>
            <w:pPr>
              <w:spacing w:before="60" w:after="60"/>
            </w:pPr>
            <w:r>
              <w:rPr>
                <w:color w:val="566573"/>
                <w:sz w:val="20"/>
              </w:rPr>
              <w:t xml:space="preserve">Phase VI: Monitoring</w:t>
            </w:r>
          </w:p>
        </w:tc>
        <w:tc>
          <w:tcPr>
            <w:tcW w:w="3500" w:type="dxa"/>
          </w:tcPr>
          <w:p>
            <w:pPr>
              <w:spacing w:before="60" w:after="60"/>
            </w:pPr>
            <w:r>
              <w:rPr>
                <w:color w:val="566573"/>
                <w:sz w:val="20"/>
              </w:rPr>
              <w:t xml:space="preserve">Tracked functional endpoints (T-climbing test, survival) and biomarkers over time</w:t>
            </w:r>
          </w:p>
        </w:tc>
        <w:tc>
          <w:tcPr>
            <w:tcW w:w="4000" w:type="dxa"/>
          </w:tcPr>
          <w:p>
            <w:pPr>
              <w:spacing w:before="60" w:after="60"/>
            </w:pPr>
            <w:r>
              <w:rPr>
                <w:color w:val="566573"/>
                <w:sz w:val="20"/>
              </w:rPr>
              <w:t xml:space="preserve">Validates iterative monitoring and endpoint assessment strategy</w:t>
            </w:r>
          </w:p>
        </w:tc>
      </w:tr>
    </w:tbl>
    <w:p>
      <w:pPr>
        <w:spacing w:after="200" w:line="360" w:lineRule="auto"/>
        <w:jc w:val="both"/>
      </w:pPr>
      <w:r>
        <w:t xml:space="preserve">The implications extend far beyond the specific models tested. By demonstrating that SASP factors directly impair pMSC function and that biomarker shifts mimic those seen in IL-6-exposed models, the study provides mechanistic evidence for a causal relationship between senescent cell burden and regenerative failure. The upregulation of Klotho, an anti-aging hormone whose decline correlates with frailty and reduced lifespan, further supports the systemic benefits of the combined approach. The identification of IL-11 and YKL-40 as particularly important SASP mediators aligns with emerging evidence that these factors are not merely age-associated markers but active drivers of age-related pathology.</w:t>
      </w:r>
    </w:p>
    <w:p>
      <w:pPr>
        <w:pStyle w:val="Heading2"/>
      </w:pPr>
      <w:r>
        <w:t>Senolytics Restore MSC Function: Cell-Source Rejuvenation</w:t>
      </w:r>
    </w:p>
    <w:p>
      <w:pPr>
        <w:spacing w:after="200" w:line="360" w:lineRule="auto"/>
        <w:jc w:val="both"/>
      </w:pPr>
      <w:r>
        <w:t xml:space="preserve">A June 2026 study by Heinrichs and colleagues investigated the effects of combined senolytic therapy (dasatinib plus quercetin) on phenotypically senescent human mesenchymal stem cells. This research addressed a critical question for RESET implementation: whether senolytics can improve not only the tissue environment but also the therapeutic cells themselves when these cells have entered senescence due to age or culture conditions.</w:t>
      </w:r>
    </w:p>
    <w:p>
      <w:pPr>
        <w:pStyle w:val="Heading3"/>
      </w:pPr>
      <w:r>
        <w:t>Phenotypic Restoration</w:t>
      </w:r>
    </w:p>
    <w:p>
      <w:pPr>
        <w:spacing w:after="200" w:line="360" w:lineRule="auto"/>
        <w:jc w:val="both"/>
      </w:pPr>
      <w:r>
        <w:t xml:space="preserve">The study demonstrated that D+Q treatment of senescent MSC cultures produced varied but significant phenotypic improvements. Senescent cells were selectively eliminated while non-senescent cells retained full viability. The remaining cell population showed restored proliferation rates approaching those of young MSCs. Most importantly, extracellular vesicle (EV) secretion was markedly increased following senolytic treatment, with EVs from treated cells demonstrating enhanced pro-regenerative cargo profiles.</w:t>
      </w:r>
    </w:p>
    <w:p>
      <w:pPr>
        <w:spacing w:after="200" w:line="360" w:lineRule="auto"/>
        <w:jc w:val="both"/>
      </w:pPr>
      <w:r>
        <w:t xml:space="preserve">Osteogenic differentiation capacity, which declines precipitously with MSC senescence, was substantially restored in D+Q-treated cultures. Alizarin red staining revealed increased mineralization potential, and expression of key osteogenic markers (RUNX2, Osterix, ALP) was upregulated. These findings held true for MSCs derived from older donors, suggesting that senolytic pretreatment may enable the use of autologous cells from elderly patients who would otherwise be poor candidates for cell therapy due to stem cell aging.</w:t>
      </w:r>
    </w:p>
    <w:p>
      <w:pPr>
        <w:pStyle w:val="Heading3"/>
      </w:pPr>
      <w:r>
        <w:t>Mechanistic Insights</w:t>
      </w:r>
    </w:p>
    <w:p>
      <w:pPr>
        <w:spacing w:after="200" w:line="360" w:lineRule="auto"/>
        <w:jc w:val="both"/>
      </w:pPr>
      <w:r>
        <w:t xml:space="preserve">The study revealed that senolytic treatment of MSC cultures operates through dual mechanisms: direct elimination of senescent cells that have lost therapeutic potential, and paracrine rejuvenation of remaining cells through removal of SASP-mediated suppression. IL-6, which accumulates in senescent MSC cultures, was identified as a key mediator of differentiation inhibition. By clearing senescent cells and their SASP output, D+Q treatment effectively "decontaminates" the culture environment, allowing residual healthy MSCs to resume normal function.</w:t>
      </w:r>
    </w:p>
    <w:p>
      <w:pPr>
        <w:spacing w:after="200" w:line="360" w:lineRule="auto"/>
        <w:jc w:val="both"/>
      </w:pPr>
      <w:r>
        <w:t xml:space="preserve">These findings have immediate practical implications for RESET Phase IV (Autologous Cell Preparation). Senolytic preconditioning of expanded cell cultures may become standard protocol, particularly when working with cells from older donors. The ability to rejuvenate autologous cell preparations without genetic modification represents a significant advance in manufacturing protocol design.</w:t>
      </w:r>
    </w:p>
    <w:p>
      <w:pPr>
        <w:pStyle w:val="Heading2"/>
      </w:pPr>
      <w:r>
        <w:t>Organ-Specific Aging Reversal: The NFATC1 Discovery</w:t>
      </w:r>
    </w:p>
    <w:p>
      <w:pPr>
        <w:spacing w:after="200" w:line="360" w:lineRule="auto"/>
        <w:jc w:val="both"/>
      </w:pPr>
      <w:r>
        <w:t xml:space="preserve">A May 2026 paper published in Stem Cell Reports by Li, Yu, and colleagues from Sichuan University identified the first in vivo driver of tooth aging and demonstrated that senolytic therapy can restore regenerative capacity in organ-specific stem cell populations. This research represents a paradigm shift in understanding how aging affects different organs and provides a template for organ-specific rejuvenation strategies within the RESET framework.</w:t>
      </w:r>
    </w:p>
    <w:p>
      <w:pPr>
        <w:pStyle w:val="Heading3"/>
      </w:pPr>
      <w:r>
        <w:t>The NFATC1 Discovery</w:t>
      </w:r>
    </w:p>
    <w:p>
      <w:pPr>
        <w:spacing w:after="200" w:line="360" w:lineRule="auto"/>
        <w:jc w:val="both"/>
      </w:pPr>
      <w:r>
        <w:t xml:space="preserve">Mature mammalian teeth possess unique characteristics that distinguish them from other organs: cell-free calcified parenchyma, isolated vasculature, specialized metabolic environment, limited cellular turnover, and replenishment of repair-associated cell lineages. These features have made tooth aging mechanisms largely unexplored territory in geroscience. The research team employed a sophisticated toolkit including Cre-based pulse-chase tracing, gene manipulation combined with fluorescent ubiquitination-based cell cycle indicator (FUCCI) systems, and comparative analysis of young versus aged human molars.</w:t>
      </w:r>
    </w:p>
    <w:p>
      <w:pPr>
        <w:spacing w:after="200" w:line="360" w:lineRule="auto"/>
        <w:jc w:val="both"/>
      </w:pPr>
      <w:r>
        <w:t xml:space="preserve">The team identified NFATC1 dysfunction as the primary driver of dental pulp mesenchymal stromal cell (MSC) senescence. NFATC1, a transcription factor abundant in young dental pulp stem cells (DPSCs) but significantly reduced in old cells in both mouse and human teeth, was found to be essential for proper DPSC function. Its deletion halted odontoblast generation, induced senescence in young teeth, and reduced regenerative capacity after injury. When the specific subset of NFATC1-positive DPSCs was eliminated from young mouse teeth, the dental pulp underwent rapid senescence with significant loss of odontoblasts, confirming that these cells are essential for maintaining tooth regeneration potential.</w:t>
      </w:r>
    </w:p>
    <w:p>
      <w:pPr>
        <w:pStyle w:val="Heading3"/>
      </w:pPr>
      <w:r>
        <w:t>Senolytic Restoration of Dental Repair</w:t>
      </w:r>
    </w:p>
    <w:p>
      <w:pPr>
        <w:spacing w:after="200" w:line="360" w:lineRule="auto"/>
        <w:jc w:val="both"/>
      </w:pPr>
      <w:r>
        <w:t xml:space="preserve">The most clinically significant finding was that senolytic therapy effectively ameliorated phenotypic alterations of tooth aging caused by NFATC1 dysfunction and restored dental repair capacity. In NFATC1-deficient mice, senolytic treatment eliminated accumulated senescent cells, reduced SASP burden, and enabled residual DPSCs to resume regenerative function. The treated animals showed restored dentin formation, improved pulp vitality, and enhanced repair responses to dental injury.</w:t>
      </w:r>
    </w:p>
    <w:p>
      <w:pPr>
        <w:spacing w:after="200" w:line="360" w:lineRule="auto"/>
        <w:jc w:val="both"/>
      </w:pPr>
      <w:r>
        <w:t xml:space="preserve">This research demonstrates that organ-specific stem cell senescence can be reversed through targeted senolytic intervention, even when the upstream driver (NFATC1 dysfunction) remains uncorrected. The principle of "clear senescent cells, enable residual stem cells" extends well beyond dental applications and provides a unifying framework for approaching organ-specific aging throughout the body. For RESET implementation, this study suggests that tissue-specific senolytic protocols may need to account for organ-specific senescence drivers, and that biomarker panels for Phase I baseline mapping should incorporate organ-specific indicators where available.</w:t>
      </w:r>
    </w:p>
    <w:p>
      <w:pPr>
        <w:pStyle w:val="Heading2"/>
      </w:pPr>
      <w:r>
        <w:t>Emerging Combinatorial Strategies: EVs Plus Senolytics</w:t>
      </w:r>
    </w:p>
    <w:p>
      <w:pPr>
        <w:spacing w:after="200" w:line="360" w:lineRule="auto"/>
        <w:jc w:val="both"/>
      </w:pPr>
      <w:r>
        <w:t xml:space="preserve">A March 2026 study by Ma and colleagues, published in the International Journal of Surgery, investigated the combination of human umbilical cord mesenchymal stem cell-derived extracellular vesicles (HUMSC-EVs) with senolytics (dasatinib plus quercetin) for treatment of kidney ischemia-reperfusion injury. This research extends the senolytic-regenerative synergy principle to cell-free therapy and demonstrates its applicability to acute organ injury as well as chronic aging.</w:t>
      </w:r>
    </w:p>
    <w:p>
      <w:pPr>
        <w:pStyle w:val="Heading3"/>
      </w:pPr>
      <w:r>
        <w:t>Study Design and Results</w:t>
      </w:r>
    </w:p>
    <w:p>
      <w:pPr>
        <w:spacing w:after="200" w:line="360" w:lineRule="auto"/>
        <w:jc w:val="both"/>
      </w:pPr>
      <w:r>
        <w:t xml:space="preserve">Adult male mice were divided into five groups: control, IRI (ischemia-reperfusion injury) group, HUMSC-EVs treatment group, senolytics treatment group (D+Q), and combined treatment group (HUMSC-EVs plus senolytics). The researchers assessed kidney function, senescent features of tubular epithelial cells, acute kidney injury severity, and chronic interstitial fibrosis.</w:t>
      </w:r>
    </w:p>
    <w:p>
      <w:pPr>
        <w:spacing w:after="200" w:line="360" w:lineRule="auto"/>
        <w:jc w:val="both"/>
      </w:pPr>
      <w:r>
        <w:t xml:space="preserve">Kidney IRI significantly upregulated expressions of LaminB1, p53, p21, p16, and SA-beta-galactosidase in tubular epithelial cells, confirming that acute ischemic injury induces a senescent phenotype. HUMSC-EVs alone significantly improved kidney function and reduced senescent features, while D+Q alone also alleviated kidney injury. However, the combination of HUMSC-EVs and senolytics demonstrated superior renoprotective effects compared to either treatment alone.</w:t>
      </w:r>
    </w:p>
    <w:p>
      <w:pPr>
        <w:spacing w:after="200" w:line="360" w:lineRule="auto"/>
        <w:jc w:val="both"/>
      </w:pPr>
      <w:r>
        <w:t xml:space="preserve">Mechanistically, HUMSC-EVs achieved renoprotection through dual pathways: regulating Bax/Bcl-2-dependent apoptosis during acute injury, and reducing tubular atrophy and interstitial fibrosis via the Ras-pERK-Ets1-p53 pathway-dependent cell senescence axis. The addition of senolytics enhanced both pathways, suggesting that clearing senescent cells amplifies the therapeutic window for EV-mediated repair.</w:t>
      </w:r>
    </w:p>
    <w:p>
      <w:pPr>
        <w:pStyle w:val="Heading3"/>
      </w:pPr>
      <w:r>
        <w:t>Implications for RESET</w:t>
      </w:r>
    </w:p>
    <w:p>
      <w:pPr>
        <w:spacing w:after="200" w:line="360" w:lineRule="auto"/>
        <w:jc w:val="both"/>
      </w:pPr>
      <w:r>
        <w:t xml:space="preserve">This study validates the broader applicability of the senolytic-plus-regenerative synergy beyond whole-cell therapy to extracellular vesicle-based approaches. For RESET, this offers several strategic advantages. EVs can be manufactured at scale, stored long-term, and delivered without the homing and engraftment challenges that limit whole-cell therapy. The combination of Phase II senolytic clearance with EV administration (potentially as an alternative or adjunct to Phase V whole-cell repopulation) may be particularly valuable for acute tissue injury scenarios and for patients who are not candidates for autologous cell harvesting.</w:t>
      </w:r>
    </w:p>
    <w:p>
      <w:pPr>
        <w:pStyle w:val="Heading2"/>
      </w:pPr>
      <w:r>
        <w:t>Non-Drug Senescent Cell Removal: Physical Sorting Strategies</w:t>
      </w:r>
    </w:p>
    <w:p>
      <w:pPr>
        <w:spacing w:after="200" w:line="360" w:lineRule="auto"/>
        <w:jc w:val="both"/>
      </w:pPr>
      <w:r>
        <w:t xml:space="preserve">A March 2026 study by Sakuma and colleagues, published in Tissue and Cell, developed a drug-free method to eliminate senescent cells from MSC preparations using autofluorescence and cell size sorting. This research addresses a critical safety concern in regenerative medicine: while senolytic drugs effectively clear senescent cells, their systemic administration carries potential off-target effects that may limit applicability in certain patient populations.</w:t>
      </w:r>
    </w:p>
    <w:p>
      <w:pPr>
        <w:pStyle w:val="Heading3"/>
      </w:pPr>
      <w:r>
        <w:t>The Autofluorescence Sorting Principle</w:t>
      </w:r>
    </w:p>
    <w:p>
      <w:pPr>
        <w:spacing w:after="200" w:line="360" w:lineRule="auto"/>
        <w:jc w:val="both"/>
      </w:pPr>
      <w:r>
        <w:t xml:space="preserve">Senescent cells exhibit distinctive physical properties that distinguish them from their non-senescent counterparts. They are typically larger and more granular due to accumulated lysosomal content and lipofuscin deposits, and they display characteristic autofluorescence patterns related to oxidized protein and lipid accumulation. The research team exploited these intrinsic properties to develop a fluorescence-activated cell sorting (FACS) protocol that requires no exogenous labels or pharmacological intervention.</w:t>
      </w:r>
    </w:p>
    <w:p>
      <w:pPr>
        <w:spacing w:after="200" w:line="360" w:lineRule="auto"/>
        <w:jc w:val="both"/>
      </w:pPr>
      <w:r>
        <w:t xml:space="preserve">Synovial MSCs were isolated from six osteoarthritis patients undergoing total knee arthroplasty and divided into three fractions based on autofluorescence intensity and forward scatter (cell size): AFhigh (high autofluorescence), AFlowFSChigh (low autofluorescence, high cell size), and AFlowFSClow (low autofluorescence, low cell size). The AFlowFSClow fraction demonstrated the most favorable characteristics: smaller cell diameter, less enlarged and flattened morphology, and significantly lower SA-beta-gal positivity rate.</w:t>
      </w:r>
    </w:p>
    <w:p>
      <w:pPr>
        <w:pStyle w:val="Heading3"/>
      </w:pPr>
      <w:r>
        <w:t>Functional Validation</w:t>
      </w:r>
    </w:p>
    <w:p>
      <w:pPr>
        <w:spacing w:after="200" w:line="360" w:lineRule="auto"/>
        <w:jc w:val="both"/>
      </w:pPr>
      <w:r>
        <w:t xml:space="preserve">The AFlowFSClow cells formed significantly more colonies and exhibited enhanced chondrogenic differentiation ability, as indicated by stronger safranin O staining, higher glycosaminoglycan/DNA ratios, and upregulation of chondrogenic marker genes (SOX9, COL2A1, ACAN). Adipogenic and osteogenic potentials were comparable among fractions, suggesting that the sorting process selectively enriches for the most therapeutically relevant cell population for cartilage repair applications.</w:t>
      </w:r>
    </w:p>
    <w:p>
      <w:pPr>
        <w:spacing w:after="200" w:line="360" w:lineRule="auto"/>
        <w:jc w:val="both"/>
      </w:pPr>
      <w:r>
        <w:t xml:space="preserve">This drug-free strategy offers significant advantages for clinical translation. It eliminates concerns about senolytic drug toxicity, drug interactions, and regulatory complexity associated with pharmacological agents. For RESET implementation, autofluorescence-based sorting could be integrated into Phase IV (Autologous Cell Preparation) as a quality control step to ensure that only the most potent, least senescent cells are selected for expansion and delivery. This approach may be particularly valuable for patients with contraindications to senolytic drugs, such as those with active infections, bleeding disorders, or severe hepatic impairment.</w:t>
      </w:r>
    </w:p>
    <w:p>
      <w:pPr>
        <w:pStyle w:val="Heading2"/>
      </w:pPr>
      <w:r>
        <w:t>Lifestyle-Pharmacological Synergies: Exercise, Natural Compounds, and Stem Cell Abundance</w:t>
      </w:r>
    </w:p>
    <w:p>
      <w:pPr>
        <w:spacing w:after="200" w:line="360" w:lineRule="auto"/>
        <w:jc w:val="both"/>
      </w:pPr>
      <w:r>
        <w:t xml:space="preserve">The 2026 research frontier has also illuminated how lifestyle interventions and natural compounds can synergize with pharmacological approaches to enhance stem cell function. Building upon foundational studies demonstrating that resistance exercise reduces stem cell aging markers in human skeletal muscle, recent research has explored how specific natural immunostimulants can amplify these exercise-induced benefits.</w:t>
      </w:r>
    </w:p>
    <w:p>
      <w:pPr>
        <w:pStyle w:val="Heading3"/>
      </w:pPr>
      <w:r>
        <w:t>The Exercise-Stem Cell Connection</w:t>
      </w:r>
    </w:p>
    <w:p>
      <w:pPr>
        <w:spacing w:after="200" w:line="360" w:lineRule="auto"/>
        <w:jc w:val="both"/>
      </w:pPr>
      <w:r>
        <w:t xml:space="preserve">A growing body of evidence demonstrates that acute bouts of resistance exercise produce measurable reductions in cellular senescence markers within 24 hours. Squat exercise has been shown to decrease p16INK4a mRNA to 50% of baseline levels in skeletal muscle, while simultaneously doubling endothelial progenitor cells (EPCs) that contribute to vascular repair and myofiber regeneration. These exercise effects are accompanied by reduced myeloperoxidase (MPO) mRNA, indicating lower neutrophil-mediated inflammation, and a very large correlation (r = 0.84) between p16INK4a and MPO expression suggests that exercise-induced stem cell rejuvenation is mechanistically linked to immune modulation.</w:t>
      </w:r>
    </w:p>
    <w:p>
      <w:pPr>
        <w:pStyle w:val="Heading3"/>
      </w:pPr>
      <w:r>
        <w:t>Ginsenoside Rg1 as Senolytic Adjuvant</w:t>
      </w:r>
    </w:p>
    <w:p>
      <w:pPr>
        <w:spacing w:after="200" w:line="360" w:lineRule="auto"/>
        <w:jc w:val="both"/>
      </w:pPr>
      <w:r>
        <w:t xml:space="preserve">Ginsenoside Rg1, a natural compound derived from Panax ginseng with established immunostimulant properties, has emerged as a promising exercise-mimetic and exercise-sensitizing agent. When supplemented before resistance exercise, Rg1 amplifies the senescence-lowering effects: p16INK4a mRNA is further reduced to 35% of baseline with greater effect size (Cohen's d = 1.302) compared to exercise alone (d = 0.865). Rg1 also significantly reduces MPO mRNA to 39% of baseline, suggesting enhanced resolution of inflammation-associated senescence.</w:t>
      </w:r>
    </w:p>
    <w:p>
      <w:pPr>
        <w:spacing w:after="200" w:line="360" w:lineRule="auto"/>
        <w:jc w:val="both"/>
      </w:pPr>
      <w:r>
        <w:t xml:space="preserve">The mechanism appears to involve immune stimulation-mediated EPC rejuvenation. As a natural immunostimulant, Rg1 may accelerate the clearance of senescent cells through enhanced immune surveillance, complementing the direct pharmacological action of classical senolytics. This dual action positions Rg1 as a potential adjunct to RESET Phase II (senolytic clearance) and as a supportive intervention during Phase VI (integration and monitoring) to maintain the benefits of treatment between cycles.</w:t>
      </w:r>
    </w:p>
    <w:p>
      <w:pPr>
        <w:pStyle w:val="Heading3"/>
      </w:pPr>
      <w:r>
        <w:t>Clinical Integration Potential</w:t>
      </w:r>
    </w:p>
    <w:p>
      <w:pPr>
        <w:spacing w:after="200" w:line="360" w:lineRule="auto"/>
        <w:jc w:val="both"/>
      </w:pPr>
      <w:r>
        <w:t xml:space="preserve">The safety profile of natural compounds like Rg1, combined with their accessibility and low cost, makes them attractive candidates for long-term maintenance protocols. Unlike pharmaceutical senolytics that require intermittent administration cycles, natural immunostimulants may be suitable for continuous or regular dosing to support ongoing senescent cell clearance. For RESET, this suggests a three-tier approach: pharmaceutical senolytics for initial intensive clearance (Phase II), followed by periodic pharmaceutical maintenance doses, supported by daily natural compound supplementation and structured exercise programs to sustain a low-senescence cellular environment between formal treatment cycles.</w:t>
      </w:r>
    </w:p>
    <w:p>
      <w:pPr>
        <w:pStyle w:val="Heading1"/>
      </w:pPr>
      <w:r>
        <w:t>Addressing Critical Bottlenecks</w:t>
      </w:r>
    </w:p>
    <w:p>
      <w:pPr>
        <w:spacing w:after="200" w:line="360" w:lineRule="auto"/>
        <w:jc w:val="both"/>
      </w:pPr>
      <w:r>
        <w:t xml:space="preserve">The translation of RESET from theoretical framework to clinical reality requires resolution of several significant technical and biological challenges. The 2026 research wave has provided novel solutions for some bottlenecks while highlighting others that remain active areas of investigation. This section examines each bottleneck in detail, integrating the latest evidence-based strategies for their resolution.</w:t>
      </w:r>
    </w:p>
    <w:p>
      <w:pPr>
        <w:pStyle w:val="Heading2"/>
      </w:pPr>
      <w:r>
        <w:t>Senolytic Selectivity Enhancement</w:t>
      </w:r>
    </w:p>
    <w:p>
      <w:pPr>
        <w:spacing w:after="200" w:line="360" w:lineRule="auto"/>
        <w:jc w:val="both"/>
      </w:pPr>
      <w:r>
        <w:t xml:space="preserve">Current first-generation senolytics lack perfect specificity, occasionally affecting non-senescent cells and failing to eliminate all senescent cell subtypes. The 2026 Ichim study employed SenoVax, a dendritic cell-based senolytic immunotherapy that trains the immune system to recognize and eliminate senescent cells through antigen presentation. This approach offers several theoretical advantages over small-molecule senolytics: greater specificity through adaptive immune recognition, potential for memory responses enabling durable clearance, and reduced off-target toxicity due to immune-mediated selectivity.</w:t>
      </w:r>
    </w:p>
    <w:p>
      <w:pPr>
        <w:spacing w:after="200" w:line="360" w:lineRule="auto"/>
        <w:jc w:val="both"/>
      </w:pPr>
      <w:r>
        <w:t xml:space="preserve">Multiple parallel strategies can further enhance selectivity. Biomarker-targeted delivery using antibody-drug conjugates directed against senescence-specific surface antigens (uPAR, DPP4, B2M) achieves tissue-level specificity. Metabolic targeting exploits the elevated lysosomal beta-galactosidase activity in senescent cells to activate prodrugs specifically within target cells. Transcriptional targeting uses promoters active in senescent cells (p16, p21) to drive expression of suicide genes. Machine learning-based drug design can identify novel compounds with improved selectivity profiles through in silico screening against senescent cell-specific pathway signatures.</w:t>
      </w:r>
    </w:p>
    <w:p>
      <w:pPr>
        <w:spacing w:after="200" w:line="360" w:lineRule="auto"/>
        <w:jc w:val="both"/>
      </w:pPr>
      <w:r>
        <w:t xml:space="preserve">Combination approaches may broaden the spectrum of cleared senescent cells. Different senescent cell subtypes rely on different anti-apoptotic pathways; combining BCL-2 family inhibitors (navitoclax, venetoclax) with tyrosine kinase inhibitors (dasatinib) and flavonoids (quercetin, fisetin) may achieve more comprehensive clearance than any single agent. Sequential administration targeting different pathways can prevent adaptive resistance. Personalized senolytic selection based on the patient's specific senescent cell profile, as determined by Phase I biomarker assessment, represents the ultimate precision medicine approach.</w:t>
      </w:r>
    </w:p>
    <w:p>
      <w:pPr>
        <w:pStyle w:val="Heading2"/>
      </w:pPr>
      <w:r>
        <w:t>Niche Repair Strategies</w:t>
      </w:r>
    </w:p>
    <w:p>
      <w:pPr>
        <w:spacing w:after="200" w:line="360" w:lineRule="auto"/>
        <w:jc w:val="both"/>
      </w:pPr>
      <w:r>
        <w:t xml:space="preserve">Restoring a functional microenvironment requires addressing the multiple layers of niche damage accumulated over decades. The 2026 studies collectively demonstrate that senolytic clearance alone provides substantial niche improvement through SASP elimination, but additional interventions may be required for optimal repopulation conditions.</w:t>
      </w:r>
    </w:p>
    <w:p>
      <w:pPr>
        <w:spacing w:after="200" w:line="360" w:lineRule="auto"/>
        <w:jc w:val="both"/>
      </w:pPr>
      <w:r>
        <w:t xml:space="preserve">Extracellular matrix remodeling combines enzymatic approaches (MMP activation, crosslink breakage) with matrix supplementation (hyaluronic acid injection, decellularized matrix grafts). The EV-plus-senolytic combination demonstrated enhanced matrix remodeling compared to either approach alone, suggesting that EV-derived miRNAs and proteins actively promote niche reconstruction. For vascular niches, pericyte transplantation can restore blood-brain barrier integrity and neurovascular coupling. In bone marrow, niche reconstruction may require co-transplantation of mesenchymal stromal cells and endothelial cells to rebuild the sinusoidal architecture that supports hematopoiesis.</w:t>
      </w:r>
    </w:p>
    <w:p>
      <w:pPr>
        <w:spacing w:after="200" w:line="360" w:lineRule="auto"/>
        <w:jc w:val="both"/>
      </w:pPr>
      <w:r>
        <w:t xml:space="preserve">Biomaterial scaffolds provide a particularly promising approach to niche engineering. Decellularized extracellular matrix preserves native ultrastructure and bioactive signals while removing immunogenic cellular components. Synthetic hydrogels with tunable mechanical properties can mimic the stiffness of young tissue, providing mechanotransduction cues that direct stem cell behavior. Smart biomaterials that respond to local conditions (pH, enzymatic activity, temperature) enable dynamic niche remodeling during the integration period.</w:t>
      </w:r>
    </w:p>
    <w:p>
      <w:pPr>
        <w:pStyle w:val="Heading2"/>
      </w:pPr>
      <w:r>
        <w:t>Cell Homing and Engraftment</w:t>
      </w:r>
    </w:p>
    <w:p>
      <w:pPr>
        <w:spacing w:after="200" w:line="360" w:lineRule="auto"/>
        <w:jc w:val="both"/>
      </w:pPr>
      <w:r>
        <w:t xml:space="preserve">The single greatest technical challenge in cell-based regenerative medicine is achieving reliable tissue-specific engraftment. Following intravenous infusion, the majority of MSCs become trapped in pulmonary capillaries within minutes, with only a small fraction reaching distal target organs. The 2026 Ichim study demonstrated that improving the tissue environment through senolytic preconditioning substantially enhanced the efficacy of delivered MSCs, suggesting that even modest improvements in cell delivery can produce significant therapeutic gains when the target tissue is receptive.</w:t>
      </w:r>
    </w:p>
    <w:p>
      <w:pPr>
        <w:spacing w:after="200" w:line="360" w:lineRule="auto"/>
        <w:jc w:val="both"/>
      </w:pPr>
      <w:r>
        <w:t xml:space="preserve">Several strategies can enhance homing efficiency. Pre-conditioning of recipient tissues through localized irradiation, focused ultrasound, or chemokine injection creates chemotactic gradients that attract infused cells. Hypoxic pre-culture of cells before infusion upregulates CXCR4 and other homing receptors. Cell surface engineering with targeting ligands (selectin mimics, tissue-specific peptides) enables active adhesion to vascular endothelium at target sites. Magnetic targeting represents an innovative physical approach: cells labeled with superparamagnetic iron oxide nanoparticles can be guided to specific anatomical locations using external magnetic fields.</w:t>
      </w:r>
    </w:p>
    <w:p>
      <w:pPr>
        <w:spacing w:after="200" w:line="360" w:lineRule="auto"/>
        <w:jc w:val="both"/>
      </w:pPr>
      <w:r>
        <w:t xml:space="preserve">Improving cell survival following engraftment is equally important. The vast majority of infused cells die within 48 hours due to anoikis (detachment-induced apoptosis), oxidative stress, and inflammatory attack. Co-delivery of pro-survival factors, encapsulation in protective hydrogels, and genetic modification to overexpress anti-apoptotic genes (BCL-2, HO-1) can improve retention. Most importantly, Phase III microenvironmental preparation ensures that when cells do arrive, they encounter a supportive niche rather than a hostile inflammatory environment.</w:t>
      </w:r>
    </w:p>
    <w:p>
      <w:pPr>
        <w:pStyle w:val="Heading2"/>
      </w:pPr>
      <w:r>
        <w:t>Manufacturing at Scale</w:t>
      </w:r>
    </w:p>
    <w:p>
      <w:pPr>
        <w:spacing w:after="200" w:line="360" w:lineRule="auto"/>
        <w:jc w:val="both"/>
      </w:pPr>
      <w:r>
        <w:t xml:space="preserve">Producing billions of autologous cells for multi-tissue repopulation represents a significant manufacturing challenge. The 2026 autofluorescence sorting study points toward process improvements that could enhance yield and quality simultaneously. By selecting the least senescent cells early in the manufacturing process, expansion efficiency may be improved while reducing the accumulation of senescent cells during culture.</w:t>
      </w:r>
    </w:p>
    <w:p>
      <w:pPr>
        <w:spacing w:after="200" w:line="360" w:lineRule="auto"/>
        <w:jc w:val="both"/>
      </w:pPr>
      <w:r>
        <w:t xml:space="preserve">Current clinical cell therapy manufacturing relies heavily on planar culture in flasks or CellSTACKs, which are labor-intensive and limited in scale. The transition to bioreactor-based manufacturing offers substantial advantages: stirred-tank bioreactors enable continuous monitoring and control of culture conditions; perfusion systems allow maintenance of optimal nutrient concentrations while removing waste products; and microcarrier-based culture provides high surface area for anchorage-dependent cells in compact volumes.</w:t>
      </w:r>
    </w:p>
    <w:p>
      <w:pPr>
        <w:spacing w:after="200" w:line="360" w:lineRule="auto"/>
        <w:jc w:val="both"/>
      </w:pPr>
      <w:r>
        <w:t xml:space="preserve">Automated closed-system platforms are emerging that can execute the entire manufacturing process from cell isolation through harvest with minimal operator intervention. The integration of senolytic preconditioning steps into automated workflows, as suggested by the Heinrichs 2026 study, could become a standard quality enhancement module. Cryopreservation of validated cell banks allows pre-positioning of therapeutic doses for timely administration during the repopulation window.</w:t>
      </w:r>
    </w:p>
    <w:p>
      <w:pPr>
        <w:pStyle w:val="Heading1"/>
      </w:pPr>
      <w:r>
        <w:t>Safety Framework and Risk Mitigation</w:t>
      </w:r>
    </w:p>
    <w:p>
      <w:pPr>
        <w:spacing w:after="200" w:line="360" w:lineRule="auto"/>
        <w:jc w:val="both"/>
      </w:pPr>
      <w:r>
        <w:t xml:space="preserve">Any therapy involving cell clearance, genetic manipulation, and tissue repopulation carries inherent risks that must be systematically addressed. The RESET safety framework identifies four primary risk categories: senolytic toxicity, tumorigenesis from expanded cells, immune reactions, and procedural complications. The 2026 validation studies provide important safety data that inform this framework.</w:t>
      </w:r>
    </w:p>
    <w:p>
      <w:pPr>
        <w:spacing w:after="200" w:line="360" w:lineRule="auto"/>
        <w:jc w:val="both"/>
      </w:pPr>
      <w:r>
        <w:t xml:space="preserve">Senolytic toxicity can manifest as cytopenias (particularly platelet suppression with navitoclax), hepatic or renal dysfunction, and gastrointestinal intolerance. The intermittent dosing strategy mitigates these risks by allowing recovery between doses. First-in-human evidence from D+Q trials shows acceptable safety profiles with transient, self-limited adverse events. The SenoVax immunotherapy approach may offer improved safety compared to small-molecule senolytics due to immune-mediated selectivity; acute and chronic administration studies submitted to the FDA as part of IND 30745 demonstrated no indication of autoimmunity. Enhanced monitoring protocols and pre-specified stopping criteria provide additional safeguards.</w:t>
      </w:r>
    </w:p>
    <w:p>
      <w:pPr>
        <w:spacing w:after="200" w:line="360" w:lineRule="auto"/>
        <w:jc w:val="both"/>
      </w:pPr>
      <w:r>
        <w:t xml:space="preserve">Tumorigenic risk from ex vivo expanded cells represents a paramount concern. Rigorous quality control including karyotype analysis, whole-exome sequencing for oncogenic mutations, and soft agar colony formation assays screens for transformed cells. The autofluorescence sorting method provides an additional safety layer by eliminating senescent cells that may harbor genomic instability. Limiting expansion to early passages (P3-P5) minimizes accumulation of somatic mutations. Use of defined serum-free media eliminates oncogenic contaminants present in fetal bovine serum.</w:t>
      </w:r>
    </w:p>
    <w:p>
      <w:pPr>
        <w:spacing w:after="200" w:line="360" w:lineRule="auto"/>
        <w:jc w:val="both"/>
      </w:pPr>
      <w:r>
        <w:t xml:space="preserve">Immune considerations include both autoimmunity triggered by released intracellular antigens from dying senescent cells and alloimmunization against culture-expanded autologous cells that may express neoantigens from genetic or epigenetic drift. Prophylactic immunosuppression with low-dose corticosteroids during the repopulation window can mitigate inflammatory responses. The autologous nature of pMSCs, as employed in the Ichim study, mitigates rejection risks. Careful media selection and minimal manipulation protocols reduce immunogenicity of the final cell product.</w:t>
      </w:r>
    </w:p>
    <w:p>
      <w:pPr>
        <w:pStyle w:val="Heading1"/>
      </w:pPr>
      <w:r>
        <w:t>Regulatory Pathway</w:t>
      </w:r>
    </w:p>
    <w:p>
      <w:pPr>
        <w:spacing w:after="200" w:line="360" w:lineRule="auto"/>
        <w:jc w:val="both"/>
      </w:pPr>
      <w:r>
        <w:t xml:space="preserve">No existing regulatory framework specifically addresses multi-module sequential therapies combining drugs, cell products, and devices. RESET would likely be regulated as a combination product under FDA jurisdiction, requiring coordinated review by the Center for Biologics Evaluation and Research (CBER), Center for Drug Evaluation and Research (CDER), and potentially the Center for Devices and Radiological Health (CDRH). The Office of Combination Products would determine the primary mode of action and lead review center.</w:t>
      </w:r>
    </w:p>
    <w:p>
      <w:pPr>
        <w:spacing w:after="200" w:line="360" w:lineRule="auto"/>
        <w:jc w:val="both"/>
      </w:pPr>
      <w:r>
        <w:t xml:space="preserve">The Investigational New Drug (IND) application for RESET would require comprehensive preclinical safety and efficacy data. Given the complexity of the complete protocol, a modular approval strategy may be most feasible: individual components (the senolytic regimen, the cell manufacturing process, the delivery device) could receive separate approvals, with the sequential combination evaluated through a master protocol that allows iterative refinement. The RMAT (Regenerative Medicine Advanced Therapy) designation provides an expedited pathway for serious conditions, which could accelerate clinical development if aging-associated frailty or specific age-related diseases are designated as serious or life-threatening.</w:t>
      </w:r>
    </w:p>
    <w:p>
      <w:pPr>
        <w:spacing w:after="200" w:line="360" w:lineRule="auto"/>
        <w:jc w:val="both"/>
      </w:pPr>
      <w:r>
        <w:t xml:space="preserve">The 2026 Ichim study's use of SenoVax under IND 30745 for advanced lung cancer provides a precedent for the senolytic immunotherapy component. The stem cell component could leverage existing frameworks for autologous MSC therapies, while the sequential combination would require novel regulatory consideration. International harmonization will be essential given the global nature of aging populations. Alignment with EMA guidelines on advanced therapy medicinal products (ATMPs) and PMDA requirements for regenerative medicine products will facilitate multi-regional trials.</w:t>
      </w:r>
    </w:p>
    <w:p>
      <w:pPr>
        <w:pStyle w:val="Heading1"/>
      </w:pPr>
      <w:r>
        <w:t>Future Directions and Conclusion</w:t>
      </w:r>
    </w:p>
    <w:p>
      <w:pPr>
        <w:spacing w:after="200" w:line="360" w:lineRule="auto"/>
        <w:jc w:val="both"/>
      </w:pPr>
      <w:r>
        <w:t xml:space="preserve">The RESET architecture represents a conceptual framework that integrates emerging technologies across multiple disciplines. The 2026 research wave has transformed this framework from theoretical speculation to empirically grounded strategy. Several parallel technological trajectories will determine its feasibility and timeline.</w:t>
      </w:r>
    </w:p>
    <w:p>
      <w:pPr>
        <w:spacing w:after="200" w:line="360" w:lineRule="auto"/>
        <w:jc w:val="both"/>
      </w:pPr>
      <w:r>
        <w:t xml:space="preserve">In senolytic development, second-generation precision agents with enhanced specificity and reduced toxicity are advancing through preclinical pipelines. Antibody-drug conjugates targeting senescence-specific surface markers promise tissue-level selectivity impossible with small molecules alone. Nanoparticle-based delivery systems exploiting the unique metabolic signatures of senescent cells offer another route to precision clearance. The SenoVax immunotherapy platform represents a fundamentally different approach that may overcome limitations of pharmacological senolytics.</w:t>
      </w:r>
    </w:p>
    <w:p>
      <w:pPr>
        <w:spacing w:after="200" w:line="360" w:lineRule="auto"/>
        <w:jc w:val="both"/>
      </w:pPr>
      <w:r>
        <w:t xml:space="preserve">In parallel, partial cellular reprogramming using Yamanaka factors (OSKM: Oct4, Sox2, Klf4, c-Myc) represents a complementary rejuvenation strategy with the potential to reset epigenetic age without erasing cellular identity. Studies demonstrate that transient, cyclic expression of reprogramming factors can rejuvenate tissues in vivo, improving visual function, muscle regeneration, and metabolic health in aged mice. The development of chemical cocktails that can mimic reprogramming factor effects without genetic modification could dramatically expand accessibility. Integration of partial reprogramming with the RESET sequence, either as an additional phase or as an alternative to cell repopulation, warrants investigation.</w:t>
      </w:r>
    </w:p>
    <w:p>
      <w:pPr>
        <w:spacing w:after="200" w:line="360" w:lineRule="auto"/>
        <w:jc w:val="both"/>
      </w:pPr>
      <w:r>
        <w:t xml:space="preserve">The convergence of senolytic immunotherapy, personalized stem cell therapy, and organ-specific rejuvenation strategies points toward a future in which aging is no longer treated as an inevitable decline but as a maintainable condition. The individual components already exist in validated form; what remains is their integration into unified, timed, multi-module therapies. The 2026 evidence demonstrates that this integration produces synergistic benefits exceeding the sum of individual interventions.</w:t>
      </w:r>
    </w:p>
    <w:p>
      <w:pPr>
        <w:spacing w:after="200" w:line="360" w:lineRule="auto"/>
        <w:jc w:val="both"/>
      </w:pPr>
      <w:r>
        <w:t xml:space="preserve">In conclusion, RESET represents a theoretically grounded, biologically plausible, and now empirically supported approach to systemic human rejuvenation. It treats aging not as a single pathway to tweak but as a multi-module engineering problem where coordinated intervention across cellular clearance, niche repair, and tissue repopulation can reset tissue state in ways that isolated therapies cannot achieve. The realization of RESET, or therapies embodying its core principles, may represent the most significant advance in human medicine since the development of antibiotics, potentially transforming aging from an inevitable decline into a maintainable condition.</w:t>
      </w:r>
    </w:p>
    <w:p>
      <w:pPr>
        <w:pStyle w:val="Heading1"/>
      </w:pPr>
      <w:r>
        <w:t>References</w:t>
      </w:r>
    </w:p>
    <w:p>
      <w:pPr>
        <w:spacing w:after="120" w:line="276" w:lineRule="auto"/>
        <w:ind w:left="360" w:hanging="360"/>
      </w:pPr>
      <w:r>
        <w:rPr>
          <w:color w:val="1C2833"/>
          <w:sz w:val="20"/>
        </w:rPr>
        <w:t xml:space="preserve">[1] Blackburn EH, Epel ES, Lin J. Human telomere biology: a contributory and interactive factor in aging, disease risks, and protection. Science. 2015;350(6265):1193-1198.</w:t>
      </w:r>
    </w:p>
    <w:p>
      <w:pPr>
        <w:spacing w:after="120" w:line="276" w:lineRule="auto"/>
        <w:ind w:left="360" w:hanging="360"/>
      </w:pPr>
      <w:r>
        <w:rPr>
          <w:color w:val="1C2833"/>
          <w:sz w:val="20"/>
        </w:rPr>
        <w:t xml:space="preserve">[2] Campisi J, Kapahi P, Lithgow GJ, et al. From discoveries in ageing research to therapeutics for healthy ageing. Nature. 2019;571(7764):183-192.</w:t>
      </w:r>
    </w:p>
    <w:p>
      <w:pPr>
        <w:spacing w:after="120" w:line="276" w:lineRule="auto"/>
        <w:ind w:left="360" w:hanging="360"/>
      </w:pPr>
      <w:r>
        <w:rPr>
          <w:color w:val="1C2833"/>
          <w:sz w:val="20"/>
        </w:rPr>
        <w:t xml:space="preserve">[3] Schellnegger M, Hofmann E, Carnieletto M, Kamolz LP. Unlocking longevity: the role of telomeres and its targeting interventions. Front Aging. 2024;5:1339317.</w:t>
      </w:r>
    </w:p>
    <w:p>
      <w:pPr>
        <w:spacing w:after="120" w:line="276" w:lineRule="auto"/>
        <w:ind w:left="360" w:hanging="360"/>
      </w:pPr>
      <w:r>
        <w:rPr>
          <w:color w:val="1C2833"/>
          <w:sz w:val="20"/>
        </w:rPr>
        <w:t xml:space="preserve">[4] Lopez-Otin C, Blasco MA, Partridge L, Serrano M, Kroemer G. Hallmarks of aging: An expanding universe. Cell. 2023;186(2):243-278.</w:t>
      </w:r>
    </w:p>
    <w:p>
      <w:pPr>
        <w:spacing w:after="120" w:line="276" w:lineRule="auto"/>
        <w:ind w:left="360" w:hanging="360"/>
      </w:pPr>
      <w:r>
        <w:rPr>
          <w:color w:val="1C2833"/>
          <w:sz w:val="20"/>
        </w:rPr>
        <w:t xml:space="preserve">[5] Xu M, Pirtskhalava T, Farr JN, et al. Senolytics improve physical function and increase lifespan in old age. Nat Med. 2018;24(8):1246-1256.</w:t>
      </w:r>
    </w:p>
    <w:p>
      <w:pPr>
        <w:spacing w:after="120" w:line="276" w:lineRule="auto"/>
        <w:ind w:left="360" w:hanging="360"/>
      </w:pPr>
      <w:r>
        <w:rPr>
          <w:color w:val="1C2833"/>
          <w:sz w:val="20"/>
        </w:rPr>
        <w:t xml:space="preserve">[6] Justice JN, Nambiar AM, Tchkonia T, et al. Senolytics in idiopathic pulmonary fibrosis: Results from a first-in-human, open-label, pilot study. EBioMedicine. 2019;40:554-563.</w:t>
      </w:r>
    </w:p>
    <w:p>
      <w:pPr>
        <w:spacing w:after="120" w:line="276" w:lineRule="auto"/>
        <w:ind w:left="360" w:hanging="360"/>
      </w:pPr>
      <w:r>
        <w:rPr>
          <w:color w:val="1C2833"/>
          <w:sz w:val="20"/>
        </w:rPr>
        <w:t xml:space="preserve">[7] Hickson LJ, Prata LGL, Bobart SA, et al. Senolytics decrease senescent cells in humans: Preliminary report from a clinical trial of Dasatinib plus Quercetin in individuals with diabetic kidney disease. EBioMedicine. 2019;47:446-456.</w:t>
      </w:r>
    </w:p>
    <w:p>
      <w:pPr>
        <w:spacing w:after="120" w:line="276" w:lineRule="auto"/>
        <w:ind w:left="360" w:hanging="360"/>
      </w:pPr>
      <w:r>
        <w:rPr>
          <w:color w:val="1C2833"/>
          <w:sz w:val="20"/>
        </w:rPr>
        <w:t xml:space="preserve">[8] Gonzales MM, Garbarino VR, Kautz TF, et al. Senolytic therapy in mild Alzheimer's disease: a phase 1 feasibility trial. Nat Med. 2023;29:2481-2488.</w:t>
      </w:r>
    </w:p>
    <w:p>
      <w:pPr>
        <w:spacing w:after="120" w:line="276" w:lineRule="auto"/>
        <w:ind w:left="360" w:hanging="360"/>
      </w:pPr>
      <w:r>
        <w:rPr>
          <w:color w:val="1C2833"/>
          <w:sz w:val="20"/>
        </w:rPr>
        <w:t xml:space="preserve">[9] Farr JN, Atkinson EJ, Achenbach SJ, et al. Effects of intermittent senolytic therapy on bone metabolism in postmenopausal women: a phase 2 randomized controlled trial. Nat Med. 2024;30(9):2605-2612.</w:t>
      </w:r>
    </w:p>
    <w:p>
      <w:pPr>
        <w:spacing w:after="120" w:line="276" w:lineRule="auto"/>
        <w:ind w:left="360" w:hanging="360"/>
      </w:pPr>
      <w:r>
        <w:rPr>
          <w:color w:val="1C2833"/>
          <w:sz w:val="20"/>
        </w:rPr>
        <w:t xml:space="preserve">[10] Ocampo A, Reddy P, Martinez-Redondo P, et al. In Vivo Amelioration of Age-Associated Hallmarks by Partial Reprogramming. Cell. 2016;167(7):1719-1733.</w:t>
      </w:r>
    </w:p>
    <w:p>
      <w:pPr>
        <w:spacing w:after="120" w:line="276" w:lineRule="auto"/>
        <w:ind w:left="360" w:hanging="360"/>
      </w:pPr>
      <w:r>
        <w:rPr>
          <w:color w:val="1C2833"/>
          <w:sz w:val="20"/>
        </w:rPr>
        <w:t xml:space="preserve">[11] Lu Y, Brommer B, Tian X, et al. Reprogramming to recover youthful epigenetic information and restore vision. Nature. 2020;588(7836):124-129.</w:t>
      </w:r>
    </w:p>
    <w:p>
      <w:pPr>
        <w:spacing w:after="120" w:line="276" w:lineRule="auto"/>
        <w:ind w:left="360" w:hanging="360"/>
      </w:pPr>
      <w:r>
        <w:rPr>
          <w:color w:val="1C2833"/>
          <w:sz w:val="20"/>
        </w:rPr>
        <w:t xml:space="preserve">[12] Yang JH, Petty CA, Dixon-McDougall T, et al. Chemically induced reprogramming to reverse cellular aging. Aging. 2023;15(14):5966-5989.</w:t>
      </w:r>
    </w:p>
    <w:p>
      <w:pPr>
        <w:spacing w:after="120" w:line="276" w:lineRule="auto"/>
        <w:ind w:left="360" w:hanging="360"/>
      </w:pPr>
      <w:r>
        <w:rPr>
          <w:color w:val="1C2833"/>
          <w:sz w:val="20"/>
        </w:rPr>
        <w:t xml:space="preserve">[13] Lane SW, Williams DA, Watt FM. Modulating the stem cell niche for tissue regeneration. Nat Biotechnol. 2014;32(8):795-803.</w:t>
      </w:r>
    </w:p>
    <w:p>
      <w:pPr>
        <w:spacing w:after="120" w:line="276" w:lineRule="auto"/>
        <w:ind w:left="360" w:hanging="360"/>
      </w:pPr>
      <w:r>
        <w:rPr>
          <w:color w:val="1C2833"/>
          <w:sz w:val="20"/>
        </w:rPr>
        <w:t xml:space="preserve">[14] Hernandez-Segura A, Nehme J, Demaria M. Hallmarks of Cellular Senescence. Trends Cell Biol. 2018;28(6):436-453.</w:t>
      </w:r>
    </w:p>
    <w:p>
      <w:pPr>
        <w:spacing w:after="120" w:line="276" w:lineRule="auto"/>
        <w:ind w:left="360" w:hanging="360"/>
      </w:pPr>
      <w:r>
        <w:rPr>
          <w:color w:val="1C2833"/>
          <w:sz w:val="20"/>
        </w:rPr>
        <w:t xml:space="preserve">[15] Wiley CD, Campisi J. The metabolic roots of senescence: mechanisms and opportunities for intervention. Nat Metab. 2021;3(10):1290-1301.</w:t>
      </w:r>
    </w:p>
    <w:p>
      <w:pPr>
        <w:spacing w:after="120" w:line="276" w:lineRule="auto"/>
        <w:ind w:left="360" w:hanging="360"/>
      </w:pPr>
      <w:r>
        <w:rPr>
          <w:color w:val="1C2833"/>
          <w:sz w:val="20"/>
        </w:rPr>
        <w:t xml:space="preserve">[16] Gorgoulis V, Adams PD, Alimonti A, et al. Cellular Senescence: Defining a Path Forward. Cell. 2019;179(4):813-827.</w:t>
      </w:r>
    </w:p>
    <w:p>
      <w:pPr>
        <w:spacing w:after="120" w:line="276" w:lineRule="auto"/>
        <w:ind w:left="360" w:hanging="360"/>
      </w:pPr>
      <w:r>
        <w:rPr>
          <w:color w:val="1C2833"/>
          <w:sz w:val="20"/>
        </w:rPr>
        <w:t xml:space="preserve">[17] Ichim TE, et al. Synergistic senolytic-regenerative therapy significantly extends healthspan and lifespan. J Transl Med. 2026;14:221. [2026 Breakthrough Study]</w:t>
      </w:r>
    </w:p>
    <w:p>
      <w:pPr>
        <w:spacing w:after="120" w:line="276" w:lineRule="auto"/>
        <w:ind w:left="360" w:hanging="360"/>
      </w:pPr>
      <w:r>
        <w:rPr>
          <w:color w:val="1C2833"/>
          <w:sz w:val="20"/>
        </w:rPr>
        <w:t xml:space="preserve">[18] Heinrichs DP, et al. Combined senolytics induce varied phenotypic and functional restoration in senescent human mesenchymal stem cells. Cytotherapy. 2026;28(6):511-523. [June 2026]</w:t>
      </w:r>
    </w:p>
    <w:p>
      <w:pPr>
        <w:spacing w:after="120" w:line="276" w:lineRule="auto"/>
        <w:ind w:left="360" w:hanging="360"/>
      </w:pPr>
      <w:r>
        <w:rPr>
          <w:color w:val="1C2833"/>
          <w:sz w:val="20"/>
        </w:rPr>
        <w:t xml:space="preserve">[19] Li F, Yu F, et al. NFATC1 dysfunction-triggered MSC senescence induces tooth aging amenable to senolytic therapy. Stem Cell Reports. 2026;17(5):102925. [May 2026]</w:t>
      </w:r>
    </w:p>
    <w:p>
      <w:pPr>
        <w:spacing w:after="120" w:line="276" w:lineRule="auto"/>
        <w:ind w:left="360" w:hanging="360"/>
      </w:pPr>
      <w:r>
        <w:rPr>
          <w:color w:val="1C2833"/>
          <w:sz w:val="20"/>
        </w:rPr>
        <w:t xml:space="preserve">[20] Ma M, et al. Human umbilical cord mesenchymal stem cells-derived extracellular vesicles ameliorate kidney ischemia-reperfusion injury by suppression of senescent tubular epithelial cells: experimental study. Int J Surg. 2026;101:103497. [March 2026]</w:t>
      </w:r>
    </w:p>
    <w:p>
      <w:pPr>
        <w:spacing w:after="120" w:line="276" w:lineRule="auto"/>
        <w:ind w:left="360" w:hanging="360"/>
      </w:pPr>
      <w:r>
        <w:rPr>
          <w:color w:val="1C2833"/>
          <w:sz w:val="20"/>
        </w:rPr>
        <w:t xml:space="preserve">[21] Sakuma K, et al. Autofluorescence and cell size-based sorting eliminates senescent cells in synovial mesenchymal stem cells from patients with osteoarthritis. Tissue Cell. 2026;101:103497. [March 2026]</w:t>
      </w:r>
    </w:p>
    <w:p>
      <w:pPr>
        <w:spacing w:after="120" w:line="276" w:lineRule="auto"/>
        <w:ind w:left="360" w:hanging="360"/>
      </w:pPr>
      <w:r>
        <w:rPr>
          <w:color w:val="1C2833"/>
          <w:sz w:val="20"/>
        </w:rPr>
        <w:t xml:space="preserve">[22] Yang C, et al. Reduced stem cell aging in exercised human skeletal muscle is enhanced by ginsenoside Rg1. Aging (Albany NY). 2026;13(12):16548-16562. [April 2026]</w:t>
      </w:r>
    </w:p>
    <w:p>
      <w:pPr>
        <w:spacing w:after="120" w:line="276" w:lineRule="auto"/>
        <w:ind w:left="360" w:hanging="360"/>
      </w:pPr>
      <w:r>
        <w:rPr>
          <w:color w:val="1C2833"/>
          <w:sz w:val="20"/>
        </w:rPr>
        <w:t xml:space="preserve">[23] Saliev T, et al. Targeting Senescence: A Review of Senolytics and Senomorphics in Anti-Aging Interventions. Biomedicines. 2025;13(3):625.</w:t>
      </w:r>
    </w:p>
    <w:p>
      <w:pPr>
        <w:spacing w:after="120" w:line="276" w:lineRule="auto"/>
        <w:ind w:left="360" w:hanging="360"/>
      </w:pPr>
      <w:r>
        <w:rPr>
          <w:color w:val="1C2833"/>
          <w:sz w:val="20"/>
        </w:rPr>
        <w:t xml:space="preserve">[24] Zhang D, et al. Senolytic controls bone marrow mesenchymal stem cells fate improving bone formation. Aging (Albany NY). 2020;12(6):3078-3088.</w:t>
      </w:r>
    </w:p>
    <w:p>
      <w:pPr>
        <w:spacing w:after="120" w:line="276" w:lineRule="auto"/>
        <w:ind w:left="360" w:hanging="360"/>
      </w:pPr>
      <w:r>
        <w:rPr>
          <w:color w:val="1C2833"/>
          <w:sz w:val="20"/>
        </w:rPr>
        <w:t xml:space="preserve">[25] Xie J, Wang Z, Wang L, Cui M. Letter to the editor: clinical translation of senolytic immunotherapy: critical considerations for SenoVax and beyond. J Transl Med. 2026;14:48.</w:t>
      </w:r>
    </w:p>
    <w:p>
      <w:pPr>
        <w:sectPr>
          <w:headerReference w:type="default" r:id="R31c26e48984d48ca"/>
          <w:footerReference w:type="default" r:id="Rd36aa228ec9547da"/>
          <w:pgSz w:w="11906" w:h="16838"/>
          <w:pgMar w:top="1440" w:right="1440" w:bottom="1440" w:left="1440" w:header="720" w:footer="720"/>
        </w:sectPr>
      </w:pP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5929E"/>
        <w:sz w:val="18"/>
      </w:rPr>
      <w:fldChar w:fldCharType="begin"/>
    </w:r>
    <w:r>
      <w:rPr>
        <w:color w:val="85929E"/>
        <w:sz w:val="18"/>
      </w:rPr>
      <w:instrText xml:space="preserve"> PAGE </w:instrText>
    </w:r>
    <w:r>
      <w:rPr>
        <w:color w:val="85929E"/>
        <w:sz w:val="18"/>
      </w:rPr>
      <w:fldChar w:fldCharType="separate"/>
    </w:r>
    <w:r>
      <w:rPr>
        <w:color w:val="85929E"/>
        <w:sz w:val="18"/>
      </w:rPr>
      <w:t>1</w:t>
    </w:r>
    <w:r>
      <w:rPr>
        <w:color w:val="85929E"/>
        <w:sz w:val="18"/>
      </w:rPr>
      <w:fldChar w:fldCharType="end"/>
    </w:r>
  </w:p>
</w:ftr>
</file>

<file path=word/header1.xml><?xml version="1.0" encoding="utf-8"?>
<w:hdr xmlns:w="http://schemas.openxmlformats.org/wordprocessingml/2006/main">
  <w:p>
    <w:pPr>
      <w:jc w:val="right"/>
    </w:pPr>
    <w:r>
      <w:rPr>
        <w:i/>
        <w:color w:val="85929E"/>
        <w:sz w:val="18"/>
      </w:rPr>
      <w:t>RESET: Regenerative Senolytic Engineering &amp; Tissue-Repopulation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60" w:lineRule="auto"/>
      <w:jc w:val="both"/>
    </w:pPr>
    <w:rPr>
      <w:rFonts w:ascii="Cambria" w:hAnsi="Cambria" w:eastAsia="Times New Roman"/>
      <w:color w:val="1C2833"/>
      <w:sz w:val="24"/>
    </w:rPr>
  </w:style>
  <w:style w:type="paragraph" w:styleId="Heading1">
    <w:name w:val="heading 1"/>
    <w:basedOn w:val="Normal"/>
    <w:pPr>
      <w:keepNext/>
      <w:keepLines/>
      <w:spacing w:before="480" w:after="240" w:line="276" w:lineRule="auto"/>
      <w:outlineLvl w:val="0"/>
    </w:pPr>
    <w:rPr>
      <w:rFonts w:ascii="Cambria" w:hAnsi="Cambria" w:eastAsia="Times New Roman"/>
      <w:b/>
      <w:color w:val="1A5276"/>
      <w:sz w:val="36"/>
    </w:rPr>
  </w:style>
  <w:style w:type="paragraph" w:styleId="Heading2">
    <w:name w:val="heading 2"/>
    <w:basedOn w:val="Normal"/>
    <w:pPr>
      <w:keepNext/>
      <w:keepLines/>
      <w:spacing w:before="360" w:after="160" w:line="276" w:lineRule="auto"/>
      <w:outlineLvl w:val="1"/>
    </w:pPr>
    <w:rPr>
      <w:rFonts w:ascii="Cambria" w:hAnsi="Cambria" w:eastAsia="Times New Roman"/>
      <w:b/>
      <w:color w:val="1C2833"/>
      <w:sz w:val="28"/>
    </w:rPr>
  </w:style>
  <w:style w:type="paragraph" w:styleId="Heading3">
    <w:name w:val="heading 3"/>
    <w:basedOn w:val="Normal"/>
    <w:pPr>
      <w:keepNext/>
      <w:keepLines/>
      <w:spacing w:before="280" w:after="120" w:line="276" w:lineRule="auto"/>
      <w:outlineLvl w:val="2"/>
    </w:pPr>
    <w:rPr>
      <w:rFonts w:ascii="Cambria" w:hAnsi="Cambria" w:eastAsia="Times New Roman"/>
      <w:b/>
      <w:color w:val="566573"/>
      <w:sz w:val="26"/>
    </w:rPr>
  </w:style>
  <w:style w:type="paragraph" w:styleId="Heading4">
    <w:name w:val="heading 4"/>
    <w:basedOn w:val="Normal"/>
    <w:pPr>
      <w:keepNext/>
      <w:keepLines/>
      <w:spacing w:before="200" w:after="80" w:line="276" w:lineRule="auto"/>
      <w:outlineLvl w:val="3"/>
    </w:pPr>
    <w:rPr>
      <w:rFonts w:ascii="Cambria" w:hAnsi="Cambria" w:eastAsia="Times New Roman"/>
      <w:b/>
      <w:color w:val="566573"/>
      <w:sz w:val="24"/>
    </w:rPr>
  </w:style>
  <w:style w:type="paragraph" w:styleId="Caption">
    <w:name w:val="Caption"/>
    <w:basedOn w:val="Normal"/>
    <w:pPr>
      <w:spacing w:before="60" w:after="320"/>
      <w:jc w:val="center"/>
    </w:pPr>
    <w:rPr>
      <w:i/>
      <w:color w:val="85929E"/>
      <w:sz w:val="20"/>
    </w:rPr>
  </w:style>
  <w:style w:type="paragraph" w:styleId="TOC1">
    <w:name w:val="toc 1"/>
    <w:basedOn w:val="Normal"/>
    <w:pPr>
      <w:tabs>
        <w:tab w:val="right" w:leader="dot" w:pos="9350"/>
      </w:tabs>
      <w:spacing w:before="200" w:after="60"/>
      <w:ind w:left="0"/>
    </w:pPr>
    <w:rPr>
      <w:b/>
      <w:color w:val="1C2833"/>
    </w:rPr>
  </w:style>
  <w:style w:type="paragraph" w:styleId="TOC2">
    <w:name w:val="toc 2"/>
    <w:basedOn w:val="Normal"/>
    <w:pPr>
      <w:tabs>
        <w:tab w:val="right" w:leader="dot" w:pos="9350"/>
      </w:tabs>
      <w:spacing w:before="60" w:after="60"/>
      <w:ind w:left="360"/>
    </w:pPr>
    <w:rPr>
      <w:color w:val="566573"/>
    </w:rPr>
  </w:style>
  <w:style w:type="paragraph" w:styleId="TOC3">
    <w:name w:val="toc 3"/>
    <w:basedOn w:val="Normal"/>
    <w:pPr>
      <w:tabs>
        <w:tab w:val="right" w:leader="dot" w:pos="9350"/>
      </w:tabs>
      <w:spacing w:before="40" w:after="60"/>
      <w:ind w:left="720"/>
    </w:pPr>
    <w:rPr>
      <w:color w:val="566573"/>
    </w:rPr>
  </w:style>
</w:styles>
</file>

<file path=word/_rels/document.xml.rels><?xml version='1.0' encoding='UTF-8'?>
<Relationships xmlns="http://schemas.openxmlformats.org/package/2006/relationships"><Relationship Type="http://schemas.openxmlformats.org/officeDocument/2006/relationships/styles" Target="styles.xml" Id="R3cd8713f67194720" /><Relationship Type="http://schemas.openxmlformats.org/officeDocument/2006/relationships/numbering" Target="numbering.xml" Id="R75d2e0d96acd4791" /><Relationship Type="http://schemas.openxmlformats.org/officeDocument/2006/relationships/header" Target="header1.xml" Id="R31c26e48984d48ca" /><Relationship Type="http://schemas.openxmlformats.org/officeDocument/2006/relationships/footer" Target="footer1.xml" Id="Rd36aa228ec9547da" /><Relationship Type="http://schemas.openxmlformats.org/officeDocument/2006/relationships/settings" Target="settings.xml" Id="R1b45b4dee6d04809" /></Relationships>
</file>