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67e6a3e159514ca5"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fc7d6e5d0d5f4026"/>
                    <a:stretch>
                      <a:fillRect/>
                    </a:stretch>
                  </pic:blipFill>
                  <pic:spPr>
                    <a:xfrm>
                      <a:off x="0" y="0"/>
                      <a:ext cx="7560000" cy="10692000"/>
                    </a:xfrm>
                    <a:prstGeom prst="rect"/>
                  </pic:spPr>
                </pic:pic>
              </a:graphicData>
            </a:graphic>
          </wp:anchor>
        </w:drawing>
      </w:r>
    </w:p>
    <w:p>
      <w:pPr>
        <w:pStyle w:val="Normal"/>
        <w:spacing w:before="4800"/>
      </w:pPr>
    </w:p>
    <w:p>
      <w:pPr>
        <w:pStyle w:val="Normal"/>
        <w:spacing w:after="200"/>
        <w:ind w:left="1000" w:right="1000"/>
        <w:jc w:val="left"/>
      </w:pPr>
      <w:r>
        <w:rPr>
          <w:b/>
          <w:color w:val="3D5A80"/>
          <w:sz w:val="80"/>
          <w:rFonts w:ascii="Calibri" w:hAnsi="Calibri" w:eastAsia="Microsoft YaHei" w:cs="Calibri"/>
          <w:szCs w:val="80"/>
          <w:spacing w:val="30"/>
        </w:rPr>
        <w:t>The Arctic Horizon</w:t>
      </w:r>
    </w:p>
    <w:p>
      <w:pPr>
        <w:pStyle w:val="Normal"/>
        <w:spacing w:after="600"/>
        <w:ind w:left="1000" w:right="1000"/>
        <w:jc w:val="left"/>
      </w:pPr>
      <w:r>
        <w:rPr>
          <w:color w:val="5C7A99"/>
          <w:sz w:val="44"/>
          <w:rFonts w:ascii="Calibri" w:hAnsi="Calibri" w:eastAsia="Microsoft YaHei" w:cs="Calibri"/>
          <w:szCs w:val="44"/>
          <w:spacing w:val="20"/>
        </w:rPr>
        <w:t>Program Overview</w:t>
      </w:r>
    </w:p>
    <w:p>
      <w:pPr>
        <w:pStyle w:val="Normal"/>
        <w:spacing w:after="200"/>
        <w:ind w:left="1000" w:right="1000"/>
        <w:jc w:val="left"/>
      </w:pPr>
      <w:r>
        <w:rPr>
          <w:color w:val="4A5568"/>
          <w:sz w:val="24"/>
          <w:rFonts w:ascii="Calibri" w:hAnsi="Calibri" w:eastAsia="Microsoft YaHei" w:cs="Calibri"/>
          <w:szCs w:val="24"/>
        </w:rPr>
        <w:t>Canadian Manned-Unmanned Combat Air System</w:t>
      </w:r>
    </w:p>
    <w:p>
      <w:pPr>
        <w:pStyle w:val="Normal"/>
        <w:spacing w:after="3000"/>
        <w:ind w:left="1000"/>
        <w:jc w:val="left"/>
      </w:pPr>
      <w:r>
        <w:rPr>
          <w:color w:val="8B9DAF"/>
          <w:sz w:val="20"/>
          <w:rFonts w:ascii="Calibri" w:hAnsi="Calibri" w:eastAsia="Microsoft YaHei" w:cs="Calibri"/>
          <w:szCs w:val="20"/>
        </w:rPr>
        <w:t xml:space="preserve">Saab JAS 39 Gripen E (Arctic)  |  Sprinter Tactical UAV  |  Striker Loyal Wingman</w:t>
      </w:r>
    </w:p>
    <w:p>
      <w:pPr>
        <w:pStyle w:val="Normal"/>
        <w:spacing w:after="100"/>
        <w:ind w:left="1000"/>
        <w:jc w:val="left"/>
      </w:pPr>
      <w:r>
        <w:rPr>
          <w:color w:val="8B9DAF"/>
          <w:sz w:val="18"/>
          <w:rFonts w:ascii="Calibri" w:hAnsi="Calibri" w:eastAsia="Microsoft YaHei" w:cs="Calibri"/>
          <w:szCs w:val="18"/>
        </w:rPr>
        <w:t xml:space="preserve">June 2026  |  Document Compilation</w:t>
      </w:r>
    </w:p>
    <w:p>
      <w:pPr>
        <w:pStyle w:val="Normal"/>
        <w:ind w:left="1000"/>
      </w:pPr>
      <w:r>
        <w:rPr>
          <w:color w:val="8B9DAF"/>
          <w:sz w:val="16"/>
          <w:rFonts w:ascii="Calibri" w:hAnsi="Calibri" w:eastAsia="Microsoft YaHei" w:cs="Calibri"/>
          <w:szCs w:val="16"/>
        </w:rPr>
        <w:t>Canadian Unmanned Combat Air System Program Office</w:t>
      </w:r>
    </w:p>
    <w:p>
      <w:pPr>
        <w:pStyle w:val="Normal"/>
        <w:sectPr>
          <w:type w:val="nextPage"/>
          <w:pgSz w:w="11906" w:h="16838"/>
          <w:pgMar w:top="0" w:right="0" w:bottom="0" w:left="0" w:header="0" w:footer="0"/>
          <w:titlePg/>
        </w:sectPr>
      </w:pPr>
    </w:p>
    <w:p>
      <w:pPr>
        <w:pStyle w:val="Normal"/>
        <w:spacing w:before="200"/>
      </w:pPr>
    </w:p>
    <w:p>
      <w:pPr>
        <w:pStyle w:val="Normal"/>
        <w:spacing w:before="120" w:after="60"/>
        <w:jc w:val="center"/>
      </w:pPr>
      <w:r>
        <w:rPr>
          <w:b/>
          <w:color w:val="3D5A80"/>
          <w:sz w:val="24"/>
          <w:rFonts w:ascii="Calibri" w:hAnsi="Calibri" w:eastAsia="Microsoft YaHei" w:cs="Calibri"/>
          <w:szCs w:val="24"/>
        </w:rPr>
        <w:t>Scenario 1B Configuration</w:t>
      </w:r>
    </w:p>
    <w:p>
      <w:pPr>
        <w:pStyle w:val="Normal"/>
        <w:spacing w:after="60"/>
        <w:jc w:val="center"/>
      </w:pPr>
      <w:r>
        <w:rPr>
          <w:color w:val="4A5568"/>
          <w:sz w:val="20"/>
          <w:rFonts w:ascii="Calibri" w:hAnsi="Calibri" w:eastAsia="Microsoft YaHei" w:cs="Calibri"/>
          <w:szCs w:val="20"/>
        </w:rPr>
        <w:t>This document reflects the operational parameters validated through War-Gaming Scenario 1B.</w:t>
      </w:r>
    </w:p>
    <w:p>
      <w:pPr>
        <w:pStyle w:val="Normal"/>
        <w:spacing w:after="120"/>
        <w:jc w:val="center"/>
      </w:pPr>
      <w:r>
        <w:rPr>
          <w:color w:val="4A5568"/>
          <w:sz w:val="20"/>
          <w:rFonts w:ascii="Calibri" w:hAnsi="Calibri" w:eastAsia="Microsoft YaHei" w:cs="Calibri"/>
          <w:szCs w:val="20"/>
        </w:rPr>
        <w:t>It supersedes all prior force structure assumptions.</w:t>
      </w:r>
    </w:p>
    <w:p>
      <w:pPr>
        <w:pStyle w:val="Normal"/>
        <w:sectPr>
          <w:type w:val="nextPage"/>
          <w:pgSz w:w="11906" w:h="16838"/>
          <w:pgMar w:top="1440" w:right="1440" w:bottom="1440" w:left="1440" w:header="720" w:footer="720"/>
        </w:sectPr>
      </w:pPr>
    </w:p>
    <w:p>
      <w:pPr>
        <w:pStyle w:val="Heading1"/>
      </w:pPr>
      <w:bookmarkStart w:name="_TocMaster" w:id="1"/>
      <w:r>
        <w:rPr>
          <w:rFonts w:ascii="Calibri" w:hAnsi="Calibri" w:eastAsia="Microsoft YaHei" w:cs="Calibri"/>
          <w:b/>
          <w:color w:val="3D5A80"/>
          <w:sz w:val="40"/>
          <w:szCs w:val="40"/>
        </w:rPr>
        <w:t>Table of Contents</w:t>
      </w:r>
      <w:bookmarkEnd w:id="1"/>
    </w:p>
    <w:p>
      <w:pPr>
        <w:pStyle w:val="Normal"/>
        <w:spacing w:after="200"/>
      </w:pPr>
      <w:r>
        <w:rPr>
          <w:color w:val="8B9DAF"/>
          <w:sz w:val="18"/>
          <w:rFonts w:ascii="Calibri" w:hAnsi="Calibri" w:eastAsia="Microsoft YaHei" w:cs="Calibri"/>
          <w:szCs w:val="18"/>
        </w:rPr>
        <w:t>Right-click the TOC and select "Update Field" to refresh page numbers</w:t>
      </w:r>
    </w:p>
    <w:p>
      <w:pPr>
        <w:pStyle w:val="Normal"/>
      </w:pPr>
      <w:r>
        <w:fldChar w:fldCharType="begin"/>
      </w:r>
      <w:r>
        <w:instrText xml:space="preserve"> TOC \o "1-3" \h \z \u </w:instrText>
      </w:r>
      <w:r>
        <w:fldChar w:fldCharType="separate"/>
      </w:r>
    </w:p>
    <w:p>
      <w:pPr>
        <w:pStyle w:val="TOC1"/>
      </w:pPr>
      <w:r>
        <w:rPr>
          <w:rFonts w:ascii="Calibri" w:hAnsi="Calibri" w:eastAsia="Microsoft YaHei" w:cs="Calibri"/>
          <w:sz w:val="22"/>
          <w:b/>
          <w:color w:val="1D2D3D"/>
          <w:szCs w:val="22"/>
        </w:rPr>
        <w:t>Document 1: Conceptual Proposal</w:t>
      </w:r>
      <w:r>
        <w:rPr>
          <w:rFonts w:ascii="Calibri" w:hAnsi="Calibri" w:eastAsia="Microsoft YaHei"/>
          <w:sz w:val="22"/>
          <w:b/>
          <w:color w:val="1D2D3D"/>
        </w:rPr>
        <w:tab/>
      </w:r>
      <w:r>
        <w:rPr>
          <w:rFonts w:ascii="Calibri" w:hAnsi="Calibri" w:eastAsia="Microsoft YaHei" w:cs="Calibri"/>
          <w:sz w:val="22"/>
          <w:b/>
          <w:color w:val="1D2D3D"/>
          <w:szCs w:val="22"/>
        </w:rPr>
        <w:t>3</w:t>
      </w:r>
    </w:p>
    <w:p>
      <w:pPr>
        <w:pStyle w:val="TOC1"/>
      </w:pPr>
      <w:r>
        <w:rPr>
          <w:rFonts w:ascii="Calibri" w:hAnsi="Calibri" w:eastAsia="Microsoft YaHei" w:cs="Calibri"/>
          <w:sz w:val="22"/>
          <w:b/>
          <w:color w:val="1D2D3D"/>
          <w:szCs w:val="22"/>
        </w:rPr>
        <w:t>Document 2: Arctic Gripen Augmentation</w:t>
      </w:r>
      <w:r>
        <w:rPr>
          <w:rFonts w:ascii="Calibri" w:hAnsi="Calibri" w:eastAsia="Microsoft YaHei"/>
          <w:sz w:val="22"/>
          <w:b/>
          <w:color w:val="1D2D3D"/>
        </w:rPr>
        <w:tab/>
      </w:r>
      <w:r>
        <w:rPr>
          <w:rFonts w:ascii="Calibri" w:hAnsi="Calibri" w:eastAsia="Microsoft YaHei" w:cs="Calibri"/>
          <w:sz w:val="22"/>
          <w:b/>
          <w:color w:val="1D2D3D"/>
          <w:szCs w:val="22"/>
        </w:rPr>
        <w:t>15</w:t>
      </w:r>
    </w:p>
    <w:p>
      <w:pPr>
        <w:pStyle w:val="TOC1"/>
      </w:pPr>
      <w:r>
        <w:rPr>
          <w:rFonts w:ascii="Calibri" w:hAnsi="Calibri" w:eastAsia="Microsoft YaHei" w:cs="Calibri"/>
          <w:sz w:val="22"/>
          <w:b/>
          <w:color w:val="1D2D3D"/>
          <w:szCs w:val="22"/>
        </w:rPr>
        <w:t>Document 3: Sprinter &amp; Striker Technical Specifications</w:t>
      </w:r>
      <w:r>
        <w:rPr>
          <w:rFonts w:ascii="Calibri" w:hAnsi="Calibri" w:eastAsia="Microsoft YaHei"/>
          <w:sz w:val="22"/>
          <w:b/>
          <w:color w:val="1D2D3D"/>
        </w:rPr>
        <w:tab/>
      </w:r>
      <w:r>
        <w:rPr>
          <w:rFonts w:ascii="Calibri" w:hAnsi="Calibri" w:eastAsia="Microsoft YaHei" w:cs="Calibri"/>
          <w:sz w:val="22"/>
          <w:b/>
          <w:color w:val="1D2D3D"/>
          <w:szCs w:val="22"/>
        </w:rPr>
        <w:t>25</w:t>
      </w:r>
    </w:p>
    <w:p>
      <w:pPr>
        <w:pStyle w:val="TOC1"/>
      </w:pPr>
      <w:r>
        <w:rPr>
          <w:rFonts w:ascii="Calibri" w:hAnsi="Calibri" w:eastAsia="Microsoft YaHei" w:cs="Calibri"/>
          <w:sz w:val="22"/>
          <w:b/>
          <w:color w:val="1D2D3D"/>
          <w:szCs w:val="22"/>
        </w:rPr>
        <w:t>Document 4: Sprinter Procurement Package</w:t>
      </w:r>
      <w:r>
        <w:rPr>
          <w:rFonts w:ascii="Calibri" w:hAnsi="Calibri" w:eastAsia="Microsoft YaHei"/>
          <w:sz w:val="22"/>
          <w:b/>
          <w:color w:val="1D2D3D"/>
        </w:rPr>
        <w:tab/>
      </w:r>
      <w:r>
        <w:rPr>
          <w:rFonts w:ascii="Calibri" w:hAnsi="Calibri" w:eastAsia="Microsoft YaHei" w:cs="Calibri"/>
          <w:sz w:val="22"/>
          <w:b/>
          <w:color w:val="1D2D3D"/>
          <w:szCs w:val="22"/>
        </w:rPr>
        <w:t>35</w:t>
      </w:r>
    </w:p>
    <w:p>
      <w:pPr>
        <w:pStyle w:val="TOC1"/>
      </w:pPr>
      <w:r>
        <w:rPr>
          <w:rFonts w:ascii="Calibri" w:hAnsi="Calibri" w:eastAsia="Microsoft YaHei" w:cs="Calibri"/>
          <w:sz w:val="22"/>
          <w:b/>
          <w:color w:val="1D2D3D"/>
          <w:szCs w:val="22"/>
        </w:rPr>
        <w:t>Document 5: Striker Procurement Package</w:t>
      </w:r>
      <w:r>
        <w:rPr>
          <w:rFonts w:ascii="Calibri" w:hAnsi="Calibri" w:eastAsia="Microsoft YaHei"/>
          <w:sz w:val="22"/>
          <w:b/>
          <w:color w:val="1D2D3D"/>
        </w:rPr>
        <w:tab/>
      </w:r>
      <w:r>
        <w:rPr>
          <w:rFonts w:ascii="Calibri" w:hAnsi="Calibri" w:eastAsia="Microsoft YaHei" w:cs="Calibri"/>
          <w:sz w:val="22"/>
          <w:b/>
          <w:color w:val="1D2D3D"/>
          <w:szCs w:val="22"/>
        </w:rPr>
        <w:t>45</w:t>
      </w:r>
    </w:p>
    <w:p>
      <w:pPr>
        <w:pStyle w:val="TOC1"/>
      </w:pPr>
      <w:r>
        <w:rPr>
          <w:rFonts w:ascii="Calibri" w:hAnsi="Calibri" w:eastAsia="Microsoft YaHei" w:cs="Calibri"/>
          <w:sz w:val="22"/>
          <w:b/>
          <w:color w:val="1D2D3D"/>
          <w:szCs w:val="22"/>
        </w:rPr>
        <w:t>Document 6: Arctic Gripen Procurement Package</w:t>
      </w:r>
      <w:r>
        <w:rPr>
          <w:rFonts w:ascii="Calibri" w:hAnsi="Calibri" w:eastAsia="Microsoft YaHei"/>
          <w:sz w:val="22"/>
          <w:b/>
          <w:color w:val="1D2D3D"/>
        </w:rPr>
        <w:tab/>
      </w:r>
      <w:r>
        <w:rPr>
          <w:rFonts w:ascii="Calibri" w:hAnsi="Calibri" w:eastAsia="Microsoft YaHei" w:cs="Calibri"/>
          <w:sz w:val="22"/>
          <w:b/>
          <w:color w:val="1D2D3D"/>
          <w:szCs w:val="22"/>
        </w:rPr>
        <w:t>55</w:t>
      </w:r>
    </w:p>
    <w:p>
      <w:pPr>
        <w:pStyle w:val="TOC1"/>
      </w:pPr>
      <w:r>
        <w:rPr>
          <w:rFonts w:ascii="Calibri" w:hAnsi="Calibri" w:eastAsia="Microsoft YaHei" w:cs="Calibri"/>
          <w:sz w:val="22"/>
          <w:b/>
          <w:color w:val="1D2D3D"/>
          <w:szCs w:val="22"/>
        </w:rPr>
        <w:t>Document 7: War-Gaming Booklet</w:t>
      </w:r>
      <w:r>
        <w:rPr>
          <w:rFonts w:ascii="Calibri" w:hAnsi="Calibri" w:eastAsia="Microsoft YaHei"/>
          <w:sz w:val="22"/>
          <w:b/>
          <w:color w:val="1D2D3D"/>
        </w:rPr>
        <w:tab/>
      </w:r>
      <w:r>
        <w:rPr>
          <w:rFonts w:ascii="Calibri" w:hAnsi="Calibri" w:eastAsia="Microsoft YaHei" w:cs="Calibri"/>
          <w:sz w:val="22"/>
          <w:b/>
          <w:color w:val="1D2D3D"/>
          <w:szCs w:val="22"/>
        </w:rPr>
        <w:t>65</w:t>
      </w:r>
    </w:p>
    <w:p>
      <w:pPr>
        <w:pStyle w:val="TOC1"/>
      </w:pPr>
      <w:r>
        <w:rPr>
          <w:rFonts w:ascii="Calibri" w:hAnsi="Calibri" w:eastAsia="Microsoft YaHei" w:cs="Calibri"/>
          <w:sz w:val="22"/>
          <w:b/>
          <w:color w:val="1D2D3D"/>
          <w:szCs w:val="22"/>
        </w:rPr>
        <w:t>Document 8: Economic Northern Horizon Outlook</w:t>
      </w:r>
      <w:r>
        <w:rPr>
          <w:rFonts w:ascii="Calibri" w:hAnsi="Calibri" w:eastAsia="Microsoft YaHei"/>
          <w:sz w:val="22"/>
          <w:b/>
          <w:color w:val="1D2D3D"/>
        </w:rPr>
        <w:tab/>
      </w:r>
      <w:r>
        <w:rPr>
          <w:rFonts w:ascii="Calibri" w:hAnsi="Calibri" w:eastAsia="Microsoft YaHei" w:cs="Calibri"/>
          <w:sz w:val="22"/>
          <w:b/>
          <w:color w:val="1D2D3D"/>
          <w:szCs w:val="22"/>
        </w:rPr>
        <w:t>85</w:t>
      </w:r>
    </w:p>
    <w:p>
      <w:pPr>
        <w:pStyle w:val="TOC1"/>
      </w:pPr>
      <w:r>
        <w:rPr>
          <w:rFonts w:ascii="Calibri" w:hAnsi="Calibri" w:eastAsia="Microsoft YaHei" w:cs="Calibri"/>
          <w:sz w:val="22"/>
          <w:b/>
          <w:color w:val="1D2D3D"/>
          <w:szCs w:val="22"/>
        </w:rPr>
        <w:t>Document 9: Canada and the Tempest (GCAP) Partnership</w:t>
      </w:r>
      <w:r>
        <w:rPr>
          <w:rFonts w:ascii="Calibri" w:hAnsi="Calibri" w:eastAsia="Microsoft YaHei"/>
          <w:sz w:val="22"/>
          <w:b/>
          <w:color w:val="1D2D3D"/>
        </w:rPr>
        <w:tab/>
      </w:r>
      <w:r>
        <w:rPr>
          <w:rFonts w:ascii="Calibri" w:hAnsi="Calibri" w:eastAsia="Microsoft YaHei" w:cs="Calibri"/>
          <w:sz w:val="22"/>
          <w:b/>
          <w:color w:val="1D2D3D"/>
          <w:szCs w:val="22"/>
        </w:rPr>
        <w:t>105</w:t>
      </w:r>
    </w:p>
    <w:p>
      <w:pPr>
        <w:pStyle w:val="TOC1"/>
      </w:pPr>
      <w:r>
        <w:rPr>
          <w:rFonts w:ascii="Calibri" w:hAnsi="Calibri" w:eastAsia="Microsoft YaHei" w:cs="Calibri"/>
          <w:sz w:val="22"/>
          <w:b/>
          <w:color w:val="1D2D3D"/>
          <w:szCs w:val="22"/>
        </w:rPr>
        <w:t>Document 10: Gateway One — F-35 Interoperability Layer</w:t>
      </w:r>
      <w:r>
        <w:rPr>
          <w:rFonts w:ascii="Calibri" w:hAnsi="Calibri" w:eastAsia="Microsoft YaHei"/>
          <w:sz w:val="22"/>
          <w:b/>
          <w:color w:val="1D2D3D"/>
        </w:rPr>
        <w:tab/>
      </w:r>
      <w:r>
        <w:rPr>
          <w:rFonts w:ascii="Calibri" w:hAnsi="Calibri" w:eastAsia="Microsoft YaHei" w:cs="Calibri"/>
          <w:sz w:val="22"/>
          <w:b/>
          <w:color w:val="1D2D3D"/>
          <w:szCs w:val="22"/>
        </w:rPr>
        <w:t>125</w:t>
        <w:t>105</w:t>
      </w:r>
    </w:p>
    <w:p>
      <w:pPr>
        <w:pStyle w:val="Normal"/>
      </w:pPr>
      <w:r>
        <w:fldChar w:fldCharType="end"/>
      </w:r>
    </w:p>
    <w:p>
      <w:pPr>
        <w:pStyle w:val="Normal"/>
        <w:sectPr>
          <w:type w:val="nextPage"/>
          <w:pgSz w:w="11906" w:h="16838"/>
          <w:pgMar w:top="1800" w:right="1440" w:bottom="1440" w:left="1440" w:header="720" w:footer="720"/>
        </w:sectPr>
      </w:pPr>
    </w:p>
    <w:p>
      <w:pPr>
        <w:pStyle w:val="Heading1"/>
      </w:pPr>
      <w:bookmarkStart w:name="_Doc01" w:id="2"/>
      <w:r>
        <w:rPr>
          <w:rFonts w:ascii="Calibri" w:hAnsi="Calibri" w:eastAsia="Microsoft YaHei" w:cs="Calibri"/>
          <w:b/>
          <w:color w:val="3D5A80"/>
          <w:sz w:val="40"/>
          <w:szCs w:val="40"/>
        </w:rPr>
        <w:t>Document 1: The Sprinter &amp; Striker Conceptual Proposal</w:t>
      </w:r>
      <w:bookmarkEnd w:id="2"/>
    </w:p>
    <w:p>
      <w:pPr>
        <w:pStyle w:val="Normal"/>
      </w:pPr>
      <w:r>
        <w:rPr>
          <w:rFonts w:ascii="Calibri" w:hAnsi="Calibri" w:eastAsia="Microsoft YaHei" w:cs="Calibri"/>
          <w:color w:val="1D2D3D"/>
          <w:sz w:val="22"/>
          <w:szCs w:val="22"/>
        </w:rPr>
        <w:t>Document Reference: CONOPS-SPRSTRK-2026 | June 2026</w:t>
      </w:r>
    </w:p>
    <w:p>
      <w:pPr>
        <w:pStyle w:val="Normal"/>
        <w:spacing w:after="240"/>
      </w:pPr>
    </w:p>
    <w:p>
      <w:pPr>
        <w:pStyle w:val="Heading2"/>
      </w:pPr>
      <w:r>
        <w:rPr>
          <w:rFonts w:ascii="Calibri" w:hAnsi="Calibri" w:eastAsia="Microsoft YaHei" w:cs="Calibri"/>
          <w:b/>
          <w:color w:val="1D2D3D"/>
          <w:sz w:val="30"/>
          <w:szCs w:val="30"/>
        </w:rPr>
        <w:t>Executive Summary</w:t>
      </w:r>
    </w:p>
    <w:p>
      <w:pPr>
        <w:pStyle w:val="Normal"/>
      </w:pPr>
      <w:r>
        <w:rPr>
          <w:rFonts w:ascii="Calibri" w:hAnsi="Calibri" w:eastAsia="Microsoft YaHei" w:cs="Calibri"/>
          <w:color w:val="1D2D3D"/>
          <w:sz w:val="22"/>
          <w:szCs w:val="22"/>
        </w:rPr>
        <w:t>The Arctic Horizon Program is a transformational, integrated combat air system designed specifically for Canada's unique operational requirements. Rather than continuing down the costly and increasingly uncertain path of sole-reliance on the F-35A, this program proposes a mixed fleet of 48 Arctic-optimized Saab JAS 39 Gripen E fighters, supported by 60 attritable Sprinter tactical UAVs and 48 survivable Striker loyal wingman UAVs.</w:t>
      </w:r>
    </w:p>
    <w:p>
      <w:pPr>
        <w:pStyle w:val="Normal"/>
      </w:pPr>
      <w:r>
        <w:rPr>
          <w:rFonts w:ascii="Calibri" w:hAnsi="Calibri" w:eastAsia="Microsoft YaHei" w:cs="Calibri"/>
          <w:color w:val="1D2D3D"/>
          <w:sz w:val="22"/>
          <w:szCs w:val="22"/>
        </w:rPr>
        <w:t>This three-tier system, guided by the "Opening Doors" tactical doctrine, delivers credible Arctic sovereignty enforcement at approximately half the acquisition cost and one-quarter the operating cost of the F-35 alternative, while simultaneously generating the savings necessary to secure Tier-2 partnership in the Tempest (GCAP) sixth-generation program.</w:t>
      </w:r>
    </w:p>
    <w:p>
      <w:pPr>
        <w:pStyle w:val="Heading3"/>
      </w:pPr>
      <w:r>
        <w:rPr>
          <w:rFonts w:ascii="Calibri" w:hAnsi="Calibri" w:eastAsia="Microsoft YaHei" w:cs="Calibri"/>
          <w:b/>
          <w:color w:val="4A5568"/>
          <w:sz w:val="26"/>
          <w:szCs w:val="26"/>
        </w:rPr>
        <w:t>Program at a Glance</w:t>
      </w:r>
    </w:p>
    <w:tbl>
      <w:tblPr>
        <w:tblW w:w="5000" w:type="pct"/>
        <w:tblBorders>
          <w:top w:val="single" w:color="3D5A80" w:sz="12"/>
          <w:left w:val="nil"/>
          <w:bottom w:val="single" w:color="3D5A80" w:sz="12"/>
          <w:right w:val="nil"/>
          <w:insideH w:val="single" w:color="C8D5E0" w:sz="4"/>
          <w:insideV w:val="nil"/>
        </w:tblBorders>
      </w:tblPr>
      <w:tblGrid>
        <w:gridCol w:w="30"/>
        <w:gridCol w:w="70"/>
      </w:tblGrid>
      <w:tr>
        <w:trPr>
          <w:tblHeader w:val="1"/>
        </w:trPr>
        <w:tc>
          <w:tcPr>
            <w:tcW w:w="30" w:type="pct"/>
            <w:shd w:val="clear" w:fill="E8EDF2" w:color="auto"/>
          </w:tcPr>
          <w:p>
            <w:pPr>
              <w:pStyle w:val="Normal"/>
              <w:spacing w:before="40" w:after="40"/>
              <w:jc w:val="center"/>
            </w:pPr>
            <w:r>
              <w:rPr>
                <w:b/>
                <w:color w:val="1D2D3D"/>
                <w:sz w:val="20"/>
                <w:rFonts w:ascii="Calibri" w:hAnsi="Calibri" w:eastAsia="Microsoft YaHei" w:cs="Calibri"/>
                <w:szCs w:val="20"/>
              </w:rPr>
              <w:t>Metric</w:t>
            </w:r>
          </w:p>
        </w:tc>
        <w:tc>
          <w:tcPr>
            <w:tcW w:w="70" w:type="pct"/>
            <w:shd w:val="clear" w:fill="E8EDF2" w:color="auto"/>
          </w:tcPr>
          <w:p>
            <w:pPr>
              <w:pStyle w:val="Normal"/>
              <w:spacing w:before="40" w:after="40"/>
              <w:jc w:val="center"/>
            </w:pPr>
            <w:r>
              <w:rPr>
                <w:b/>
                <w:color w:val="1D2D3D"/>
                <w:sz w:val="20"/>
                <w:rFonts w:ascii="Calibri" w:hAnsi="Calibri" w:eastAsia="Microsoft YaHei" w:cs="Calibri"/>
                <w:szCs w:val="20"/>
              </w:rPr>
              <w:t>Value</w:t>
            </w:r>
          </w:p>
        </w:tc>
      </w:tr>
      <w:tr>
        <w:tc>
          <w:tcPr>
            <w:tcW w:w="30" w:type="pct"/>
          </w:tcPr>
          <w:p>
            <w:pPr>
              <w:pStyle w:val="Normal"/>
              <w:spacing w:before="30" w:after="30"/>
              <w:ind w:left="60"/>
            </w:pPr>
            <w:r>
              <w:rPr>
                <w:color w:val="4A5568"/>
                <w:sz w:val="20"/>
                <w:rFonts w:ascii="Calibri" w:hAnsi="Calibri" w:eastAsia="Microsoft YaHei" w:cs="Calibri"/>
                <w:szCs w:val="20"/>
              </w:rPr>
              <w:t>Gripen E (Arctic)</w:t>
            </w:r>
          </w:p>
        </w:tc>
        <w:tc>
          <w:tcPr>
            <w:tcW w:w="70" w:type="pct"/>
          </w:tcPr>
          <w:p>
            <w:pPr>
              <w:pStyle w:val="Normal"/>
              <w:spacing w:before="30" w:after="30"/>
              <w:ind w:left="60"/>
            </w:pPr>
            <w:r>
              <w:rPr>
                <w:color w:val="4A5568"/>
                <w:sz w:val="20"/>
                <w:rFonts w:ascii="Calibri" w:hAnsi="Calibri" w:eastAsia="Microsoft YaHei" w:cs="Calibri"/>
                <w:szCs w:val="20"/>
              </w:rPr>
              <w:t>48 operational aircraft</w:t>
            </w:r>
          </w:p>
        </w:tc>
      </w:tr>
      <w:tr>
        <w:tc>
          <w:tcPr>
            <w:tcW w:w="30" w:type="pct"/>
          </w:tcPr>
          <w:p>
            <w:pPr>
              <w:pStyle w:val="Normal"/>
              <w:spacing w:before="30" w:after="30"/>
              <w:ind w:left="60"/>
            </w:pPr>
            <w:r>
              <w:rPr>
                <w:color w:val="4A5568"/>
                <w:sz w:val="20"/>
                <w:rFonts w:ascii="Calibri" w:hAnsi="Calibri" w:eastAsia="Microsoft YaHei" w:cs="Calibri"/>
                <w:szCs w:val="20"/>
              </w:rPr>
              <w:t>Sprinter Tactical UAV</w:t>
            </w:r>
          </w:p>
        </w:tc>
        <w:tc>
          <w:tcPr>
            <w:tcW w:w="70" w:type="pct"/>
          </w:tcPr>
          <w:p>
            <w:pPr>
              <w:pStyle w:val="Normal"/>
              <w:spacing w:before="30" w:after="30"/>
              <w:ind w:left="60"/>
            </w:pPr>
            <w:r>
              <w:rPr>
                <w:color w:val="4A5568"/>
                <w:sz w:val="20"/>
                <w:rFonts w:ascii="Calibri" w:hAnsi="Calibri" w:eastAsia="Microsoft YaHei" w:cs="Calibri"/>
                <w:szCs w:val="20"/>
              </w:rPr>
              <w:t>60 operational aircraft</w:t>
            </w:r>
          </w:p>
        </w:tc>
      </w:tr>
      <w:tr>
        <w:tc>
          <w:tcPr>
            <w:tcW w:w="30" w:type="pct"/>
          </w:tcPr>
          <w:p>
            <w:pPr>
              <w:pStyle w:val="Normal"/>
              <w:spacing w:before="30" w:after="30"/>
              <w:ind w:left="60"/>
            </w:pPr>
            <w:r>
              <w:rPr>
                <w:color w:val="4A5568"/>
                <w:sz w:val="20"/>
                <w:rFonts w:ascii="Calibri" w:hAnsi="Calibri" w:eastAsia="Microsoft YaHei" w:cs="Calibri"/>
                <w:szCs w:val="20"/>
              </w:rPr>
              <w:t>Striker Loyal Wingman</w:t>
            </w:r>
          </w:p>
        </w:tc>
        <w:tc>
          <w:tcPr>
            <w:tcW w:w="70" w:type="pct"/>
          </w:tcPr>
          <w:p>
            <w:pPr>
              <w:pStyle w:val="Normal"/>
              <w:spacing w:before="30" w:after="30"/>
              <w:ind w:left="60"/>
            </w:pPr>
            <w:r>
              <w:rPr>
                <w:color w:val="4A5568"/>
                <w:sz w:val="20"/>
                <w:rFonts w:ascii="Calibri" w:hAnsi="Calibri" w:eastAsia="Microsoft YaHei" w:cs="Calibri"/>
                <w:szCs w:val="20"/>
              </w:rPr>
              <w:t>48 operational aircraft</w:t>
            </w:r>
          </w:p>
        </w:tc>
      </w:tr>
      <w:tr>
        <w:tc>
          <w:tcPr>
            <w:tcW w:w="30" w:type="pct"/>
          </w:tcPr>
          <w:p>
            <w:pPr>
              <w:pStyle w:val="Normal"/>
              <w:spacing w:before="30" w:after="30"/>
              <w:ind w:left="60"/>
            </w:pPr>
            <w:r>
              <w:rPr>
                <w:color w:val="4A5568"/>
                <w:sz w:val="20"/>
                <w:rFonts w:ascii="Calibri" w:hAnsi="Calibri" w:eastAsia="Microsoft YaHei" w:cs="Calibri"/>
                <w:szCs w:val="20"/>
              </w:rPr>
              <w:t>Total Acquisition Cost</w:t>
            </w:r>
          </w:p>
        </w:tc>
        <w:tc>
          <w:tcPr>
            <w:tcW w:w="70" w:type="pct"/>
          </w:tcPr>
          <w:p>
            <w:pPr>
              <w:pStyle w:val="Normal"/>
              <w:spacing w:before="30" w:after="30"/>
              <w:ind w:left="60"/>
            </w:pPr>
            <w:r>
              <w:rPr>
                <w:color w:val="4A5568"/>
                <w:sz w:val="20"/>
                <w:rFonts w:ascii="Calibri" w:hAnsi="Calibri" w:eastAsia="Microsoft YaHei" w:cs="Calibri"/>
                <w:szCs w:val="20"/>
              </w:rPr>
              <w:t>~$9.24B CAD</w:t>
            </w:r>
          </w:p>
        </w:tc>
      </w:tr>
      <w:tr>
        <w:tc>
          <w:tcPr>
            <w:tcW w:w="30" w:type="pct"/>
          </w:tcPr>
          <w:p>
            <w:pPr>
              <w:pStyle w:val="Normal"/>
              <w:spacing w:before="30" w:after="30"/>
              <w:ind w:left="60"/>
            </w:pPr>
            <w:r>
              <w:rPr>
                <w:color w:val="4A5568"/>
                <w:sz w:val="20"/>
                <w:rFonts w:ascii="Calibri" w:hAnsi="Calibri" w:eastAsia="Microsoft YaHei" w:cs="Calibri"/>
                <w:szCs w:val="20"/>
              </w:rPr>
              <w:t>Annual Operating Cost</w:t>
            </w:r>
          </w:p>
        </w:tc>
        <w:tc>
          <w:tcPr>
            <w:tcW w:w="70" w:type="pct"/>
          </w:tcPr>
          <w:p>
            <w:pPr>
              <w:pStyle w:val="Normal"/>
              <w:spacing w:before="30" w:after="30"/>
              <w:ind w:left="60"/>
            </w:pPr>
            <w:r>
              <w:rPr>
                <w:color w:val="4A5568"/>
                <w:sz w:val="20"/>
                <w:rFonts w:ascii="Calibri" w:hAnsi="Calibri" w:eastAsia="Microsoft YaHei" w:cs="Calibri"/>
                <w:szCs w:val="20"/>
              </w:rPr>
              <w:t>~$386M CAD</w:t>
            </w:r>
          </w:p>
        </w:tc>
      </w:tr>
      <w:tr>
        <w:tc>
          <w:tcPr>
            <w:tcW w:w="30" w:type="pct"/>
          </w:tcPr>
          <w:p>
            <w:pPr>
              <w:pStyle w:val="Normal"/>
              <w:spacing w:before="30" w:after="30"/>
              <w:ind w:left="60"/>
            </w:pPr>
            <w:r>
              <w:rPr>
                <w:color w:val="4A5568"/>
                <w:sz w:val="20"/>
                <w:rFonts w:ascii="Calibri" w:hAnsi="Calibri" w:eastAsia="Microsoft YaHei" w:cs="Calibri"/>
                <w:szCs w:val="20"/>
              </w:rPr>
              <w:t>F-35 Comparator (88 AC)</w:t>
            </w:r>
          </w:p>
        </w:tc>
        <w:tc>
          <w:tcPr>
            <w:tcW w:w="70" w:type="pct"/>
          </w:tcPr>
          <w:p>
            <w:pPr>
              <w:pStyle w:val="Normal"/>
              <w:spacing w:before="30" w:after="30"/>
              <w:ind w:left="60"/>
            </w:pPr>
            <w:r>
              <w:rPr>
                <w:color w:val="4A5568"/>
                <w:sz w:val="20"/>
                <w:rFonts w:ascii="Calibri" w:hAnsi="Calibri" w:eastAsia="Microsoft YaHei" w:cs="Calibri"/>
                <w:szCs w:val="20"/>
              </w:rPr>
              <w:t>~$19B CAD acquisition; ~$1.52B/yr operating</w:t>
            </w:r>
          </w:p>
        </w:tc>
      </w:tr>
      <w:tr>
        <w:tc>
          <w:tcPr>
            <w:tcW w:w="30" w:type="pct"/>
          </w:tcPr>
          <w:p>
            <w:pPr>
              <w:pStyle w:val="Normal"/>
              <w:spacing w:before="30" w:after="30"/>
              <w:ind w:left="60"/>
            </w:pPr>
            <w:r>
              <w:rPr>
                <w:color w:val="4A5568"/>
                <w:sz w:val="20"/>
                <w:rFonts w:ascii="Calibri" w:hAnsi="Calibri" w:eastAsia="Microsoft YaHei" w:cs="Calibri"/>
                <w:szCs w:val="20"/>
              </w:rPr>
              <w:t>Savings vs. F-35</w:t>
            </w:r>
          </w:p>
        </w:tc>
        <w:tc>
          <w:tcPr>
            <w:tcW w:w="70" w:type="pct"/>
          </w:tcPr>
          <w:p>
            <w:pPr>
              <w:pStyle w:val="Normal"/>
              <w:spacing w:before="30" w:after="30"/>
              <w:ind w:left="60"/>
            </w:pPr>
            <w:r>
              <w:rPr>
                <w:color w:val="4A5568"/>
                <w:sz w:val="20"/>
                <w:rFonts w:ascii="Calibri" w:hAnsi="Calibri" w:eastAsia="Microsoft YaHei" w:cs="Calibri"/>
                <w:szCs w:val="20"/>
              </w:rPr>
              <w:t>$9.24B acquisition; $1.134B/yr operating</w:t>
            </w:r>
          </w:p>
        </w:tc>
      </w:tr>
      <w:tr>
        <w:tc>
          <w:tcPr>
            <w:tcW w:w="30" w:type="pct"/>
          </w:tcPr>
          <w:p>
            <w:pPr>
              <w:pStyle w:val="Normal"/>
              <w:spacing w:before="30" w:after="30"/>
              <w:ind w:left="60"/>
            </w:pPr>
            <w:r>
              <w:rPr>
                <w:color w:val="4A5568"/>
                <w:sz w:val="20"/>
                <w:rFonts w:ascii="Calibri" w:hAnsi="Calibri" w:eastAsia="Microsoft YaHei" w:cs="Calibri"/>
                <w:szCs w:val="20"/>
              </w:rPr>
              <w:t>Sortie Generation Advantage</w:t>
            </w:r>
          </w:p>
        </w:tc>
        <w:tc>
          <w:tcPr>
            <w:tcW w:w="70" w:type="pct"/>
          </w:tcPr>
          <w:p>
            <w:pPr>
              <w:pStyle w:val="Normal"/>
              <w:spacing w:before="30" w:after="30"/>
              <w:ind w:left="60"/>
            </w:pPr>
            <w:r>
              <w:rPr>
                <w:color w:val="4A5568"/>
                <w:sz w:val="20"/>
                <w:rFonts w:ascii="Calibri" w:hAnsi="Calibri" w:eastAsia="Microsoft YaHei" w:cs="Calibri"/>
                <w:szCs w:val="20"/>
              </w:rPr>
              <w:t>~124 effective daily sorties vs. 44-66 (F-35)</w:t>
            </w:r>
          </w:p>
        </w:tc>
      </w:tr>
      <w:tr>
        <w:tc>
          <w:tcPr>
            <w:tcW w:w="30" w:type="pct"/>
          </w:tcPr>
          <w:p>
            <w:pPr>
              <w:pStyle w:val="Normal"/>
              <w:spacing w:before="30" w:after="30"/>
              <w:ind w:left="60"/>
            </w:pPr>
            <w:r>
              <w:rPr>
                <w:color w:val="4A5568"/>
                <w:sz w:val="20"/>
                <w:rFonts w:ascii="Calibri" w:hAnsi="Calibri" w:eastAsia="Microsoft YaHei" w:cs="Calibri"/>
                <w:szCs w:val="20"/>
              </w:rPr>
              <w:t>Sprinter Attrition (contested)</w:t>
            </w:r>
          </w:p>
        </w:tc>
        <w:tc>
          <w:tcPr>
            <w:tcW w:w="70" w:type="pct"/>
          </w:tcPr>
          <w:p>
            <w:pPr>
              <w:pStyle w:val="Normal"/>
              <w:spacing w:before="30" w:after="30"/>
              <w:ind w:left="60"/>
            </w:pPr>
            <w:r>
              <w:rPr>
                <w:color w:val="4A5568"/>
                <w:sz w:val="20"/>
                <w:rFonts w:ascii="Calibri" w:hAnsi="Calibri" w:eastAsia="Microsoft YaHei" w:cs="Calibri"/>
                <w:szCs w:val="20"/>
              </w:rPr>
              <w:t>2-3% per sortie</w:t>
            </w:r>
          </w:p>
        </w:tc>
      </w:tr>
      <w:tr>
        <w:tc>
          <w:tcPr>
            <w:tcW w:w="30" w:type="pct"/>
          </w:tcPr>
          <w:p>
            <w:pPr>
              <w:pStyle w:val="Normal"/>
              <w:spacing w:before="30" w:after="30"/>
              <w:ind w:left="60"/>
            </w:pPr>
            <w:r>
              <w:rPr>
                <w:color w:val="4A5568"/>
                <w:sz w:val="20"/>
                <w:rFonts w:ascii="Calibri" w:hAnsi="Calibri" w:eastAsia="Microsoft YaHei" w:cs="Calibri"/>
                <w:szCs w:val="20"/>
              </w:rPr>
              <w:t>Campaign Duration</w:t>
            </w:r>
          </w:p>
        </w:tc>
        <w:tc>
          <w:tcPr>
            <w:tcW w:w="70" w:type="pct"/>
          </w:tcPr>
          <w:p>
            <w:pPr>
              <w:pStyle w:val="Normal"/>
              <w:spacing w:before="30" w:after="30"/>
              <w:ind w:left="60"/>
            </w:pPr>
            <w:r>
              <w:rPr>
                <w:color w:val="4A5568"/>
                <w:sz w:val="20"/>
                <w:rFonts w:ascii="Calibri" w:hAnsi="Calibri" w:eastAsia="Microsoft YaHei" w:cs="Calibri"/>
                <w:szCs w:val="20"/>
              </w:rPr>
              <w:t>12+ weeks sustained operations</w:t>
            </w:r>
          </w:p>
        </w:tc>
      </w:tr>
      <w:tr>
        <w:tc>
          <w:tcPr>
            <w:tcW w:w="30" w:type="pct"/>
          </w:tcPr>
          <w:p>
            <w:pPr>
              <w:pStyle w:val="Normal"/>
              <w:spacing w:before="30" w:after="30"/>
              <w:ind w:left="60"/>
            </w:pPr>
            <w:r>
              <w:rPr>
                <w:color w:val="4A5568"/>
                <w:sz w:val="20"/>
                <w:rFonts w:ascii="Calibri" w:hAnsi="Calibri" w:eastAsia="Microsoft YaHei" w:cs="Calibri"/>
                <w:szCs w:val="20"/>
              </w:rPr>
              <w:t>GCAP Entry Funded</w:t>
            </w:r>
          </w:p>
        </w:tc>
        <w:tc>
          <w:tcPr>
            <w:tcW w:w="70" w:type="pct"/>
          </w:tcPr>
          <w:p>
            <w:pPr>
              <w:pStyle w:val="Normal"/>
              <w:spacing w:before="30" w:after="30"/>
              <w:ind w:left="60"/>
            </w:pPr>
            <w:r>
              <w:rPr>
                <w:color w:val="4A5568"/>
                <w:sz w:val="20"/>
                <w:rFonts w:ascii="Calibri" w:hAnsi="Calibri" w:eastAsia="Microsoft YaHei" w:cs="Calibri"/>
                <w:szCs w:val="20"/>
              </w:rPr>
              <w:t>$3.5B allocated from savings</w:t>
            </w:r>
          </w:p>
        </w:tc>
      </w:tr>
    </w:tbl>
    <w:p>
      <w:pPr>
        <w:pStyle w:val="Normal"/>
        <w:spacing w:after="120"/>
      </w:pPr>
    </w:p>
    <w:p>
      <w:pPr>
        <w:pStyle w:val="Heading2"/>
      </w:pPr>
      <w:r>
        <w:rPr>
          <w:rFonts w:ascii="Calibri" w:hAnsi="Calibri" w:eastAsia="Microsoft YaHei" w:cs="Calibri"/>
          <w:b/>
          <w:color w:val="1D2D3D"/>
          <w:sz w:val="30"/>
          <w:szCs w:val="30"/>
        </w:rPr>
        <w:t>The F-35 Dilemma</w:t>
      </w:r>
    </w:p>
    <w:p>
      <w:pPr>
        <w:pStyle w:val="Normal"/>
      </w:pPr>
      <w:r>
        <w:rPr>
          <w:rFonts w:ascii="Calibri" w:hAnsi="Calibri" w:eastAsia="Microsoft YaHei" w:cs="Calibri"/>
          <w:color w:val="1D2D3D"/>
          <w:sz w:val="22"/>
          <w:szCs w:val="22"/>
        </w:rPr>
        <w:t>The F-35A Lightning II is an exceptional fifth-generation fighter. However, the programme has been beset by significant cost escalation, operational limitations in Arctic conditions, strict US technology-transfer controls (ITAR), and mounting trade-policy uncertainty between Canada and the United States.</w:t>
      </w:r>
    </w:p>
    <w:p>
      <w:pPr>
        <w:pStyle w:val="Normal"/>
      </w:pPr>
      <w:r>
        <w:rPr>
          <w:rFonts w:ascii="Calibri" w:hAnsi="Calibri" w:eastAsia="Microsoft YaHei" w:cs="Calibri"/>
          <w:color w:val="1D2D3D"/>
          <w:sz w:val="22"/>
          <w:szCs w:val="22"/>
        </w:rPr>
        <w:t>The Office of the Auditor General of Canada (2025) found F-35 programme costs had increased 46% since 2022, reaching $27.8 billion by 2024, with an additional $5.5 billion in infrastructure and weapons not included in official figures. Annual operating costs per flying hour remain approximately $44,000 USD — compared to $8,400 for the Arctic Gripen E.</w:t>
      </w:r>
    </w:p>
    <w:p>
      <w:pPr>
        <w:pStyle w:val="Normal"/>
      </w:pPr>
      <w:r>
        <w:rPr>
          <w:rFonts w:ascii="Calibri" w:hAnsi="Calibri" w:eastAsia="Microsoft YaHei" w:cs="Calibri"/>
          <w:color w:val="1D2D3D"/>
          <w:sz w:val="22"/>
          <w:szCs w:val="22"/>
        </w:rPr>
        <w:t>Critically, the F-35's ITAR restrictions deny Canada access to source code, veto Canadian modifications, restrict re-export, and require US contractor involvement for upgrades. This is fundamentally incompatible with Canadian sovereignty requirements.</w:t>
      </w:r>
    </w:p>
    <w:p>
      <w:pPr>
        <w:pStyle w:val="Heading2"/>
      </w:pPr>
      <w:r>
        <w:rPr>
          <w:rFonts w:ascii="Calibri" w:hAnsi="Calibri" w:eastAsia="Microsoft YaHei" w:cs="Calibri"/>
          <w:b/>
          <w:color w:val="1D2D3D"/>
          <w:sz w:val="30"/>
          <w:szCs w:val="30"/>
        </w:rPr>
        <w:t>The Three-Tier System</w:t>
      </w:r>
    </w:p>
    <w:p>
      <w:pPr>
        <w:pStyle w:val="Heading3"/>
      </w:pPr>
      <w:r>
        <w:rPr>
          <w:rFonts w:ascii="Calibri" w:hAnsi="Calibri" w:eastAsia="Microsoft YaHei" w:cs="Calibri"/>
          <w:b/>
          <w:color w:val="4A5568"/>
          <w:sz w:val="26"/>
          <w:szCs w:val="26"/>
        </w:rPr>
        <w:t>Tier 1: Arctic Gripen E — The Command Platform</w:t>
      </w:r>
    </w:p>
    <w:p>
      <w:pPr>
        <w:pStyle w:val="Normal"/>
      </w:pPr>
      <w:r>
        <w:rPr>
          <w:rFonts w:ascii="Calibri" w:hAnsi="Calibri" w:eastAsia="Microsoft YaHei" w:cs="Calibri"/>
          <w:color w:val="1D2D3D"/>
          <w:sz w:val="22"/>
          <w:szCs w:val="22"/>
        </w:rPr>
        <w:t>The Saab JAS 39 Gripen E, winterized for sustained Arctic operation to -55 deg C, serves as the human-in-the-loop command aircraft. With a Raven ES-05 AESA radar featuring polar modes (ACS auroral clutter suppression, SRF surface reflection filter, CSC cold sky calibration), IRIS-M2 nozzle for thermal signature reduction, CS-RAM for low observability, and conformal fuel tanks extending combat radius to 1,650 km, the Arctic Gripen is a true Arctic fighter.</w:t>
      </w:r>
    </w:p>
    <w:p>
      <w:pPr>
        <w:pStyle w:val="Normal"/>
      </w:pPr>
      <w:r>
        <w:rPr>
          <w:rFonts w:ascii="Calibri" w:hAnsi="Calibri" w:eastAsia="Microsoft YaHei" w:cs="Calibri"/>
          <w:color w:val="1D2D3D"/>
          <w:sz w:val="22"/>
          <w:szCs w:val="22"/>
        </w:rPr>
        <w:t>The Gripen's weapons suite — including MBDA Meteor, SPEAR 3, and GBU-39/B SDB — enables pre-emptive suppression of enemy air defences to create sanitised corridors for Sprinter operations. This capability is integral to achieving the programme's target Sprinter attrition rate of 2-3% per sortie in contested airspace.</w:t>
      </w:r>
    </w:p>
    <w:p>
      <w:pPr>
        <w:pStyle w:val="Normal"/>
      </w:pPr>
      <w:r>
        <w:rPr>
          <w:rFonts w:ascii="Calibri" w:hAnsi="Calibri" w:eastAsia="Microsoft YaHei" w:cs="Calibri"/>
          <w:color w:val="1D2D3D"/>
          <w:sz w:val="22"/>
          <w:szCs w:val="22"/>
        </w:rPr>
        <w:t>Unit cost: $89.85M USD (with Arctic kit). Cost per flight hour: $8,400. Combat turnaround: 30 minutes at -30 deg C. Cold start: reliable to -55 deg C.</w:t>
      </w:r>
    </w:p>
    <w:p>
      <w:pPr>
        <w:pStyle w:val="Heading3"/>
      </w:pPr>
      <w:r>
        <w:rPr>
          <w:rFonts w:ascii="Calibri" w:hAnsi="Calibri" w:eastAsia="Microsoft YaHei" w:cs="Calibri"/>
          <w:b/>
          <w:color w:val="4A5568"/>
          <w:sz w:val="26"/>
          <w:szCs w:val="26"/>
        </w:rPr>
        <w:t>Tier 2: Sprinter — The Attritable Tactical UAV</w:t>
      </w:r>
    </w:p>
    <w:p>
      <w:pPr>
        <w:pStyle w:val="Normal"/>
      </w:pPr>
      <w:r>
        <w:rPr>
          <w:rFonts w:ascii="Calibri" w:hAnsi="Calibri" w:eastAsia="Microsoft YaHei" w:cs="Calibri"/>
          <w:color w:val="1D2D3D"/>
          <w:sz w:val="22"/>
          <w:szCs w:val="22"/>
        </w:rPr>
        <w:t>The Sprinter is a frontal-aspect stealth, flying-wing tactical UAV designed for short, violent supersonic penetrations. Its role is to trigger residual enemy air defences after Gripen suppression, absorb missiles, conduct follow-on SEAD/DEAD operations, and serve as ISR and EW platforms.</w:t>
      </w:r>
    </w:p>
    <w:p>
      <w:pPr>
        <w:pStyle w:val="Normal"/>
      </w:pPr>
      <w:r>
        <w:rPr>
          <w:rFonts w:ascii="Calibri" w:hAnsi="Calibri" w:eastAsia="Microsoft YaHei" w:cs="Calibri"/>
          <w:color w:val="1D2D3D"/>
          <w:sz w:val="22"/>
          <w:szCs w:val="22"/>
        </w:rPr>
        <w:t>With a $6M unit cost and a planned loss rate of 2-3% per sortie in contested airspace, the Sprinter's job is to be shot at so pilots are not — while surviving far more missions than legacy attritable designs. It carries EW, ISR, kinetic A2A (CUDA), and A2G (SDB) pallets via 10-minute hot-swap. Frontal RCS: -20 dBsm. Max speed: Mach 1.6 dash.</w:t>
      </w:r>
    </w:p>
    <w:p>
      <w:pPr>
        <w:pStyle w:val="Heading3"/>
      </w:pPr>
      <w:r>
        <w:rPr>
          <w:rFonts w:ascii="Calibri" w:hAnsi="Calibri" w:eastAsia="Microsoft YaHei" w:cs="Calibri"/>
          <w:b/>
          <w:color w:val="4A5568"/>
          <w:sz w:val="26"/>
          <w:szCs w:val="26"/>
        </w:rPr>
        <w:t>Tier 3: Striker — The Survivable Loyal Wingman</w:t>
      </w:r>
    </w:p>
    <w:p>
      <w:pPr>
        <w:pStyle w:val="Normal"/>
      </w:pPr>
      <w:r>
        <w:rPr>
          <w:rFonts w:ascii="Calibri" w:hAnsi="Calibri" w:eastAsia="Microsoft YaHei" w:cs="Calibri"/>
          <w:color w:val="1D2D3D"/>
          <w:sz w:val="22"/>
          <w:szCs w:val="22"/>
        </w:rPr>
        <w:t>The Striker is an all-aspect stealth penetrator that follows the corridors the Sprinters open, delivers precision weapons, and returns to fight again. At under one-ninth the cost of a fifth-generation fighter, it gives the team a reusable low-observable shooter.</w:t>
      </w:r>
    </w:p>
    <w:p>
      <w:pPr>
        <w:pStyle w:val="Normal"/>
      </w:pPr>
      <w:r>
        <w:rPr>
          <w:rFonts w:ascii="Calibri" w:hAnsi="Calibri" w:eastAsia="Microsoft YaHei" w:cs="Calibri"/>
          <w:color w:val="1D2D3D"/>
          <w:sz w:val="22"/>
          <w:szCs w:val="22"/>
        </w:rPr>
        <w:t>All-aspect RCS: -28 dBsm frontal, -18 dBsm lateral, -14 dBsm aft, -16 dBsm top/bottom. Max speed: Mach 1.6. Combat range: 620 nm with 30-min loiter. Internal weapons bays carry SDB, SPEAR 3, AMRAAM, and EW (NGJ-MB) pallets. Unit cost: $9.3M. Planned loss rate: 2-4% per contested sortie.</w:t>
      </w:r>
    </w:p>
    <w:p>
      <w:pPr>
        <w:pStyle w:val="Heading2"/>
      </w:pPr>
      <w:r>
        <w:rPr>
          <w:rFonts w:ascii="Calibri" w:hAnsi="Calibri" w:eastAsia="Microsoft YaHei" w:cs="Calibri"/>
          <w:b/>
          <w:color w:val="1D2D3D"/>
          <w:sz w:val="30"/>
          <w:szCs w:val="30"/>
        </w:rPr>
        <w:t>The "Opening Doors" Tactical Doctrine</w:t>
      </w:r>
    </w:p>
    <w:p>
      <w:pPr>
        <w:pStyle w:val="Normal"/>
      </w:pPr>
      <w:r>
        <w:rPr>
          <w:rFonts w:ascii="Calibri" w:hAnsi="Calibri" w:eastAsia="Microsoft YaHei" w:cs="Calibri"/>
          <w:color w:val="1D2D3D"/>
          <w:sz w:val="22"/>
          <w:szCs w:val="22"/>
        </w:rPr>
        <w:t>The team fights through five phases that convert attritable mass into survival for the manned force:</w:t>
      </w:r>
    </w:p>
    <w:p>
      <w:pPr>
        <w:pStyle w:val="Normal"/>
        <w:numPr>
          <w:ilvl w:val="0"/>
          <w:numId w:val="1"/>
        </w:numPr>
        <w:spacing w:after="120"/>
      </w:pPr>
      <w:r>
        <w:rPr>
          <w:b/>
          <w:rFonts w:ascii="Calibri" w:hAnsi="Calibri" w:eastAsia="Microsoft YaHei" w:cs="Calibri"/>
          <w:color w:val="1D2D3D"/>
          <w:sz w:val="22"/>
          <w:szCs w:val="22"/>
        </w:rPr>
        <w:t xml:space="preserve">Ingress: </w:t>
      </w:r>
      <w:r>
        <w:rPr>
          <w:rFonts w:ascii="Calibri" w:hAnsi="Calibri" w:eastAsia="Microsoft YaHei" w:cs="Calibri"/>
          <w:color w:val="1D2D3D"/>
          <w:sz w:val="22"/>
          <w:szCs w:val="22"/>
        </w:rPr>
        <w:t>Subsonic, EMCON-silent approach; passive ESM builds the threat picture while the package stays below detection thresholds.</w:t>
      </w:r>
    </w:p>
    <w:p>
      <w:pPr>
        <w:pStyle w:val="Normal"/>
        <w:numPr>
          <w:ilvl w:val="0"/>
          <w:numId w:val="1"/>
        </w:numPr>
        <w:spacing w:after="120"/>
      </w:pPr>
      <w:r>
        <w:rPr>
          <w:b/>
          <w:rFonts w:ascii="Calibri" w:hAnsi="Calibri" w:eastAsia="Microsoft YaHei" w:cs="Calibri"/>
          <w:color w:val="1D2D3D"/>
          <w:sz w:val="22"/>
          <w:szCs w:val="22"/>
        </w:rPr>
        <w:t xml:space="preserve">The Dash: </w:t>
      </w:r>
      <w:r>
        <w:rPr>
          <w:rFonts w:ascii="Calibri" w:hAnsi="Calibri" w:eastAsia="Microsoft YaHei" w:cs="Calibri"/>
          <w:color w:val="1D2D3D"/>
          <w:sz w:val="22"/>
          <w:szCs w:val="22"/>
        </w:rPr>
        <w:t>2-4 Sprinters accelerate to Mach 1.6 on divergent axes; residual IADS fires are absorbed at 2-3% attrition while their exact emitter positions are geolocated.</w:t>
      </w:r>
    </w:p>
    <w:p>
      <w:pPr>
        <w:pStyle w:val="Normal"/>
        <w:numPr>
          <w:ilvl w:val="0"/>
          <w:numId w:val="1"/>
        </w:numPr>
        <w:spacing w:after="120"/>
      </w:pPr>
      <w:r>
        <w:rPr>
          <w:b/>
          <w:rFonts w:ascii="Calibri" w:hAnsi="Calibri" w:eastAsia="Microsoft YaHei" w:cs="Calibri"/>
          <w:color w:val="1D2D3D"/>
          <w:sz w:val="22"/>
          <w:szCs w:val="22"/>
        </w:rPr>
        <w:t xml:space="preserve">Precision Strike: </w:t>
      </w:r>
      <w:r>
        <w:rPr>
          <w:rFonts w:ascii="Calibri" w:hAnsi="Calibri" w:eastAsia="Microsoft YaHei" w:cs="Calibri"/>
          <w:color w:val="1D2D3D"/>
          <w:sz w:val="22"/>
          <w:szCs w:val="22"/>
        </w:rPr>
        <w:t>Strikers exploit the opening, releasing SPEAR 3 / SDB against the radars and launchers the Sprinters revealed, while NGJ-MB pods jam residual threats.</w:t>
      </w:r>
    </w:p>
    <w:p>
      <w:pPr>
        <w:pStyle w:val="Normal"/>
        <w:numPr>
          <w:ilvl w:val="0"/>
          <w:numId w:val="1"/>
        </w:numPr>
        <w:spacing w:after="120"/>
      </w:pPr>
      <w:r>
        <w:rPr>
          <w:b/>
          <w:rFonts w:ascii="Calibri" w:hAnsi="Calibri" w:eastAsia="Microsoft YaHei" w:cs="Calibri"/>
          <w:color w:val="1D2D3D"/>
          <w:sz w:val="22"/>
          <w:szCs w:val="22"/>
        </w:rPr>
        <w:t xml:space="preserve">Heavy Strike: </w:t>
      </w:r>
      <w:r>
        <w:rPr>
          <w:rFonts w:ascii="Calibri" w:hAnsi="Calibri" w:eastAsia="Microsoft YaHei" w:cs="Calibri"/>
          <w:color w:val="1D2D3D"/>
          <w:sz w:val="22"/>
          <w:szCs w:val="22"/>
        </w:rPr>
        <w:t>With the IADS suppressed, Gripens enter to prosecute high-value targets with heavier weapons; surviving Sprinters sustain decoy and jamming.</w:t>
      </w:r>
    </w:p>
    <w:p>
      <w:pPr>
        <w:pStyle w:val="Normal"/>
        <w:numPr>
          <w:ilvl w:val="0"/>
          <w:numId w:val="1"/>
        </w:numPr>
        <w:spacing w:after="120"/>
      </w:pPr>
      <w:r>
        <w:rPr>
          <w:b/>
          <w:rFonts w:ascii="Calibri" w:hAnsi="Calibri" w:eastAsia="Microsoft YaHei" w:cs="Calibri"/>
          <w:color w:val="1D2D3D"/>
          <w:sz w:val="22"/>
          <w:szCs w:val="22"/>
        </w:rPr>
        <w:t xml:space="preserve">Egress: </w:t>
      </w:r>
      <w:r>
        <w:rPr>
          <w:rFonts w:ascii="Calibri" w:hAnsi="Calibri" w:eastAsia="Microsoft YaHei" w:cs="Calibri"/>
          <w:color w:val="1D2D3D"/>
          <w:sz w:val="22"/>
          <w:szCs w:val="22"/>
        </w:rPr>
        <w:t>Coordinated withdrawal under Striker EW cover; remaining Sprinters may be spent to screen the retreat.</w:t>
      </w:r>
    </w:p>
    <w:p>
      <w:pPr>
        <w:pStyle w:val="Heading2"/>
      </w:pPr>
      <w:r>
        <w:rPr>
          <w:rFonts w:ascii="Calibri" w:hAnsi="Calibri" w:eastAsia="Microsoft YaHei" w:cs="Calibri"/>
          <w:b/>
          <w:color w:val="1D2D3D"/>
          <w:sz w:val="30"/>
          <w:szCs w:val="30"/>
        </w:rPr>
        <w:t>Force Structure and Basing</w:t>
      </w:r>
    </w:p>
    <w:tbl>
      <w:tblPr>
        <w:tblW w:w="5000" w:type="pct"/>
        <w:tblBorders>
          <w:top w:val="single" w:color="3D5A80" w:sz="12"/>
          <w:left w:val="nil"/>
          <w:bottom w:val="single" w:color="3D5A80" w:sz="12"/>
          <w:right w:val="nil"/>
          <w:insideH w:val="single" w:color="C8D5E0" w:sz="4"/>
          <w:insideV w:val="nil"/>
        </w:tblBorders>
      </w:tblPr>
      <w:tblGrid>
        <w:gridCol w:w="35"/>
        <w:gridCol w:w="65"/>
      </w:tblGrid>
      <w:tr>
        <w:trPr>
          <w:tblHeader w:val="1"/>
        </w:trPr>
        <w:tc>
          <w:tcPr>
            <w:tcW w:w="35" w:type="pct"/>
            <w:shd w:val="clear" w:fill="E8EDF2" w:color="auto"/>
          </w:tcPr>
          <w:p>
            <w:pPr>
              <w:pStyle w:val="Normal"/>
              <w:spacing w:before="40" w:after="40"/>
              <w:jc w:val="center"/>
            </w:pPr>
            <w:r>
              <w:rPr>
                <w:b/>
                <w:color w:val="1D2D3D"/>
                <w:sz w:val="20"/>
                <w:rFonts w:ascii="Calibri" w:hAnsi="Calibri" w:eastAsia="Microsoft YaHei" w:cs="Calibri"/>
                <w:szCs w:val="20"/>
              </w:rPr>
              <w:t>Element</w:t>
            </w:r>
          </w:p>
        </w:tc>
        <w:tc>
          <w:tcPr>
            <w:tcW w:w="65" w:type="pct"/>
            <w:shd w:val="clear" w:fill="E8EDF2" w:color="auto"/>
          </w:tcPr>
          <w:p>
            <w:pPr>
              <w:pStyle w:val="Normal"/>
              <w:spacing w:before="40" w:after="40"/>
              <w:jc w:val="center"/>
            </w:pPr>
            <w:r>
              <w:rPr>
                <w:b/>
                <w:color w:val="1D2D3D"/>
                <w:sz w:val="20"/>
                <w:rFonts w:ascii="Calibri" w:hAnsi="Calibri" w:eastAsia="Microsoft YaHei" w:cs="Calibri"/>
                <w:szCs w:val="20"/>
              </w:rPr>
              <w:t>Details</w:t>
            </w:r>
          </w:p>
        </w:tc>
      </w:tr>
      <w:tr>
        <w:tc>
          <w:tcPr>
            <w:tcW w:w="35" w:type="pct"/>
          </w:tcPr>
          <w:p>
            <w:pPr>
              <w:pStyle w:val="Normal"/>
              <w:spacing w:before="30" w:after="30"/>
              <w:ind w:left="60"/>
            </w:pPr>
            <w:r>
              <w:rPr>
                <w:color w:val="4A5568"/>
                <w:sz w:val="20"/>
                <w:rFonts w:ascii="Calibri" w:hAnsi="Calibri" w:eastAsia="Microsoft YaHei" w:cs="Calibri"/>
                <w:szCs w:val="20"/>
              </w:rPr>
              <w:t>Arctic Gripen E</w:t>
            </w:r>
          </w:p>
        </w:tc>
        <w:tc>
          <w:tcPr>
            <w:tcW w:w="65" w:type="pct"/>
          </w:tcPr>
          <w:p>
            <w:pPr>
              <w:pStyle w:val="Normal"/>
              <w:spacing w:before="30" w:after="30"/>
              <w:ind w:left="60"/>
            </w:pPr>
            <w:r>
              <w:rPr>
                <w:color w:val="4A5568"/>
                <w:sz w:val="20"/>
                <w:rFonts w:ascii="Calibri" w:hAnsi="Calibri" w:eastAsia="Microsoft YaHei" w:cs="Calibri"/>
                <w:szCs w:val="20"/>
              </w:rPr>
              <w:t>48 aircraft: 4 MOBs x 12 each (Cold Lake, Bagotville, Goose Bay, Thule/Pituffik)</w:t>
            </w:r>
          </w:p>
        </w:tc>
      </w:tr>
      <w:tr>
        <w:tc>
          <w:tcPr>
            <w:tcW w:w="35" w:type="pct"/>
          </w:tcPr>
          <w:p>
            <w:pPr>
              <w:pStyle w:val="Normal"/>
              <w:spacing w:before="30" w:after="30"/>
              <w:ind w:left="60"/>
            </w:pPr>
            <w:r>
              <w:rPr>
                <w:color w:val="4A5568"/>
                <w:sz w:val="20"/>
                <w:rFonts w:ascii="Calibri" w:hAnsi="Calibri" w:eastAsia="Microsoft YaHei" w:cs="Calibri"/>
                <w:szCs w:val="20"/>
              </w:rPr>
              <w:t>Sprinter UAVs</w:t>
            </w:r>
          </w:p>
        </w:tc>
        <w:tc>
          <w:tcPr>
            <w:tcW w:w="65" w:type="pct"/>
          </w:tcPr>
          <w:p>
            <w:pPr>
              <w:pStyle w:val="Normal"/>
              <w:spacing w:before="30" w:after="30"/>
              <w:ind w:left="60"/>
            </w:pPr>
            <w:r>
              <w:rPr>
                <w:color w:val="4A5568"/>
                <w:sz w:val="20"/>
                <w:rFonts w:ascii="Calibri" w:hAnsi="Calibri" w:eastAsia="Microsoft YaHei" w:cs="Calibri"/>
                <w:szCs w:val="20"/>
              </w:rPr>
              <w:t>60 aircraft: 1.25 per Gripen; 20-airframe attrition reserve</w:t>
            </w:r>
          </w:p>
        </w:tc>
      </w:tr>
      <w:tr>
        <w:tc>
          <w:tcPr>
            <w:tcW w:w="35" w:type="pct"/>
          </w:tcPr>
          <w:p>
            <w:pPr>
              <w:pStyle w:val="Normal"/>
              <w:spacing w:before="30" w:after="30"/>
              <w:ind w:left="60"/>
            </w:pPr>
            <w:r>
              <w:rPr>
                <w:color w:val="4A5568"/>
                <w:sz w:val="20"/>
                <w:rFonts w:ascii="Calibri" w:hAnsi="Calibri" w:eastAsia="Microsoft YaHei" w:cs="Calibri"/>
                <w:szCs w:val="20"/>
              </w:rPr>
              <w:t>Striker UAVs</w:t>
            </w:r>
          </w:p>
        </w:tc>
        <w:tc>
          <w:tcPr>
            <w:tcW w:w="65" w:type="pct"/>
          </w:tcPr>
          <w:p>
            <w:pPr>
              <w:pStyle w:val="Normal"/>
              <w:spacing w:before="30" w:after="30"/>
              <w:ind w:left="60"/>
            </w:pPr>
            <w:r>
              <w:rPr>
                <w:color w:val="4A5568"/>
                <w:sz w:val="20"/>
                <w:rFonts w:ascii="Calibri" w:hAnsi="Calibri" w:eastAsia="Microsoft YaHei" w:cs="Calibri"/>
                <w:szCs w:val="20"/>
              </w:rPr>
              <w:t>48 aircraft: 1.0 per Gripen; precision strike, loyal wingman, EW</w:t>
            </w:r>
          </w:p>
        </w:tc>
      </w:tr>
      <w:tr>
        <w:tc>
          <w:tcPr>
            <w:tcW w:w="35" w:type="pct"/>
          </w:tcPr>
          <w:p>
            <w:pPr>
              <w:pStyle w:val="Normal"/>
              <w:spacing w:before="30" w:after="30"/>
              <w:ind w:left="60"/>
            </w:pPr>
            <w:r>
              <w:rPr>
                <w:color w:val="4A5568"/>
                <w:sz w:val="20"/>
                <w:rFonts w:ascii="Calibri" w:hAnsi="Calibri" w:eastAsia="Microsoft YaHei" w:cs="Calibri"/>
                <w:szCs w:val="20"/>
              </w:rPr>
              <w:t>MOB Network</w:t>
            </w:r>
          </w:p>
        </w:tc>
        <w:tc>
          <w:tcPr>
            <w:tcW w:w="65" w:type="pct"/>
          </w:tcPr>
          <w:p>
            <w:pPr>
              <w:pStyle w:val="Normal"/>
              <w:spacing w:before="30" w:after="30"/>
              <w:ind w:left="60"/>
            </w:pPr>
            <w:r>
              <w:rPr>
                <w:color w:val="4A5568"/>
                <w:sz w:val="20"/>
                <w:rFonts w:ascii="Calibri" w:hAnsi="Calibri" w:eastAsia="Microsoft YaHei" w:cs="Calibri"/>
                <w:szCs w:val="20"/>
              </w:rPr>
              <w:t>4 Main Operating Bases with dispersed Forward Operating Locations</w:t>
            </w:r>
          </w:p>
        </w:tc>
      </w:tr>
      <w:tr>
        <w:tc>
          <w:tcPr>
            <w:tcW w:w="35" w:type="pct"/>
          </w:tcPr>
          <w:p>
            <w:pPr>
              <w:pStyle w:val="Normal"/>
              <w:spacing w:before="30" w:after="30"/>
              <w:ind w:left="60"/>
            </w:pPr>
            <w:r>
              <w:rPr>
                <w:color w:val="4A5568"/>
                <w:sz w:val="20"/>
                <w:rFonts w:ascii="Calibri" w:hAnsi="Calibri" w:eastAsia="Microsoft YaHei" w:cs="Calibri"/>
                <w:szCs w:val="20"/>
              </w:rPr>
              <w:t>Turnaround</w:t>
            </w:r>
          </w:p>
        </w:tc>
        <w:tc>
          <w:tcPr>
            <w:tcW w:w="65" w:type="pct"/>
          </w:tcPr>
          <w:p>
            <w:pPr>
              <w:pStyle w:val="Normal"/>
              <w:spacing w:before="30" w:after="30"/>
              <w:ind w:left="60"/>
            </w:pPr>
            <w:r>
              <w:rPr>
                <w:color w:val="4A5568"/>
                <w:sz w:val="20"/>
                <w:rFonts w:ascii="Calibri" w:hAnsi="Calibri" w:eastAsia="Microsoft YaHei" w:cs="Calibri"/>
                <w:szCs w:val="20"/>
              </w:rPr>
              <w:t>30-min combat turnaround at -30 deg C; 6-person austere crew</w:t>
            </w:r>
          </w:p>
        </w:tc>
      </w:tr>
      <w:tr>
        <w:tc>
          <w:tcPr>
            <w:tcW w:w="35" w:type="pct"/>
          </w:tcPr>
          <w:p>
            <w:pPr>
              <w:pStyle w:val="Normal"/>
              <w:spacing w:before="30" w:after="30"/>
              <w:ind w:left="60"/>
            </w:pPr>
            <w:r>
              <w:rPr>
                <w:color w:val="4A5568"/>
                <w:sz w:val="20"/>
                <w:rFonts w:ascii="Calibri" w:hAnsi="Calibri" w:eastAsia="Microsoft YaHei" w:cs="Calibri"/>
                <w:szCs w:val="20"/>
              </w:rPr>
              <w:t>Weapon Resupply</w:t>
            </w:r>
          </w:p>
        </w:tc>
        <w:tc>
          <w:tcPr>
            <w:tcW w:w="65" w:type="pct"/>
          </w:tcPr>
          <w:p>
            <w:pPr>
              <w:pStyle w:val="Normal"/>
              <w:spacing w:before="30" w:after="30"/>
              <w:ind w:left="60"/>
            </w:pPr>
            <w:r>
              <w:rPr>
                <w:color w:val="4A5568"/>
                <w:sz w:val="20"/>
                <w:rFonts w:ascii="Calibri" w:hAnsi="Calibri" w:eastAsia="Microsoft YaHei" w:cs="Calibri"/>
                <w:szCs w:val="20"/>
              </w:rPr>
              <w:t>3-4 strategic-airlift sorties/week at high tempo</w:t>
            </w:r>
          </w:p>
        </w:tc>
      </w:tr>
    </w:tbl>
    <w:p>
      <w:pPr>
        <w:pStyle w:val="Normal"/>
        <w:spacing w:after="120"/>
      </w:pPr>
    </w:p>
    <w:p>
      <w:pPr>
        <w:pStyle w:val="Heading2"/>
      </w:pPr>
      <w:r>
        <w:rPr>
          <w:rFonts w:ascii="Calibri" w:hAnsi="Calibri" w:eastAsia="Microsoft YaHei" w:cs="Calibri"/>
          <w:b/>
          <w:color w:val="1D2D3D"/>
          <w:sz w:val="30"/>
          <w:szCs w:val="30"/>
        </w:rPr>
        <w:t>Economic Benefits Summary</w:t>
      </w:r>
    </w:p>
    <w:p>
      <w:pPr>
        <w:pStyle w:val="Normal"/>
        <w:spacing w:after="80"/>
        <w:ind w:left="720" w:hanging="360"/>
      </w:pPr>
      <w:r>
        <w:rPr>
          <w:rFonts w:ascii="Calibri" w:hAnsi="Calibri" w:eastAsia="Microsoft YaHei" w:cs="Calibri"/>
          <w:color w:val="1D2D3D"/>
          <w:sz w:val="22"/>
          <w:szCs w:val="22"/>
        </w:rPr>
        <w:t xml:space="preserve">•  Total direct jobs created (peak): 8,340</w:t>
      </w:r>
    </w:p>
    <w:p>
      <w:pPr>
        <w:pStyle w:val="Normal"/>
        <w:spacing w:after="80"/>
        <w:ind w:left="720" w:hanging="360"/>
      </w:pPr>
      <w:r>
        <w:rPr>
          <w:rFonts w:ascii="Calibri" w:hAnsi="Calibri" w:eastAsia="Microsoft YaHei" w:cs="Calibri"/>
          <w:color w:val="1D2D3D"/>
          <w:sz w:val="22"/>
          <w:szCs w:val="22"/>
        </w:rPr>
        <w:t xml:space="preserve">•  Total indirect + induced jobs: 11,950</w:t>
      </w:r>
    </w:p>
    <w:p>
      <w:pPr>
        <w:pStyle w:val="Normal"/>
        <w:spacing w:after="80"/>
        <w:ind w:left="720" w:hanging="360"/>
      </w:pPr>
      <w:r>
        <w:rPr>
          <w:rFonts w:ascii="Calibri" w:hAnsi="Calibri" w:eastAsia="Microsoft YaHei" w:cs="Calibri"/>
          <w:color w:val="1D2D3D"/>
          <w:sz w:val="22"/>
          <w:szCs w:val="22"/>
        </w:rPr>
        <w:t xml:space="preserve">•  Total GDP contribution (10-year): $14.1 billion CAD</w:t>
      </w:r>
    </w:p>
    <w:p>
      <w:pPr>
        <w:pStyle w:val="Normal"/>
        <w:spacing w:after="80"/>
        <w:ind w:left="720" w:hanging="360"/>
      </w:pPr>
      <w:r>
        <w:rPr>
          <w:rFonts w:ascii="Calibri" w:hAnsi="Calibri" w:eastAsia="Microsoft YaHei" w:cs="Calibri"/>
          <w:color w:val="1D2D3D"/>
          <w:sz w:val="22"/>
          <w:szCs w:val="22"/>
        </w:rPr>
        <w:t xml:space="preserve">•  Procurement savings vs. F-35: $9.24 billion CAD</w:t>
      </w:r>
    </w:p>
    <w:p>
      <w:pPr>
        <w:pStyle w:val="Normal"/>
        <w:spacing w:after="80"/>
        <w:ind w:left="720" w:hanging="360"/>
      </w:pPr>
      <w:r>
        <w:rPr>
          <w:rFonts w:ascii="Calibri" w:hAnsi="Calibri" w:eastAsia="Microsoft YaHei" w:cs="Calibri"/>
          <w:color w:val="1D2D3D"/>
          <w:sz w:val="22"/>
          <w:szCs w:val="22"/>
        </w:rPr>
        <w:t xml:space="preserve">•  Annual operating cost savings: $1.134 billion/year</w:t>
      </w:r>
    </w:p>
    <w:p>
      <w:pPr>
        <w:pStyle w:val="Normal"/>
        <w:spacing w:after="80"/>
        <w:ind w:left="720" w:hanging="360"/>
      </w:pPr>
      <w:r>
        <w:rPr>
          <w:rFonts w:ascii="Calibri" w:hAnsi="Calibri" w:eastAsia="Microsoft YaHei" w:cs="Calibri"/>
          <w:color w:val="1D2D3D"/>
          <w:sz w:val="22"/>
          <w:szCs w:val="22"/>
        </w:rPr>
        <w:t xml:space="preserve">•  Tax revenue (10-year): $3.78 billion</w:t>
      </w:r>
    </w:p>
    <w:p>
      <w:pPr>
        <w:pStyle w:val="Normal"/>
        <w:spacing w:after="80"/>
        <w:ind w:left="720" w:hanging="360"/>
      </w:pPr>
      <w:r>
        <w:rPr>
          <w:rFonts w:ascii="Calibri" w:hAnsi="Calibri" w:eastAsia="Microsoft YaHei" w:cs="Calibri"/>
          <w:color w:val="1D2D3D"/>
          <w:sz w:val="22"/>
          <w:szCs w:val="22"/>
        </w:rPr>
        <w:t xml:space="preserve">•  Export potential (by 2040): $2.0-4.0 billion</w:t>
      </w:r>
    </w:p>
    <w:p>
      <w:pPr>
        <w:pStyle w:val="Normal"/>
        <w:spacing w:after="80"/>
        <w:ind w:left="720" w:hanging="360"/>
      </w:pPr>
      <w:r>
        <w:rPr>
          <w:rFonts w:ascii="Calibri" w:hAnsi="Calibri" w:eastAsia="Microsoft YaHei" w:cs="Calibri"/>
          <w:color w:val="1D2D3D"/>
          <w:sz w:val="22"/>
          <w:szCs w:val="22"/>
        </w:rPr>
        <w:t xml:space="preserve">•  Workforce transition: 1,275 displaced auto workers annually to aerospace</w:t>
      </w:r>
    </w:p>
    <w:p>
      <w:pPr>
        <w:pStyle w:val="Heading2"/>
      </w:pPr>
      <w:r>
        <w:rPr>
          <w:rFonts w:ascii="Calibri" w:hAnsi="Calibri" w:eastAsia="Microsoft YaHei" w:cs="Calibri"/>
          <w:b/>
          <w:color w:val="1D2D3D"/>
          <w:sz w:val="30"/>
          <w:szCs w:val="30"/>
        </w:rPr>
        <w:t>The Tempest Bridge Strategy</w:t>
      </w:r>
    </w:p>
    <w:p>
      <w:pPr>
        <w:pStyle w:val="Normal"/>
      </w:pPr>
      <w:r>
        <w:rPr>
          <w:rFonts w:ascii="Calibri" w:hAnsi="Calibri" w:eastAsia="Microsoft YaHei" w:cs="Calibri"/>
          <w:color w:val="1D2D3D"/>
          <w:sz w:val="22"/>
          <w:szCs w:val="22"/>
        </w:rPr>
        <w:t>The $9.24 billion in procurement savings funds a multi-layered reinvestment strategy:</w:t>
      </w:r>
    </w:p>
    <w:p>
      <w:pPr>
        <w:pStyle w:val="Normal"/>
        <w:spacing w:after="80"/>
        <w:ind w:left="720" w:hanging="360"/>
      </w:pPr>
      <w:r>
        <w:rPr>
          <w:rFonts w:ascii="Calibri" w:hAnsi="Calibri" w:eastAsia="Microsoft YaHei" w:cs="Calibri"/>
          <w:color w:val="1D2D3D"/>
          <w:sz w:val="22"/>
          <w:szCs w:val="22"/>
        </w:rPr>
        <w:t xml:space="preserve">•  $3.50B: Tempest (GCAP) partnership entry as Tier-2 partner</w:t>
      </w:r>
    </w:p>
    <w:p>
      <w:pPr>
        <w:pStyle w:val="Normal"/>
        <w:spacing w:after="80"/>
        <w:ind w:left="720" w:hanging="360"/>
      </w:pPr>
      <w:r>
        <w:rPr>
          <w:rFonts w:ascii="Calibri" w:hAnsi="Calibri" w:eastAsia="Microsoft YaHei" w:cs="Calibri"/>
          <w:color w:val="1D2D3D"/>
          <w:sz w:val="22"/>
          <w:szCs w:val="22"/>
        </w:rPr>
        <w:t xml:space="preserve">•  $2.00B: Domestic R&amp;D and innovation fund</w:t>
      </w:r>
    </w:p>
    <w:p>
      <w:pPr>
        <w:pStyle w:val="Normal"/>
        <w:spacing w:after="80"/>
        <w:ind w:left="720" w:hanging="360"/>
      </w:pPr>
      <w:r>
        <w:rPr>
          <w:rFonts w:ascii="Calibri" w:hAnsi="Calibri" w:eastAsia="Microsoft YaHei" w:cs="Calibri"/>
          <w:color w:val="1D2D3D"/>
          <w:sz w:val="22"/>
          <w:szCs w:val="22"/>
        </w:rPr>
        <w:t xml:space="preserve">•  $2.26B: Infrastructure and Arctic sovereignty investments</w:t>
      </w:r>
    </w:p>
    <w:p>
      <w:pPr>
        <w:pStyle w:val="Normal"/>
        <w:spacing w:after="80"/>
        <w:ind w:left="720" w:hanging="360"/>
      </w:pPr>
      <w:r>
        <w:rPr>
          <w:rFonts w:ascii="Calibri" w:hAnsi="Calibri" w:eastAsia="Microsoft YaHei" w:cs="Calibri"/>
          <w:color w:val="1D2D3D"/>
          <w:sz w:val="22"/>
          <w:szCs w:val="22"/>
        </w:rPr>
        <w:t xml:space="preserve">•  $1.00B: Workforce retraining (automotive to aerospace transition)</w:t>
      </w:r>
    </w:p>
    <w:p>
      <w:pPr>
        <w:pStyle w:val="Normal"/>
        <w:spacing w:after="80"/>
        <w:ind w:left="720" w:hanging="360"/>
      </w:pPr>
      <w:r>
        <w:rPr>
          <w:rFonts w:ascii="Calibri" w:hAnsi="Calibri" w:eastAsia="Microsoft YaHei" w:cs="Calibri"/>
          <w:color w:val="1D2D3D"/>
          <w:sz w:val="22"/>
          <w:szCs w:val="22"/>
        </w:rPr>
        <w:t xml:space="preserve">•  $0.48B: Contingency and programme reserve</w:t>
      </w:r>
    </w:p>
    <w:p>
      <w:pPr>
        <w:pStyle w:val="Normal"/>
      </w:pPr>
      <w:r>
        <w:rPr>
          <w:rFonts w:ascii="Calibri" w:hAnsi="Calibri" w:eastAsia="Microsoft YaHei" w:cs="Calibri"/>
          <w:color w:val="1D2D3D"/>
          <w:sz w:val="22"/>
          <w:szCs w:val="22"/>
        </w:rPr>
        <w:t>The combined reinvestment generates an estimated $21.44 billion in additional GDP impact, bringing the total 10-year economic footprint to $35.54 billion.</w:t>
      </w:r>
    </w:p>
    <w:p>
      <w:pPr>
        <w:pStyle w:val="Normal"/>
        <w:sectPr>
          <w:type w:val="nextPage"/>
          <w:pgSz w:w="11906" w:h="16838"/>
          <w:pgMar w:top="1440" w:right="1440" w:bottom="1440" w:left="1440" w:header="720" w:footer="720"/>
        </w:sectPr>
      </w:pPr>
    </w:p>
    <w:p>
      <w:pPr>
        <w:pStyle w:val="Heading1"/>
      </w:pPr>
      <w:bookmarkStart w:name="_Doc02" w:id="3"/>
      <w:r>
        <w:rPr>
          <w:rFonts w:ascii="Calibri" w:hAnsi="Calibri" w:eastAsia="Microsoft YaHei" w:cs="Calibri"/>
          <w:b/>
          <w:color w:val="3D5A80"/>
          <w:sz w:val="40"/>
          <w:szCs w:val="40"/>
        </w:rPr>
        <w:t>Document 2: The Arctic Gripen Augmentation</w:t>
      </w:r>
      <w:bookmarkEnd w:id="3"/>
    </w:p>
    <w:p>
      <w:pPr>
        <w:pStyle w:val="Normal"/>
      </w:pPr>
      <w:r>
        <w:rPr>
          <w:rFonts w:ascii="Calibri" w:hAnsi="Calibri" w:eastAsia="Microsoft YaHei" w:cs="Calibri"/>
          <w:color w:val="1D2D3D"/>
          <w:sz w:val="22"/>
          <w:szCs w:val="22"/>
        </w:rPr>
        <w:t>Critical Design Review Technical Baseline | Document No.: CDR-2025-ARCTIC-001</w:t>
      </w:r>
    </w:p>
    <w:p>
      <w:pPr>
        <w:pStyle w:val="Normal"/>
        <w:spacing w:after="240"/>
      </w:pPr>
    </w:p>
    <w:p>
      <w:pPr>
        <w:pStyle w:val="Heading2"/>
      </w:pPr>
      <w:r>
        <w:rPr>
          <w:rFonts w:ascii="Calibri" w:hAnsi="Calibri" w:eastAsia="Microsoft YaHei" w:cs="Calibri"/>
          <w:b/>
          <w:color w:val="1D2D3D"/>
          <w:sz w:val="30"/>
          <w:szCs w:val="30"/>
        </w:rPr>
        <w:t>Executive Summary</w:t>
      </w:r>
    </w:p>
    <w:p>
      <w:pPr>
        <w:pStyle w:val="Normal"/>
      </w:pPr>
      <w:r>
        <w:rPr>
          <w:rFonts w:ascii="Calibri" w:hAnsi="Calibri" w:eastAsia="Microsoft YaHei" w:cs="Calibri"/>
          <w:color w:val="1D2D3D"/>
          <w:sz w:val="22"/>
          <w:szCs w:val="22"/>
        </w:rPr>
        <w:t>This document establishes the Critical Design Review (CDR) technical baseline for the Arctic Augmented Gripen E. It defines the complete set of modifications, subsystems, and performance parameters required to adapt the Saab JAS 39 Gripen E for sustained Canadian Arctic operations to -55 deg C ambient.</w:t>
      </w:r>
    </w:p>
    <w:p>
      <w:pPr>
        <w:pStyle w:val="Normal"/>
      </w:pPr>
      <w:r>
        <w:rPr>
          <w:rFonts w:ascii="Calibri" w:hAnsi="Calibri" w:eastAsia="Microsoft YaHei" w:cs="Calibri"/>
          <w:color w:val="1D2D3D"/>
          <w:sz w:val="22"/>
          <w:szCs w:val="22"/>
        </w:rPr>
        <w:t>The Arctic Augmentation integrates: cryo-stable radar-absorbent materials (CS-RAM), carbon nanotube (CNT) electro-thermal de-ice systems, conformal fuel tanks (CFTs), semi-internal weapons pod (SIWP-39-AR), IRIS-M2 variable-geometry mixer nozzle, multi-constellation navigation with CRPA anti-jam, daytime celestial navigation, and a comprehensive Arctic survival system for pilots.</w:t>
      </w:r>
    </w:p>
    <w:p>
      <w:pPr>
        <w:pStyle w:val="Heading3"/>
      </w:pPr>
      <w:r>
        <w:rPr>
          <w:rFonts w:ascii="Calibri" w:hAnsi="Calibri" w:eastAsia="Microsoft YaHei" w:cs="Calibri"/>
          <w:b/>
          <w:color w:val="4A5568"/>
          <w:sz w:val="26"/>
          <w:szCs w:val="26"/>
        </w:rPr>
        <w:t>Key Performance Parameters</w:t>
      </w:r>
    </w:p>
    <w:tbl>
      <w:tblPr>
        <w:tblW w:w="5000" w:type="pct"/>
        <w:tblBorders>
          <w:top w:val="single" w:color="3D5A80" w:sz="12"/>
          <w:left w:val="nil"/>
          <w:bottom w:val="single" w:color="3D5A80" w:sz="12"/>
          <w:right w:val="nil"/>
          <w:insideH w:val="single" w:color="C8D5E0" w:sz="4"/>
          <w:insideV w:val="nil"/>
        </w:tblBorders>
      </w:tblPr>
      <w:tblGrid>
        <w:gridCol w:w="45"/>
        <w:gridCol w:w="55"/>
      </w:tblGrid>
      <w:tr>
        <w:trPr>
          <w:tblHeader w:val="1"/>
        </w:trPr>
        <w:tc>
          <w:tcPr>
            <w:tcW w:w="45" w:type="pct"/>
            <w:shd w:val="clear" w:fill="E8EDF2" w:color="auto"/>
          </w:tcPr>
          <w:p>
            <w:pPr>
              <w:pStyle w:val="Normal"/>
              <w:spacing w:before="40" w:after="40"/>
              <w:jc w:val="center"/>
            </w:pPr>
            <w:r>
              <w:rPr>
                <w:b/>
                <w:color w:val="1D2D3D"/>
                <w:sz w:val="20"/>
                <w:rFonts w:ascii="Calibri" w:hAnsi="Calibri" w:eastAsia="Microsoft YaHei" w:cs="Calibri"/>
                <w:szCs w:val="20"/>
              </w:rPr>
              <w:t>Parameter</w:t>
            </w:r>
          </w:p>
        </w:tc>
        <w:tc>
          <w:tcPr>
            <w:tcW w:w="55" w:type="pct"/>
            <w:shd w:val="clear" w:fill="E8EDF2" w:color="auto"/>
          </w:tcPr>
          <w:p>
            <w:pPr>
              <w:pStyle w:val="Normal"/>
              <w:spacing w:before="40" w:after="40"/>
              <w:jc w:val="center"/>
            </w:pPr>
            <w:r>
              <w:rPr>
                <w:b/>
                <w:color w:val="1D2D3D"/>
                <w:sz w:val="20"/>
                <w:rFonts w:ascii="Calibri" w:hAnsi="Calibri" w:eastAsia="Microsoft YaHei" w:cs="Calibri"/>
                <w:szCs w:val="20"/>
              </w:rPr>
              <w:t>Value</w:t>
            </w:r>
          </w:p>
        </w:tc>
      </w:tr>
      <w:tr>
        <w:tc>
          <w:tcPr>
            <w:tcW w:w="45" w:type="pct"/>
          </w:tcPr>
          <w:p>
            <w:pPr>
              <w:pStyle w:val="Normal"/>
              <w:spacing w:before="30" w:after="30"/>
              <w:ind w:left="60"/>
            </w:pPr>
            <w:r>
              <w:rPr>
                <w:color w:val="4A5568"/>
                <w:sz w:val="20"/>
                <w:rFonts w:ascii="Calibri" w:hAnsi="Calibri" w:eastAsia="Microsoft YaHei" w:cs="Calibri"/>
                <w:szCs w:val="20"/>
              </w:rPr>
              <w:t>Frontal RCS (clean)</w:t>
            </w:r>
          </w:p>
        </w:tc>
        <w:tc>
          <w:tcPr>
            <w:tcW w:w="55" w:type="pct"/>
          </w:tcPr>
          <w:p>
            <w:pPr>
              <w:pStyle w:val="Normal"/>
              <w:spacing w:before="30" w:after="30"/>
              <w:ind w:left="60"/>
            </w:pPr>
            <w:r>
              <w:rPr>
                <w:color w:val="4A5568"/>
                <w:sz w:val="20"/>
                <w:rFonts w:ascii="Calibri" w:hAnsi="Calibri" w:eastAsia="Microsoft YaHei" w:cs="Calibri"/>
                <w:szCs w:val="20"/>
              </w:rPr>
              <w:t>-18 dBsm (0.016 m2)</w:t>
            </w:r>
          </w:p>
        </w:tc>
      </w:tr>
      <w:tr>
        <w:tc>
          <w:tcPr>
            <w:tcW w:w="45" w:type="pct"/>
          </w:tcPr>
          <w:p>
            <w:pPr>
              <w:pStyle w:val="Normal"/>
              <w:spacing w:before="30" w:after="30"/>
              <w:ind w:left="60"/>
            </w:pPr>
            <w:r>
              <w:rPr>
                <w:color w:val="4A5568"/>
                <w:sz w:val="20"/>
                <w:rFonts w:ascii="Calibri" w:hAnsi="Calibri" w:eastAsia="Microsoft YaHei" w:cs="Calibri"/>
                <w:szCs w:val="20"/>
              </w:rPr>
              <w:t>Frontal RCS (with SIWP-39)</w:t>
            </w:r>
          </w:p>
        </w:tc>
        <w:tc>
          <w:tcPr>
            <w:tcW w:w="55" w:type="pct"/>
          </w:tcPr>
          <w:p>
            <w:pPr>
              <w:pStyle w:val="Normal"/>
              <w:spacing w:before="30" w:after="30"/>
              <w:ind w:left="60"/>
            </w:pPr>
            <w:r>
              <w:rPr>
                <w:color w:val="4A5568"/>
                <w:sz w:val="20"/>
                <w:rFonts w:ascii="Calibri" w:hAnsi="Calibri" w:eastAsia="Microsoft YaHei" w:cs="Calibri"/>
                <w:szCs w:val="20"/>
              </w:rPr>
              <w:t>-12 dBsm (0.063 m2)</w:t>
            </w:r>
          </w:p>
        </w:tc>
      </w:tr>
      <w:tr>
        <w:tc>
          <w:tcPr>
            <w:tcW w:w="45" w:type="pct"/>
          </w:tcPr>
          <w:p>
            <w:pPr>
              <w:pStyle w:val="Normal"/>
              <w:spacing w:before="30" w:after="30"/>
              <w:ind w:left="60"/>
            </w:pPr>
            <w:r>
              <w:rPr>
                <w:color w:val="4A5568"/>
                <w:sz w:val="20"/>
                <w:rFonts w:ascii="Calibri" w:hAnsi="Calibri" w:eastAsia="Microsoft YaHei" w:cs="Calibri"/>
                <w:szCs w:val="20"/>
              </w:rPr>
              <w:t>Thermal signature reduction</w:t>
            </w:r>
          </w:p>
        </w:tc>
        <w:tc>
          <w:tcPr>
            <w:tcW w:w="55" w:type="pct"/>
          </w:tcPr>
          <w:p>
            <w:pPr>
              <w:pStyle w:val="Normal"/>
              <w:spacing w:before="30" w:after="30"/>
              <w:ind w:left="60"/>
            </w:pPr>
            <w:r>
              <w:rPr>
                <w:color w:val="4A5568"/>
                <w:sz w:val="20"/>
                <w:rFonts w:ascii="Calibri" w:hAnsi="Calibri" w:eastAsia="Microsoft YaHei" w:cs="Calibri"/>
                <w:szCs w:val="20"/>
              </w:rPr>
              <w:t>20% IRST detection range reduction (IRIS-M2)</w:t>
            </w:r>
          </w:p>
        </w:tc>
      </w:tr>
      <w:tr>
        <w:tc>
          <w:tcPr>
            <w:tcW w:w="45" w:type="pct"/>
          </w:tcPr>
          <w:p>
            <w:pPr>
              <w:pStyle w:val="Normal"/>
              <w:spacing w:before="30" w:after="30"/>
              <w:ind w:left="60"/>
            </w:pPr>
            <w:r>
              <w:rPr>
                <w:color w:val="4A5568"/>
                <w:sz w:val="20"/>
                <w:rFonts w:ascii="Calibri" w:hAnsi="Calibri" w:eastAsia="Microsoft YaHei" w:cs="Calibri"/>
                <w:szCs w:val="20"/>
              </w:rPr>
              <w:t>Combat radius</w:t>
            </w:r>
          </w:p>
        </w:tc>
        <w:tc>
          <w:tcPr>
            <w:tcW w:w="55" w:type="pct"/>
          </w:tcPr>
          <w:p>
            <w:pPr>
              <w:pStyle w:val="Normal"/>
              <w:spacing w:before="30" w:after="30"/>
              <w:ind w:left="60"/>
            </w:pPr>
            <w:r>
              <w:rPr>
                <w:color w:val="4A5568"/>
                <w:sz w:val="20"/>
                <w:rFonts w:ascii="Calibri" w:hAnsi="Calibri" w:eastAsia="Microsoft YaHei" w:cs="Calibri"/>
                <w:szCs w:val="20"/>
              </w:rPr>
              <w:t>1,650 km (hi-lo-hi with CFTs)</w:t>
            </w:r>
          </w:p>
        </w:tc>
      </w:tr>
      <w:tr>
        <w:tc>
          <w:tcPr>
            <w:tcW w:w="45" w:type="pct"/>
          </w:tcPr>
          <w:p>
            <w:pPr>
              <w:pStyle w:val="Normal"/>
              <w:spacing w:before="30" w:after="30"/>
              <w:ind w:left="60"/>
            </w:pPr>
            <w:r>
              <w:rPr>
                <w:color w:val="4A5568"/>
                <w:sz w:val="20"/>
                <w:rFonts w:ascii="Calibri" w:hAnsi="Calibri" w:eastAsia="Microsoft YaHei" w:cs="Calibri"/>
                <w:szCs w:val="20"/>
              </w:rPr>
              <w:t>Maximum speed</w:t>
            </w:r>
          </w:p>
        </w:tc>
        <w:tc>
          <w:tcPr>
            <w:tcW w:w="55" w:type="pct"/>
          </w:tcPr>
          <w:p>
            <w:pPr>
              <w:pStyle w:val="Normal"/>
              <w:spacing w:before="30" w:after="30"/>
              <w:ind w:left="60"/>
            </w:pPr>
            <w:r>
              <w:rPr>
                <w:color w:val="4A5568"/>
                <w:sz w:val="20"/>
                <w:rFonts w:ascii="Calibri" w:hAnsi="Calibri" w:eastAsia="Microsoft YaHei" w:cs="Calibri"/>
                <w:szCs w:val="20"/>
              </w:rPr>
              <w:t>Mach 1.8+ (Mach 2.0 dash)</w:t>
            </w:r>
          </w:p>
        </w:tc>
      </w:tr>
      <w:tr>
        <w:tc>
          <w:tcPr>
            <w:tcW w:w="45" w:type="pct"/>
          </w:tcPr>
          <w:p>
            <w:pPr>
              <w:pStyle w:val="Normal"/>
              <w:spacing w:before="30" w:after="30"/>
              <w:ind w:left="60"/>
            </w:pPr>
            <w:r>
              <w:rPr>
                <w:color w:val="4A5568"/>
                <w:sz w:val="20"/>
                <w:rFonts w:ascii="Calibri" w:hAnsi="Calibri" w:eastAsia="Microsoft YaHei" w:cs="Calibri"/>
                <w:szCs w:val="20"/>
              </w:rPr>
              <w:t>Cold start time</w:t>
            </w:r>
          </w:p>
        </w:tc>
        <w:tc>
          <w:tcPr>
            <w:tcW w:w="55" w:type="pct"/>
          </w:tcPr>
          <w:p>
            <w:pPr>
              <w:pStyle w:val="Normal"/>
              <w:spacing w:before="30" w:after="30"/>
              <w:ind w:left="60"/>
            </w:pPr>
            <w:r>
              <w:rPr>
                <w:color w:val="4A5568"/>
                <w:sz w:val="20"/>
                <w:rFonts w:ascii="Calibri" w:hAnsi="Calibri" w:eastAsia="Microsoft YaHei" w:cs="Calibri"/>
                <w:szCs w:val="20"/>
              </w:rPr>
              <w:t>12 minutes at -40 deg C (reliable to -55 deg C)</w:t>
            </w:r>
          </w:p>
        </w:tc>
      </w:tr>
      <w:tr>
        <w:tc>
          <w:tcPr>
            <w:tcW w:w="45" w:type="pct"/>
          </w:tcPr>
          <w:p>
            <w:pPr>
              <w:pStyle w:val="Normal"/>
              <w:spacing w:before="30" w:after="30"/>
              <w:ind w:left="60"/>
            </w:pPr>
            <w:r>
              <w:rPr>
                <w:color w:val="4A5568"/>
                <w:sz w:val="20"/>
                <w:rFonts w:ascii="Calibri" w:hAnsi="Calibri" w:eastAsia="Microsoft YaHei" w:cs="Calibri"/>
                <w:szCs w:val="20"/>
              </w:rPr>
              <w:t>Combat turnaround</w:t>
            </w:r>
          </w:p>
        </w:tc>
        <w:tc>
          <w:tcPr>
            <w:tcW w:w="55" w:type="pct"/>
          </w:tcPr>
          <w:p>
            <w:pPr>
              <w:pStyle w:val="Normal"/>
              <w:spacing w:before="30" w:after="30"/>
              <w:ind w:left="60"/>
            </w:pPr>
            <w:r>
              <w:rPr>
                <w:color w:val="4A5568"/>
                <w:sz w:val="20"/>
                <w:rFonts w:ascii="Calibri" w:hAnsi="Calibri" w:eastAsia="Microsoft YaHei" w:cs="Calibri"/>
                <w:szCs w:val="20"/>
              </w:rPr>
              <w:t>30 minutes at -30 deg C with 6-person crew</w:t>
            </w:r>
          </w:p>
        </w:tc>
      </w:tr>
      <w:tr>
        <w:tc>
          <w:tcPr>
            <w:tcW w:w="45" w:type="pct"/>
          </w:tcPr>
          <w:p>
            <w:pPr>
              <w:pStyle w:val="Normal"/>
              <w:spacing w:before="30" w:after="30"/>
              <w:ind w:left="60"/>
            </w:pPr>
            <w:r>
              <w:rPr>
                <w:color w:val="4A5568"/>
                <w:sz w:val="20"/>
                <w:rFonts w:ascii="Calibri" w:hAnsi="Calibri" w:eastAsia="Microsoft YaHei" w:cs="Calibri"/>
                <w:szCs w:val="20"/>
              </w:rPr>
              <w:t>Design life</w:t>
            </w:r>
          </w:p>
        </w:tc>
        <w:tc>
          <w:tcPr>
            <w:tcW w:w="55" w:type="pct"/>
          </w:tcPr>
          <w:p>
            <w:pPr>
              <w:pStyle w:val="Normal"/>
              <w:spacing w:before="30" w:after="30"/>
              <w:ind w:left="60"/>
            </w:pPr>
            <w:r>
              <w:rPr>
                <w:color w:val="4A5568"/>
                <w:sz w:val="20"/>
                <w:rFonts w:ascii="Calibri" w:hAnsi="Calibri" w:eastAsia="Microsoft YaHei" w:cs="Calibri"/>
                <w:szCs w:val="20"/>
              </w:rPr>
              <w:t>6,000 flight hours / 20 years</w:t>
            </w:r>
          </w:p>
        </w:tc>
      </w:tr>
      <w:tr>
        <w:tc>
          <w:tcPr>
            <w:tcW w:w="45" w:type="pct"/>
          </w:tcPr>
          <w:p>
            <w:pPr>
              <w:pStyle w:val="Normal"/>
              <w:spacing w:before="30" w:after="30"/>
              <w:ind w:left="60"/>
            </w:pPr>
            <w:r>
              <w:rPr>
                <w:color w:val="4A5568"/>
                <w:sz w:val="20"/>
                <w:rFonts w:ascii="Calibri" w:hAnsi="Calibri" w:eastAsia="Microsoft YaHei" w:cs="Calibri"/>
                <w:szCs w:val="20"/>
              </w:rPr>
              <w:t>Unit cost (with Arctic kit)</w:t>
            </w:r>
          </w:p>
        </w:tc>
        <w:tc>
          <w:tcPr>
            <w:tcW w:w="55" w:type="pct"/>
          </w:tcPr>
          <w:p>
            <w:pPr>
              <w:pStyle w:val="Normal"/>
              <w:spacing w:before="30" w:after="30"/>
              <w:ind w:left="60"/>
            </w:pPr>
            <w:r>
              <w:rPr>
                <w:color w:val="4A5568"/>
                <w:sz w:val="20"/>
                <w:rFonts w:ascii="Calibri" w:hAnsi="Calibri" w:eastAsia="Microsoft YaHei" w:cs="Calibri"/>
                <w:szCs w:val="20"/>
              </w:rPr>
              <w:t>$89.85M USD</w:t>
            </w:r>
          </w:p>
        </w:tc>
      </w:tr>
      <w:tr>
        <w:tc>
          <w:tcPr>
            <w:tcW w:w="45" w:type="pct"/>
          </w:tcPr>
          <w:p>
            <w:pPr>
              <w:pStyle w:val="Normal"/>
              <w:spacing w:before="30" w:after="30"/>
              <w:ind w:left="60"/>
            </w:pPr>
            <w:r>
              <w:rPr>
                <w:color w:val="4A5568"/>
                <w:sz w:val="20"/>
                <w:rFonts w:ascii="Calibri" w:hAnsi="Calibri" w:eastAsia="Microsoft YaHei" w:cs="Calibri"/>
                <w:szCs w:val="20"/>
              </w:rPr>
              <w:t>Cost per flight hour</w:t>
            </w:r>
          </w:p>
        </w:tc>
        <w:tc>
          <w:tcPr>
            <w:tcW w:w="55" w:type="pct"/>
          </w:tcPr>
          <w:p>
            <w:pPr>
              <w:pStyle w:val="Normal"/>
              <w:spacing w:before="30" w:after="30"/>
              <w:ind w:left="60"/>
            </w:pPr>
            <w:r>
              <w:rPr>
                <w:color w:val="4A5568"/>
                <w:sz w:val="20"/>
                <w:rFonts w:ascii="Calibri" w:hAnsi="Calibri" w:eastAsia="Microsoft YaHei" w:cs="Calibri"/>
                <w:szCs w:val="20"/>
              </w:rPr>
              <w:t>$8,400 USD</w:t>
            </w:r>
          </w:p>
        </w:tc>
      </w:tr>
    </w:tbl>
    <w:p>
      <w:pPr>
        <w:pStyle w:val="Normal"/>
        <w:spacing w:after="120"/>
      </w:pPr>
    </w:p>
    <w:p>
      <w:pPr>
        <w:pStyle w:val="Heading2"/>
      </w:pPr>
      <w:r>
        <w:rPr>
          <w:rFonts w:ascii="Calibri" w:hAnsi="Calibri" w:eastAsia="Microsoft YaHei" w:cs="Calibri"/>
          <w:b/>
          <w:color w:val="1D2D3D"/>
          <w:sz w:val="30"/>
          <w:szCs w:val="30"/>
        </w:rPr>
        <w:t>Low Observability Modifications</w:t>
      </w:r>
    </w:p>
    <w:p>
      <w:pPr>
        <w:pStyle w:val="Heading3"/>
      </w:pPr>
      <w:r>
        <w:rPr>
          <w:rFonts w:ascii="Calibri" w:hAnsi="Calibri" w:eastAsia="Microsoft YaHei" w:cs="Calibri"/>
          <w:b/>
          <w:color w:val="4A5568"/>
          <w:sz w:val="26"/>
          <w:szCs w:val="26"/>
        </w:rPr>
        <w:t>CS-RAM: Cryo-Stable Radar-Absorbent Material</w:t>
      </w:r>
    </w:p>
    <w:p>
      <w:pPr>
        <w:pStyle w:val="Normal"/>
      </w:pPr>
      <w:r>
        <w:rPr>
          <w:rFonts w:ascii="Calibri" w:hAnsi="Calibri" w:eastAsia="Microsoft YaHei" w:cs="Calibri"/>
          <w:color w:val="1D2D3D"/>
          <w:sz w:val="22"/>
          <w:szCs w:val="22"/>
        </w:rPr>
        <w:t>The CS-RAM system uses nickel-zinc-cobalt ferrite with rare-earth dysprosium doping, embedded in a fluorosilicone-epoxy binder with hydrophobic topcoat. It maintains full absorptive performance to -55 deg C and through 2,000 thermal cycles. Coverage: 41% of aircraft surface. Topcoat renewal: every 18 months.</w:t>
      </w:r>
    </w:p>
    <w:p>
      <w:pPr>
        <w:pStyle w:val="Heading3"/>
      </w:pPr>
      <w:r>
        <w:rPr>
          <w:rFonts w:ascii="Calibri" w:hAnsi="Calibri" w:eastAsia="Microsoft YaHei" w:cs="Calibri"/>
          <w:b/>
          <w:color w:val="4A5568"/>
          <w:sz w:val="26"/>
          <w:szCs w:val="26"/>
        </w:rPr>
        <w:t>IRIS-M2 Variable-Geometry Mixer Nozzle</w:t>
      </w:r>
    </w:p>
    <w:p>
      <w:pPr>
        <w:pStyle w:val="Normal"/>
      </w:pPr>
      <w:r>
        <w:rPr>
          <w:rFonts w:ascii="Calibri" w:hAnsi="Calibri" w:eastAsia="Microsoft YaHei" w:cs="Calibri"/>
          <w:color w:val="1D2D3D"/>
          <w:sz w:val="22"/>
          <w:szCs w:val="22"/>
        </w:rPr>
        <w:t>The IRIS-M2 nozzle uses 12 swept mixer tabs deployed at 35 degrees to reduce plume infrared signature. CMC topcoat provides emissivity of 0.92 at 1,100 deg C continuous. Peak plume temperature reduction: 85 deg C at military power, 120 deg C in afterburner. This yields approximately 20% reduction in IRST detection range.</w:t>
      </w:r>
    </w:p>
    <w:p>
      <w:pPr>
        <w:pStyle w:val="Heading3"/>
      </w:pPr>
      <w:r>
        <w:rPr>
          <w:rFonts w:ascii="Calibri" w:hAnsi="Calibri" w:eastAsia="Microsoft YaHei" w:cs="Calibri"/>
          <w:b/>
          <w:color w:val="4A5568"/>
          <w:sz w:val="26"/>
          <w:szCs w:val="26"/>
        </w:rPr>
        <w:t>SIWP-39-AR Semi-Internal Weapons Pod</w:t>
      </w:r>
    </w:p>
    <w:p>
      <w:pPr>
        <w:pStyle w:val="Normal"/>
      </w:pPr>
      <w:r>
        <w:rPr>
          <w:rFonts w:ascii="Calibri" w:hAnsi="Calibri" w:eastAsia="Microsoft YaHei" w:cs="Calibri"/>
          <w:color w:val="1D2D3D"/>
          <w:sz w:val="22"/>
          <w:szCs w:val="22"/>
        </w:rPr>
        <w:t>The SIWP-39-AR pod carries 4x MBDA Meteor missiles in an insulated cavity with CNT heating to -15 deg C activation, achieving 90-second missile-ready time. Door jettison: 0.4 seconds. LO pylon integration maintains -32 dBsm signature.</w:t>
      </w:r>
    </w:p>
    <w:p>
      <w:pPr>
        <w:pStyle w:val="Heading2"/>
      </w:pPr>
      <w:r>
        <w:rPr>
          <w:rFonts w:ascii="Calibri" w:hAnsi="Calibri" w:eastAsia="Microsoft YaHei" w:cs="Calibri"/>
          <w:b/>
          <w:color w:val="1D2D3D"/>
          <w:sz w:val="30"/>
          <w:szCs w:val="30"/>
        </w:rPr>
        <w:t>Arctic-Specific Systems</w:t>
      </w:r>
    </w:p>
    <w:p>
      <w:pPr>
        <w:pStyle w:val="Heading3"/>
      </w:pPr>
      <w:r>
        <w:rPr>
          <w:rFonts w:ascii="Calibri" w:hAnsi="Calibri" w:eastAsia="Microsoft YaHei" w:cs="Calibri"/>
          <w:b/>
          <w:color w:val="4A5568"/>
          <w:sz w:val="26"/>
          <w:szCs w:val="26"/>
        </w:rPr>
        <w:t>CNT De-Ice System</w:t>
      </w:r>
    </w:p>
    <w:p>
      <w:pPr>
        <w:pStyle w:val="Normal"/>
      </w:pPr>
      <w:r>
        <w:rPr>
          <w:rFonts w:ascii="Calibri" w:hAnsi="Calibri" w:eastAsia="Microsoft YaHei" w:cs="Calibri"/>
          <w:color w:val="1D2D3D"/>
          <w:sz w:val="22"/>
          <w:szCs w:val="22"/>
        </w:rPr>
        <w:t>Carbon nanotube electro-thermal de-ice mats cover all critical leading edges and inlets: wing (2.4 m2, 4.8 kW peak), stabilizer (0.8 m2, 1.6 kW), fin (0.5 m2, 1.0 kW), inlet lip (0.6 m2, 6 zones, 2.4 kW), and LO pylon (0.4 m2 total, 6 pylons, 1.2 kW). The Saab PDC-2025 controller provides 37-zone intelligent sequencing with 9 kW peak capacity.</w:t>
      </w:r>
    </w:p>
    <w:p>
      <w:pPr>
        <w:pStyle w:val="Heading3"/>
      </w:pPr>
      <w:r>
        <w:rPr>
          <w:rFonts w:ascii="Calibri" w:hAnsi="Calibri" w:eastAsia="Microsoft YaHei" w:cs="Calibri"/>
          <w:b/>
          <w:color w:val="4A5568"/>
          <w:sz w:val="26"/>
          <w:szCs w:val="26"/>
        </w:rPr>
        <w:t>Conformal Fuel Tanks (CFTs)</w:t>
      </w:r>
    </w:p>
    <w:p>
      <w:pPr>
        <w:pStyle w:val="Normal"/>
      </w:pPr>
      <w:r>
        <w:rPr>
          <w:rFonts w:ascii="Calibri" w:hAnsi="Calibri" w:eastAsia="Microsoft YaHei" w:cs="Calibri"/>
          <w:color w:val="1D2D3D"/>
          <w:sz w:val="22"/>
          <w:szCs w:val="22"/>
        </w:rPr>
        <w:t>Carbon fiber CFTs with CNT de-ice and jettison capability add 1,350 litres each (2,700L total), extending combat radius to 1,650 km hi-lo-hi. Pyrotechnic bolt cutters enable 4-point jettison at Mach 1.2 / 6g.</w:t>
      </w:r>
    </w:p>
    <w:p>
      <w:pPr>
        <w:pStyle w:val="Heading3"/>
      </w:pPr>
      <w:r>
        <w:rPr>
          <w:rFonts w:ascii="Calibri" w:hAnsi="Calibri" w:eastAsia="Microsoft YaHei" w:cs="Calibri"/>
          <w:b/>
          <w:color w:val="4A5568"/>
          <w:sz w:val="26"/>
          <w:szCs w:val="26"/>
        </w:rPr>
        <w:t>Polar Navigation Suite</w:t>
      </w:r>
    </w:p>
    <w:p>
      <w:pPr>
        <w:pStyle w:val="Normal"/>
      </w:pPr>
      <w:r>
        <w:rPr>
          <w:rFonts w:ascii="Calibri" w:hAnsi="Calibri" w:eastAsia="Microsoft YaHei" w:cs="Calibri"/>
          <w:color w:val="1D2D3D"/>
          <w:sz w:val="22"/>
          <w:szCs w:val="22"/>
        </w:rPr>
        <w:t>Multi-constellation NAV receiver (GPS/Galileo/GLONASS/BeiDou) with 7-element CRPA anti-jam antenna providing 30 dB null-steering with 200 ms recomputation. Daytime celestial navigation backup (AST-2025) uses 512x512 InGaAs sensor with sapphire window for GPS-denied operations.</w:t>
      </w:r>
    </w:p>
    <w:p>
      <w:pPr>
        <w:pStyle w:val="Heading2"/>
      </w:pPr>
      <w:r>
        <w:rPr>
          <w:rFonts w:ascii="Calibri" w:hAnsi="Calibri" w:eastAsia="Microsoft YaHei" w:cs="Calibri"/>
          <w:b/>
          <w:color w:val="1D2D3D"/>
          <w:sz w:val="30"/>
          <w:szCs w:val="30"/>
        </w:rPr>
        <w:t>Raven ES-05 AESA Radar — Polar Modes</w:t>
      </w:r>
    </w:p>
    <w:p>
      <w:pPr>
        <w:pStyle w:val="Normal"/>
      </w:pPr>
      <w:r>
        <w:rPr>
          <w:rFonts w:ascii="Calibri" w:hAnsi="Calibri" w:eastAsia="Microsoft YaHei" w:cs="Calibri"/>
          <w:color w:val="1D2D3D"/>
          <w:sz w:val="22"/>
          <w:szCs w:val="22"/>
        </w:rPr>
        <w:t>The Raven ES-05 features three Arctic-specific operating modes:</w:t>
      </w:r>
    </w:p>
    <w:p>
      <w:pPr>
        <w:pStyle w:val="Normal"/>
        <w:spacing w:after="80"/>
        <w:ind w:left="720" w:hanging="360"/>
      </w:pPr>
      <w:r>
        <w:rPr>
          <w:rFonts w:ascii="Calibri" w:hAnsi="Calibri" w:eastAsia="Microsoft YaHei" w:cs="Calibri"/>
          <w:color w:val="1D2D3D"/>
          <w:sz w:val="22"/>
          <w:szCs w:val="22"/>
        </w:rPr>
        <w:t xml:space="preserve">•  ACS (Auroral Clutter Suppression): Notch-filters Doppler returns from auroral ionisation, cutting false-target declarations from ~12/min to &lt;1/min at Kp &gt; 5.</w:t>
      </w:r>
    </w:p>
    <w:p>
      <w:pPr>
        <w:pStyle w:val="Normal"/>
        <w:spacing w:after="80"/>
        <w:ind w:left="720" w:hanging="360"/>
      </w:pPr>
      <w:r>
        <w:rPr>
          <w:rFonts w:ascii="Calibri" w:hAnsi="Calibri" w:eastAsia="Microsoft YaHei" w:cs="Calibri"/>
          <w:color w:val="1D2D3D"/>
          <w:sz w:val="22"/>
          <w:szCs w:val="22"/>
        </w:rPr>
        <w:t xml:space="preserve">•  SRF (Surface Reflection Filter): Uses the AESA's 0.3 m range resolution to reject snow-multipath ghosts below 500 m clearance, removing ~85% of ghost declarations.</w:t>
      </w:r>
    </w:p>
    <w:p>
      <w:pPr>
        <w:pStyle w:val="Normal"/>
        <w:spacing w:after="80"/>
        <w:ind w:left="720" w:hanging="360"/>
      </w:pPr>
      <w:r>
        <w:rPr>
          <w:rFonts w:ascii="Calibri" w:hAnsi="Calibri" w:eastAsia="Microsoft YaHei" w:cs="Calibri"/>
          <w:color w:val="1D2D3D"/>
          <w:sz w:val="22"/>
          <w:szCs w:val="22"/>
        </w:rPr>
        <w:t xml:space="preserve">•  CSC (Cold Sky Calibration): Calibrates noise figure against the 5-15 K Arctic sky during climbs above 20,000 ft above 60 deg N, recovering ~+1.5 dB of detection range.</w:t>
      </w:r>
    </w:p>
    <w:p>
      <w:pPr>
        <w:pStyle w:val="Heading2"/>
      </w:pPr>
      <w:r>
        <w:rPr>
          <w:rFonts w:ascii="Calibri" w:hAnsi="Calibri" w:eastAsia="Microsoft YaHei" w:cs="Calibri"/>
          <w:b/>
          <w:color w:val="1D2D3D"/>
          <w:sz w:val="30"/>
          <w:szCs w:val="30"/>
        </w:rPr>
        <w:t>Propulsion — F414-GE-39E Arctic Adaptation</w:t>
      </w:r>
    </w:p>
    <w:p>
      <w:pPr>
        <w:pStyle w:val="Normal"/>
      </w:pPr>
      <w:r>
        <w:rPr>
          <w:rFonts w:ascii="Calibri" w:hAnsi="Calibri" w:eastAsia="Microsoft YaHei" w:cs="Calibri"/>
          <w:color w:val="1D2D3D"/>
          <w:sz w:val="22"/>
          <w:szCs w:val="22"/>
        </w:rPr>
        <w:t>The Volvo RM16 / GE F414-GE-39E (98 kN class) incorporates Arctic-specific modifications: cold-start pre-lube electric motor (28V DC), Arctic compensation map in the FADEC, distortion-limiting software (Arctic Ver 4.2.1-AR), heated wheel hubs, and FFKM Kalrez 7075 seals rated to -60 deg C throughout fuel, hydraulic, and ECS systems.</w:t>
      </w:r>
    </w:p>
    <w:p>
      <w:pPr>
        <w:pStyle w:val="Heading3"/>
      </w:pPr>
      <w:r>
        <w:rPr>
          <w:rFonts w:ascii="Calibri" w:hAnsi="Calibri" w:eastAsia="Microsoft YaHei" w:cs="Calibri"/>
          <w:b/>
          <w:color w:val="4A5568"/>
          <w:sz w:val="26"/>
          <w:szCs w:val="26"/>
        </w:rPr>
        <w:t>Environmental Operating Envelope</w:t>
      </w:r>
    </w:p>
    <w:tbl>
      <w:tblPr>
        <w:tblW w:w="5000" w:type="pct"/>
        <w:tblBorders>
          <w:top w:val="single" w:color="3D5A80" w:sz="12"/>
          <w:left w:val="nil"/>
          <w:bottom w:val="single" w:color="3D5A80" w:sz="12"/>
          <w:right w:val="nil"/>
          <w:insideH w:val="single" w:color="C8D5E0" w:sz="4"/>
          <w:insideV w:val="nil"/>
        </w:tblBorders>
      </w:tblPr>
      <w:tblGrid>
        <w:gridCol w:w="50"/>
        <w:gridCol w:w="50"/>
      </w:tblGrid>
      <w:tr>
        <w:trPr>
          <w:tblHeader w:val="1"/>
        </w:trPr>
        <w:tc>
          <w:tcPr>
            <w:tcW w:w="50" w:type="pct"/>
            <w:shd w:val="clear" w:fill="E8EDF2" w:color="auto"/>
          </w:tcPr>
          <w:p>
            <w:pPr>
              <w:pStyle w:val="Normal"/>
              <w:spacing w:before="40" w:after="40"/>
              <w:jc w:val="center"/>
            </w:pPr>
            <w:r>
              <w:rPr>
                <w:b/>
                <w:color w:val="1D2D3D"/>
                <w:sz w:val="20"/>
                <w:rFonts w:ascii="Calibri" w:hAnsi="Calibri" w:eastAsia="Microsoft YaHei" w:cs="Calibri"/>
                <w:szCs w:val="20"/>
              </w:rPr>
              <w:t>Condition</w:t>
            </w:r>
          </w:p>
        </w:tc>
        <w:tc>
          <w:tcPr>
            <w:tcW w:w="50" w:type="pct"/>
            <w:shd w:val="clear" w:fill="E8EDF2" w:color="auto"/>
          </w:tcPr>
          <w:p>
            <w:pPr>
              <w:pStyle w:val="Normal"/>
              <w:spacing w:before="40" w:after="40"/>
              <w:jc w:val="center"/>
            </w:pPr>
            <w:r>
              <w:rPr>
                <w:b/>
                <w:color w:val="1D2D3D"/>
                <w:sz w:val="20"/>
                <w:rFonts w:ascii="Calibri" w:hAnsi="Calibri" w:eastAsia="Microsoft YaHei" w:cs="Calibri"/>
                <w:szCs w:val="20"/>
              </w:rPr>
              <w:t>Capability</w:t>
            </w:r>
          </w:p>
        </w:tc>
      </w:tr>
      <w:tr>
        <w:tc>
          <w:tcPr>
            <w:tcW w:w="50" w:type="pct"/>
          </w:tcPr>
          <w:p>
            <w:pPr>
              <w:pStyle w:val="Normal"/>
              <w:spacing w:before="30" w:after="30"/>
              <w:ind w:left="60"/>
            </w:pPr>
            <w:r>
              <w:rPr>
                <w:color w:val="4A5568"/>
                <w:sz w:val="20"/>
                <w:rFonts w:ascii="Calibri" w:hAnsi="Calibri" w:eastAsia="Microsoft YaHei" w:cs="Calibri"/>
                <w:szCs w:val="20"/>
              </w:rPr>
              <w:t>Ambient temperature (ground ops)</w:t>
            </w:r>
          </w:p>
        </w:tc>
        <w:tc>
          <w:tcPr>
            <w:tcW w:w="50" w:type="pct"/>
          </w:tcPr>
          <w:p>
            <w:pPr>
              <w:pStyle w:val="Normal"/>
              <w:spacing w:before="30" w:after="30"/>
              <w:ind w:left="60"/>
            </w:pPr>
            <w:r>
              <w:rPr>
                <w:color w:val="4A5568"/>
                <w:sz w:val="20"/>
                <w:rFonts w:ascii="Calibri" w:hAnsi="Calibri" w:eastAsia="Microsoft YaHei" w:cs="Calibri"/>
                <w:szCs w:val="20"/>
              </w:rPr>
              <w:t>-55 deg C to +49 deg C</w:t>
            </w:r>
          </w:p>
        </w:tc>
      </w:tr>
      <w:tr>
        <w:tc>
          <w:tcPr>
            <w:tcW w:w="50" w:type="pct"/>
          </w:tcPr>
          <w:p>
            <w:pPr>
              <w:pStyle w:val="Normal"/>
              <w:spacing w:before="30" w:after="30"/>
              <w:ind w:left="60"/>
            </w:pPr>
            <w:r>
              <w:rPr>
                <w:color w:val="4A5568"/>
                <w:sz w:val="20"/>
                <w:rFonts w:ascii="Calibri" w:hAnsi="Calibri" w:eastAsia="Microsoft YaHei" w:cs="Calibri"/>
                <w:szCs w:val="20"/>
              </w:rPr>
              <w:t>Ambient temperature (flight)</w:t>
            </w:r>
          </w:p>
        </w:tc>
        <w:tc>
          <w:tcPr>
            <w:tcW w:w="50" w:type="pct"/>
          </w:tcPr>
          <w:p>
            <w:pPr>
              <w:pStyle w:val="Normal"/>
              <w:spacing w:before="30" w:after="30"/>
              <w:ind w:left="60"/>
            </w:pPr>
            <w:r>
              <w:rPr>
                <w:color w:val="4A5568"/>
                <w:sz w:val="20"/>
                <w:rFonts w:ascii="Calibri" w:hAnsi="Calibri" w:eastAsia="Microsoft YaHei" w:cs="Calibri"/>
                <w:szCs w:val="20"/>
              </w:rPr>
              <w:t>-60 deg C to +71 deg C</w:t>
            </w:r>
          </w:p>
        </w:tc>
      </w:tr>
      <w:tr>
        <w:tc>
          <w:tcPr>
            <w:tcW w:w="50" w:type="pct"/>
          </w:tcPr>
          <w:p>
            <w:pPr>
              <w:pStyle w:val="Normal"/>
              <w:spacing w:before="30" w:after="30"/>
              <w:ind w:left="60"/>
            </w:pPr>
            <w:r>
              <w:rPr>
                <w:color w:val="4A5568"/>
                <w:sz w:val="20"/>
                <w:rFonts w:ascii="Calibri" w:hAnsi="Calibri" w:eastAsia="Microsoft YaHei" w:cs="Calibri"/>
                <w:szCs w:val="20"/>
              </w:rPr>
              <w:t>Icing (airborne)</w:t>
            </w:r>
          </w:p>
        </w:tc>
        <w:tc>
          <w:tcPr>
            <w:tcW w:w="50" w:type="pct"/>
          </w:tcPr>
          <w:p>
            <w:pPr>
              <w:pStyle w:val="Normal"/>
              <w:spacing w:before="30" w:after="30"/>
              <w:ind w:left="60"/>
            </w:pPr>
            <w:r>
              <w:rPr>
                <w:color w:val="4A5568"/>
                <w:sz w:val="20"/>
                <w:rFonts w:ascii="Calibri" w:hAnsi="Calibri" w:eastAsia="Microsoft YaHei" w:cs="Calibri"/>
                <w:szCs w:val="20"/>
              </w:rPr>
              <w:t>Full anti-ice to -40 deg C, de-ice to -55 deg C</w:t>
            </w:r>
          </w:p>
        </w:tc>
      </w:tr>
      <w:tr>
        <w:tc>
          <w:tcPr>
            <w:tcW w:w="50" w:type="pct"/>
          </w:tcPr>
          <w:p>
            <w:pPr>
              <w:pStyle w:val="Normal"/>
              <w:spacing w:before="30" w:after="30"/>
              <w:ind w:left="60"/>
            </w:pPr>
            <w:r>
              <w:rPr>
                <w:color w:val="4A5568"/>
                <w:sz w:val="20"/>
                <w:rFonts w:ascii="Calibri" w:hAnsi="Calibri" w:eastAsia="Microsoft YaHei" w:cs="Calibri"/>
                <w:szCs w:val="20"/>
              </w:rPr>
              <w:t>Snow/ice on runway</w:t>
            </w:r>
          </w:p>
        </w:tc>
        <w:tc>
          <w:tcPr>
            <w:tcW w:w="50" w:type="pct"/>
          </w:tcPr>
          <w:p>
            <w:pPr>
              <w:pStyle w:val="Normal"/>
              <w:spacing w:before="30" w:after="30"/>
              <w:ind w:left="60"/>
            </w:pPr>
            <w:r>
              <w:rPr>
                <w:color w:val="4A5568"/>
                <w:sz w:val="20"/>
                <w:rFonts w:ascii="Calibri" w:hAnsi="Calibri" w:eastAsia="Microsoft YaHei" w:cs="Calibri"/>
                <w:szCs w:val="20"/>
              </w:rPr>
              <w:t>Ops from compacted snow, 30-min turnaround</w:t>
            </w:r>
          </w:p>
        </w:tc>
      </w:tr>
      <w:tr>
        <w:tc>
          <w:tcPr>
            <w:tcW w:w="50" w:type="pct"/>
          </w:tcPr>
          <w:p>
            <w:pPr>
              <w:pStyle w:val="Normal"/>
              <w:spacing w:before="30" w:after="30"/>
              <w:ind w:left="60"/>
            </w:pPr>
            <w:r>
              <w:rPr>
                <w:color w:val="4A5568"/>
                <w:sz w:val="20"/>
                <w:rFonts w:ascii="Calibri" w:hAnsi="Calibri" w:eastAsia="Microsoft YaHei" w:cs="Calibri"/>
                <w:szCs w:val="20"/>
              </w:rPr>
              <w:t>Auroral conditions</w:t>
            </w:r>
          </w:p>
        </w:tc>
        <w:tc>
          <w:tcPr>
            <w:tcW w:w="50" w:type="pct"/>
          </w:tcPr>
          <w:p>
            <w:pPr>
              <w:pStyle w:val="Normal"/>
              <w:spacing w:before="30" w:after="30"/>
              <w:ind w:left="60"/>
            </w:pPr>
            <w:r>
              <w:rPr>
                <w:color w:val="4A5568"/>
                <w:sz w:val="20"/>
                <w:rFonts w:ascii="Calibri" w:hAnsi="Calibri" w:eastAsia="Microsoft YaHei" w:cs="Calibri"/>
                <w:szCs w:val="20"/>
              </w:rPr>
              <w:t>Full radar, IRST, and nav capability through Kp 9</w:t>
            </w:r>
          </w:p>
        </w:tc>
      </w:tr>
      <w:tr>
        <w:tc>
          <w:tcPr>
            <w:tcW w:w="50" w:type="pct"/>
          </w:tcPr>
          <w:p>
            <w:pPr>
              <w:pStyle w:val="Normal"/>
              <w:spacing w:before="30" w:after="30"/>
              <w:ind w:left="60"/>
            </w:pPr>
            <w:r>
              <w:rPr>
                <w:color w:val="4A5568"/>
                <w:sz w:val="20"/>
                <w:rFonts w:ascii="Calibri" w:hAnsi="Calibri" w:eastAsia="Microsoft YaHei" w:cs="Calibri"/>
                <w:szCs w:val="20"/>
              </w:rPr>
              <w:t>GNSS denied</w:t>
            </w:r>
          </w:p>
        </w:tc>
        <w:tc>
          <w:tcPr>
            <w:tcW w:w="50" w:type="pct"/>
          </w:tcPr>
          <w:p>
            <w:pPr>
              <w:pStyle w:val="Normal"/>
              <w:spacing w:before="30" w:after="30"/>
              <w:ind w:left="60"/>
            </w:pPr>
            <w:r>
              <w:rPr>
                <w:color w:val="4A5568"/>
                <w:sz w:val="20"/>
                <w:rFonts w:ascii="Calibri" w:hAnsi="Calibri" w:eastAsia="Microsoft YaHei" w:cs="Calibri"/>
                <w:szCs w:val="20"/>
              </w:rPr>
              <w:t>Celestial nav backup, multi-constellation CRPA anti-jam</w:t>
            </w:r>
          </w:p>
        </w:tc>
      </w:tr>
    </w:tbl>
    <w:p>
      <w:pPr>
        <w:pStyle w:val="Normal"/>
        <w:spacing w:after="120"/>
      </w:pPr>
    </w:p>
    <w:p>
      <w:pPr>
        <w:pStyle w:val="Normal"/>
        <w:sectPr>
          <w:type w:val="nextPage"/>
          <w:pgSz w:w="11906" w:h="16838"/>
          <w:pgMar w:top="1440" w:right="1440" w:bottom="1440" w:left="1440" w:header="720" w:footer="720"/>
        </w:sectPr>
      </w:pPr>
    </w:p>
    <w:p>
      <w:pPr>
        <w:pStyle w:val="Heading1"/>
      </w:pPr>
      <w:bookmarkStart w:name="_Doc03" w:id="4"/>
      <w:r>
        <w:rPr>
          <w:rFonts w:ascii="Calibri" w:hAnsi="Calibri" w:eastAsia="Microsoft YaHei" w:cs="Calibri"/>
          <w:b/>
          <w:color w:val="3D5A80"/>
          <w:sz w:val="40"/>
          <w:szCs w:val="40"/>
        </w:rPr>
        <w:t>Document 3: Sprinter &amp; Striker Technical Specifications</w:t>
      </w:r>
      <w:bookmarkEnd w:id="4"/>
    </w:p>
    <w:p>
      <w:pPr>
        <w:pStyle w:val="Normal"/>
      </w:pPr>
      <w:r>
        <w:rPr>
          <w:rFonts w:ascii="Calibri" w:hAnsi="Calibri" w:eastAsia="Microsoft YaHei" w:cs="Calibri"/>
          <w:color w:val="1D2D3D"/>
          <w:sz w:val="22"/>
          <w:szCs w:val="22"/>
        </w:rPr>
        <w:t>Critical Design Review Technical Baseline | Document No.: CDR-SPRSTRK-001-BL</w:t>
      </w:r>
    </w:p>
    <w:p>
      <w:pPr>
        <w:pStyle w:val="Normal"/>
        <w:spacing w:after="240"/>
      </w:pPr>
    </w:p>
    <w:p>
      <w:pPr>
        <w:pStyle w:val="Heading2"/>
      </w:pPr>
      <w:r>
        <w:rPr>
          <w:rFonts w:ascii="Calibri" w:hAnsi="Calibri" w:eastAsia="Microsoft YaHei" w:cs="Calibri"/>
          <w:b/>
          <w:color w:val="1D2D3D"/>
          <w:sz w:val="30"/>
          <w:szCs w:val="30"/>
        </w:rPr>
        <w:t>Part I: Sprinter Tactical UAV Specifications</w:t>
      </w:r>
    </w:p>
    <w:p>
      <w:pPr>
        <w:pStyle w:val="Heading3"/>
      </w:pPr>
      <w:r>
        <w:rPr>
          <w:rFonts w:ascii="Calibri" w:hAnsi="Calibri" w:eastAsia="Microsoft YaHei" w:cs="Calibri"/>
          <w:b/>
          <w:color w:val="4A5568"/>
          <w:sz w:val="26"/>
          <w:szCs w:val="26"/>
        </w:rPr>
        <w:t>General Characteristics</w:t>
      </w:r>
    </w:p>
    <w:tbl>
      <w:tblPr>
        <w:tblW w:w="5000" w:type="pct"/>
        <w:tblBorders>
          <w:top w:val="single" w:color="3D5A80" w:sz="12"/>
          <w:left w:val="nil"/>
          <w:bottom w:val="single" w:color="3D5A80" w:sz="12"/>
          <w:right w:val="nil"/>
          <w:insideH w:val="single" w:color="C8D5E0" w:sz="4"/>
          <w:insideV w:val="nil"/>
        </w:tblBorders>
      </w:tblPr>
      <w:tblGrid>
        <w:gridCol w:w="45"/>
        <w:gridCol w:w="55"/>
      </w:tblGrid>
      <w:tr>
        <w:trPr>
          <w:tblHeader w:val="1"/>
        </w:trPr>
        <w:tc>
          <w:tcPr>
            <w:tcW w:w="45" w:type="pct"/>
            <w:shd w:val="clear" w:fill="E8EDF2" w:color="auto"/>
          </w:tcPr>
          <w:p>
            <w:pPr>
              <w:pStyle w:val="Normal"/>
              <w:spacing w:before="40" w:after="40"/>
              <w:jc w:val="center"/>
            </w:pPr>
            <w:r>
              <w:rPr>
                <w:b/>
                <w:color w:val="1D2D3D"/>
                <w:sz w:val="20"/>
                <w:rFonts w:ascii="Calibri" w:hAnsi="Calibri" w:eastAsia="Microsoft YaHei" w:cs="Calibri"/>
                <w:szCs w:val="20"/>
              </w:rPr>
              <w:t>Parameter</w:t>
            </w:r>
          </w:p>
        </w:tc>
        <w:tc>
          <w:tcPr>
            <w:tcW w:w="55" w:type="pct"/>
            <w:shd w:val="clear" w:fill="E8EDF2" w:color="auto"/>
          </w:tcPr>
          <w:p>
            <w:pPr>
              <w:pStyle w:val="Normal"/>
              <w:spacing w:before="40" w:after="40"/>
              <w:jc w:val="center"/>
            </w:pPr>
            <w:r>
              <w:rPr>
                <w:b/>
                <w:color w:val="1D2D3D"/>
                <w:sz w:val="20"/>
                <w:rFonts w:ascii="Calibri" w:hAnsi="Calibri" w:eastAsia="Microsoft YaHei" w:cs="Calibri"/>
                <w:szCs w:val="20"/>
              </w:rPr>
              <w:t>Value</w:t>
            </w:r>
          </w:p>
        </w:tc>
      </w:tr>
      <w:tr>
        <w:tc>
          <w:tcPr>
            <w:tcW w:w="45" w:type="pct"/>
          </w:tcPr>
          <w:p>
            <w:pPr>
              <w:pStyle w:val="Normal"/>
              <w:spacing w:before="30" w:after="30"/>
              <w:ind w:left="60"/>
            </w:pPr>
            <w:r>
              <w:rPr>
                <w:color w:val="4A5568"/>
                <w:sz w:val="20"/>
                <w:rFonts w:ascii="Calibri" w:hAnsi="Calibri" w:eastAsia="Microsoft YaHei" w:cs="Calibri"/>
                <w:szCs w:val="20"/>
              </w:rPr>
              <w:t>Configuration</w:t>
            </w:r>
          </w:p>
        </w:tc>
        <w:tc>
          <w:tcPr>
            <w:tcW w:w="55" w:type="pct"/>
          </w:tcPr>
          <w:p>
            <w:pPr>
              <w:pStyle w:val="Normal"/>
              <w:spacing w:before="30" w:after="30"/>
              <w:ind w:left="60"/>
            </w:pPr>
            <w:r>
              <w:rPr>
                <w:color w:val="4A5568"/>
                <w:sz w:val="20"/>
                <w:rFonts w:ascii="Calibri" w:hAnsi="Calibri" w:eastAsia="Microsoft YaHei" w:cs="Calibri"/>
                <w:szCs w:val="20"/>
              </w:rPr>
              <w:t>Flying-wing (BWB), blended with twin canted verticals</w:t>
            </w:r>
          </w:p>
        </w:tc>
      </w:tr>
      <w:tr>
        <w:tc>
          <w:tcPr>
            <w:tcW w:w="45" w:type="pct"/>
          </w:tcPr>
          <w:p>
            <w:pPr>
              <w:pStyle w:val="Normal"/>
              <w:spacing w:before="30" w:after="30"/>
              <w:ind w:left="60"/>
            </w:pPr>
            <w:r>
              <w:rPr>
                <w:color w:val="4A5568"/>
                <w:sz w:val="20"/>
                <w:rFonts w:ascii="Calibri" w:hAnsi="Calibri" w:eastAsia="Microsoft YaHei" w:cs="Calibri"/>
                <w:szCs w:val="20"/>
              </w:rPr>
              <w:t>Length</w:t>
            </w:r>
          </w:p>
        </w:tc>
        <w:tc>
          <w:tcPr>
            <w:tcW w:w="55" w:type="pct"/>
          </w:tcPr>
          <w:p>
            <w:pPr>
              <w:pStyle w:val="Normal"/>
              <w:spacing w:before="30" w:after="30"/>
              <w:ind w:left="60"/>
            </w:pPr>
            <w:r>
              <w:rPr>
                <w:color w:val="4A5568"/>
                <w:sz w:val="20"/>
                <w:rFonts w:ascii="Calibri" w:hAnsi="Calibri" w:eastAsia="Microsoft YaHei" w:cs="Calibri"/>
                <w:szCs w:val="20"/>
              </w:rPr>
              <w:t>11.7 m</w:t>
            </w:r>
          </w:p>
        </w:tc>
      </w:tr>
      <w:tr>
        <w:tc>
          <w:tcPr>
            <w:tcW w:w="45" w:type="pct"/>
          </w:tcPr>
          <w:p>
            <w:pPr>
              <w:pStyle w:val="Normal"/>
              <w:spacing w:before="30" w:after="30"/>
              <w:ind w:left="60"/>
            </w:pPr>
            <w:r>
              <w:rPr>
                <w:color w:val="4A5568"/>
                <w:sz w:val="20"/>
                <w:rFonts w:ascii="Calibri" w:hAnsi="Calibri" w:eastAsia="Microsoft YaHei" w:cs="Calibri"/>
                <w:szCs w:val="20"/>
              </w:rPr>
              <w:t>Wingspan</w:t>
            </w:r>
          </w:p>
        </w:tc>
        <w:tc>
          <w:tcPr>
            <w:tcW w:w="55" w:type="pct"/>
          </w:tcPr>
          <w:p>
            <w:pPr>
              <w:pStyle w:val="Normal"/>
              <w:spacing w:before="30" w:after="30"/>
              <w:ind w:left="60"/>
            </w:pPr>
            <w:r>
              <w:rPr>
                <w:color w:val="4A5568"/>
                <w:sz w:val="20"/>
                <w:rFonts w:ascii="Calibri" w:hAnsi="Calibri" w:eastAsia="Microsoft YaHei" w:cs="Calibri"/>
                <w:szCs w:val="20"/>
              </w:rPr>
              <w:t>6.8 m</w:t>
            </w:r>
          </w:p>
        </w:tc>
      </w:tr>
      <w:tr>
        <w:tc>
          <w:tcPr>
            <w:tcW w:w="45" w:type="pct"/>
          </w:tcPr>
          <w:p>
            <w:pPr>
              <w:pStyle w:val="Normal"/>
              <w:spacing w:before="30" w:after="30"/>
              <w:ind w:left="60"/>
            </w:pPr>
            <w:r>
              <w:rPr>
                <w:color w:val="4A5568"/>
                <w:sz w:val="20"/>
                <w:rFonts w:ascii="Calibri" w:hAnsi="Calibri" w:eastAsia="Microsoft YaHei" w:cs="Calibri"/>
                <w:szCs w:val="20"/>
              </w:rPr>
              <w:t>Height</w:t>
            </w:r>
          </w:p>
        </w:tc>
        <w:tc>
          <w:tcPr>
            <w:tcW w:w="55" w:type="pct"/>
          </w:tcPr>
          <w:p>
            <w:pPr>
              <w:pStyle w:val="Normal"/>
              <w:spacing w:before="30" w:after="30"/>
              <w:ind w:left="60"/>
            </w:pPr>
            <w:r>
              <w:rPr>
                <w:color w:val="4A5568"/>
                <w:sz w:val="20"/>
                <w:rFonts w:ascii="Calibri" w:hAnsi="Calibri" w:eastAsia="Microsoft YaHei" w:cs="Calibri"/>
                <w:szCs w:val="20"/>
              </w:rPr>
              <w:t>1.4 m</w:t>
            </w:r>
          </w:p>
        </w:tc>
      </w:tr>
      <w:tr>
        <w:tc>
          <w:tcPr>
            <w:tcW w:w="45" w:type="pct"/>
          </w:tcPr>
          <w:p>
            <w:pPr>
              <w:pStyle w:val="Normal"/>
              <w:spacing w:before="30" w:after="30"/>
              <w:ind w:left="60"/>
            </w:pPr>
            <w:r>
              <w:rPr>
                <w:color w:val="4A5568"/>
                <w:sz w:val="20"/>
                <w:rFonts w:ascii="Calibri" w:hAnsi="Calibri" w:eastAsia="Microsoft YaHei" w:cs="Calibri"/>
                <w:szCs w:val="20"/>
              </w:rPr>
              <w:t>Max takeoff weight</w:t>
            </w:r>
          </w:p>
        </w:tc>
        <w:tc>
          <w:tcPr>
            <w:tcW w:w="55" w:type="pct"/>
          </w:tcPr>
          <w:p>
            <w:pPr>
              <w:pStyle w:val="Normal"/>
              <w:spacing w:before="30" w:after="30"/>
              <w:ind w:left="60"/>
            </w:pPr>
            <w:r>
              <w:rPr>
                <w:color w:val="4A5568"/>
                <w:sz w:val="20"/>
                <w:rFonts w:ascii="Calibri" w:hAnsi="Calibri" w:eastAsia="Microsoft YaHei" w:cs="Calibri"/>
                <w:szCs w:val="20"/>
              </w:rPr>
              <w:t>2,800 kg</w:t>
            </w:r>
          </w:p>
        </w:tc>
      </w:tr>
      <w:tr>
        <w:tc>
          <w:tcPr>
            <w:tcW w:w="45" w:type="pct"/>
          </w:tcPr>
          <w:p>
            <w:pPr>
              <w:pStyle w:val="Normal"/>
              <w:spacing w:before="30" w:after="30"/>
              <w:ind w:left="60"/>
            </w:pPr>
            <w:r>
              <w:rPr>
                <w:color w:val="4A5568"/>
                <w:sz w:val="20"/>
                <w:rFonts w:ascii="Calibri" w:hAnsi="Calibri" w:eastAsia="Microsoft YaHei" w:cs="Calibri"/>
                <w:szCs w:val="20"/>
              </w:rPr>
              <w:t>Empty weight</w:t>
            </w:r>
          </w:p>
        </w:tc>
        <w:tc>
          <w:tcPr>
            <w:tcW w:w="55" w:type="pct"/>
          </w:tcPr>
          <w:p>
            <w:pPr>
              <w:pStyle w:val="Normal"/>
              <w:spacing w:before="30" w:after="30"/>
              <w:ind w:left="60"/>
            </w:pPr>
            <w:r>
              <w:rPr>
                <w:color w:val="4A5568"/>
                <w:sz w:val="20"/>
                <w:rFonts w:ascii="Calibri" w:hAnsi="Calibri" w:eastAsia="Microsoft YaHei" w:cs="Calibri"/>
                <w:szCs w:val="20"/>
              </w:rPr>
              <w:t>1,600 kg</w:t>
            </w:r>
          </w:p>
        </w:tc>
      </w:tr>
      <w:tr>
        <w:tc>
          <w:tcPr>
            <w:tcW w:w="45" w:type="pct"/>
          </w:tcPr>
          <w:p>
            <w:pPr>
              <w:pStyle w:val="Normal"/>
              <w:spacing w:before="30" w:after="30"/>
              <w:ind w:left="60"/>
            </w:pPr>
            <w:r>
              <w:rPr>
                <w:color w:val="4A5568"/>
                <w:sz w:val="20"/>
                <w:rFonts w:ascii="Calibri" w:hAnsi="Calibri" w:eastAsia="Microsoft YaHei" w:cs="Calibri"/>
                <w:szCs w:val="20"/>
              </w:rPr>
              <w:t>Internal fuel</w:t>
            </w:r>
          </w:p>
        </w:tc>
        <w:tc>
          <w:tcPr>
            <w:tcW w:w="55" w:type="pct"/>
          </w:tcPr>
          <w:p>
            <w:pPr>
              <w:pStyle w:val="Normal"/>
              <w:spacing w:before="30" w:after="30"/>
              <w:ind w:left="60"/>
            </w:pPr>
            <w:r>
              <w:rPr>
                <w:color w:val="4A5568"/>
                <w:sz w:val="20"/>
                <w:rFonts w:ascii="Calibri" w:hAnsi="Calibri" w:eastAsia="Microsoft YaHei" w:cs="Calibri"/>
                <w:szCs w:val="20"/>
              </w:rPr>
              <w:t>1,000 kg</w:t>
            </w:r>
          </w:p>
        </w:tc>
      </w:tr>
      <w:tr>
        <w:tc>
          <w:tcPr>
            <w:tcW w:w="45" w:type="pct"/>
          </w:tcPr>
          <w:p>
            <w:pPr>
              <w:pStyle w:val="Normal"/>
              <w:spacing w:before="30" w:after="30"/>
              <w:ind w:left="60"/>
            </w:pPr>
            <w:r>
              <w:rPr>
                <w:color w:val="4A5568"/>
                <w:sz w:val="20"/>
                <w:rFonts w:ascii="Calibri" w:hAnsi="Calibri" w:eastAsia="Microsoft YaHei" w:cs="Calibri"/>
                <w:szCs w:val="20"/>
              </w:rPr>
              <w:t>Payload capacity</w:t>
            </w:r>
          </w:p>
        </w:tc>
        <w:tc>
          <w:tcPr>
            <w:tcW w:w="55" w:type="pct"/>
          </w:tcPr>
          <w:p>
            <w:pPr>
              <w:pStyle w:val="Normal"/>
              <w:spacing w:before="30" w:after="30"/>
              <w:ind w:left="60"/>
            </w:pPr>
            <w:r>
              <w:rPr>
                <w:color w:val="4A5568"/>
                <w:sz w:val="20"/>
                <w:rFonts w:ascii="Calibri" w:hAnsi="Calibri" w:eastAsia="Microsoft YaHei" w:cs="Calibri"/>
                <w:szCs w:val="20"/>
              </w:rPr>
              <w:t>250 kg internal bay</w:t>
            </w:r>
          </w:p>
        </w:tc>
      </w:tr>
      <w:tr>
        <w:tc>
          <w:tcPr>
            <w:tcW w:w="45" w:type="pct"/>
          </w:tcPr>
          <w:p>
            <w:pPr>
              <w:pStyle w:val="Normal"/>
              <w:spacing w:before="30" w:after="30"/>
              <w:ind w:left="60"/>
            </w:pPr>
            <w:r>
              <w:rPr>
                <w:color w:val="4A5568"/>
                <w:sz w:val="20"/>
                <w:rFonts w:ascii="Calibri" w:hAnsi="Calibri" w:eastAsia="Microsoft YaHei" w:cs="Calibri"/>
                <w:szCs w:val="20"/>
              </w:rPr>
              <w:t>Powerplant</w:t>
            </w:r>
          </w:p>
        </w:tc>
        <w:tc>
          <w:tcPr>
            <w:tcW w:w="55" w:type="pct"/>
          </w:tcPr>
          <w:p>
            <w:pPr>
              <w:pStyle w:val="Normal"/>
              <w:spacing w:before="30" w:after="30"/>
              <w:ind w:left="60"/>
            </w:pPr>
            <w:r>
              <w:rPr>
                <w:color w:val="4A5568"/>
                <w:sz w:val="20"/>
                <w:rFonts w:ascii="Calibri" w:hAnsi="Calibri" w:eastAsia="Microsoft YaHei" w:cs="Calibri"/>
                <w:szCs w:val="20"/>
              </w:rPr>
              <w:t>1 x Williams FJ44-4M derivative (25 kN-class, DSI inlet)</w:t>
            </w:r>
          </w:p>
        </w:tc>
      </w:tr>
      <w:tr>
        <w:tc>
          <w:tcPr>
            <w:tcW w:w="45" w:type="pct"/>
          </w:tcPr>
          <w:p>
            <w:pPr>
              <w:pStyle w:val="Normal"/>
              <w:spacing w:before="30" w:after="30"/>
              <w:ind w:left="60"/>
            </w:pPr>
            <w:r>
              <w:rPr>
                <w:color w:val="4A5568"/>
                <w:sz w:val="20"/>
                <w:rFonts w:ascii="Calibri" w:hAnsi="Calibri" w:eastAsia="Microsoft YaHei" w:cs="Calibri"/>
                <w:szCs w:val="20"/>
              </w:rPr>
              <w:t>Max speed</w:t>
            </w:r>
          </w:p>
        </w:tc>
        <w:tc>
          <w:tcPr>
            <w:tcW w:w="55" w:type="pct"/>
          </w:tcPr>
          <w:p>
            <w:pPr>
              <w:pStyle w:val="Normal"/>
              <w:spacing w:before="30" w:after="30"/>
              <w:ind w:left="60"/>
            </w:pPr>
            <w:r>
              <w:rPr>
                <w:color w:val="4A5568"/>
                <w:sz w:val="20"/>
                <w:rFonts w:ascii="Calibri" w:hAnsi="Calibri" w:eastAsia="Microsoft YaHei" w:cs="Calibri"/>
                <w:szCs w:val="20"/>
              </w:rPr>
              <w:t>Mach 1.6 dash (5-6 min limit)</w:t>
            </w:r>
          </w:p>
        </w:tc>
      </w:tr>
      <w:tr>
        <w:tc>
          <w:tcPr>
            <w:tcW w:w="45" w:type="pct"/>
          </w:tcPr>
          <w:p>
            <w:pPr>
              <w:pStyle w:val="Normal"/>
              <w:spacing w:before="30" w:after="30"/>
              <w:ind w:left="60"/>
            </w:pPr>
            <w:r>
              <w:rPr>
                <w:color w:val="4A5568"/>
                <w:sz w:val="20"/>
                <w:rFonts w:ascii="Calibri" w:hAnsi="Calibri" w:eastAsia="Microsoft YaHei" w:cs="Calibri"/>
                <w:szCs w:val="20"/>
              </w:rPr>
              <w:t>Combat radius (dash)</w:t>
            </w:r>
          </w:p>
        </w:tc>
        <w:tc>
          <w:tcPr>
            <w:tcW w:w="55" w:type="pct"/>
          </w:tcPr>
          <w:p>
            <w:pPr>
              <w:pStyle w:val="Normal"/>
              <w:spacing w:before="30" w:after="30"/>
              <w:ind w:left="60"/>
            </w:pPr>
            <w:r>
              <w:rPr>
                <w:color w:val="4A5568"/>
                <w:sz w:val="20"/>
                <w:rFonts w:ascii="Calibri" w:hAnsi="Calibri" w:eastAsia="Microsoft YaHei" w:cs="Calibri"/>
                <w:szCs w:val="20"/>
              </w:rPr>
              <w:t>440 nm (815 km)</w:t>
            </w:r>
          </w:p>
        </w:tc>
      </w:tr>
      <w:tr>
        <w:tc>
          <w:tcPr>
            <w:tcW w:w="45" w:type="pct"/>
          </w:tcPr>
          <w:p>
            <w:pPr>
              <w:pStyle w:val="Normal"/>
              <w:spacing w:before="30" w:after="30"/>
              <w:ind w:left="60"/>
            </w:pPr>
            <w:r>
              <w:rPr>
                <w:color w:val="4A5568"/>
                <w:sz w:val="20"/>
                <w:rFonts w:ascii="Calibri" w:hAnsi="Calibri" w:eastAsia="Microsoft YaHei" w:cs="Calibri"/>
                <w:szCs w:val="20"/>
              </w:rPr>
              <w:t>Endurance</w:t>
            </w:r>
          </w:p>
        </w:tc>
        <w:tc>
          <w:tcPr>
            <w:tcW w:w="55" w:type="pct"/>
          </w:tcPr>
          <w:p>
            <w:pPr>
              <w:pStyle w:val="Normal"/>
              <w:spacing w:before="30" w:after="30"/>
              <w:ind w:left="60"/>
            </w:pPr>
            <w:r>
              <w:rPr>
                <w:color w:val="4A5568"/>
                <w:sz w:val="20"/>
                <w:rFonts w:ascii="Calibri" w:hAnsi="Calibri" w:eastAsia="Microsoft YaHei" w:cs="Calibri"/>
                <w:szCs w:val="20"/>
              </w:rPr>
              <w:t>45-60 min typical; 75 min subsonic</w:t>
            </w:r>
          </w:p>
        </w:tc>
      </w:tr>
      <w:tr>
        <w:tc>
          <w:tcPr>
            <w:tcW w:w="45" w:type="pct"/>
          </w:tcPr>
          <w:p>
            <w:pPr>
              <w:pStyle w:val="Normal"/>
              <w:spacing w:before="30" w:after="30"/>
              <w:ind w:left="60"/>
            </w:pPr>
            <w:r>
              <w:rPr>
                <w:color w:val="4A5568"/>
                <w:sz w:val="20"/>
                <w:rFonts w:ascii="Calibri" w:hAnsi="Calibri" w:eastAsia="Microsoft YaHei" w:cs="Calibri"/>
                <w:szCs w:val="20"/>
              </w:rPr>
              <w:t>Service ceiling</w:t>
            </w:r>
          </w:p>
        </w:tc>
        <w:tc>
          <w:tcPr>
            <w:tcW w:w="55" w:type="pct"/>
          </w:tcPr>
          <w:p>
            <w:pPr>
              <w:pStyle w:val="Normal"/>
              <w:spacing w:before="30" w:after="30"/>
              <w:ind w:left="60"/>
            </w:pPr>
            <w:r>
              <w:rPr>
                <w:color w:val="4A5568"/>
                <w:sz w:val="20"/>
                <w:rFonts w:ascii="Calibri" w:hAnsi="Calibri" w:eastAsia="Microsoft YaHei" w:cs="Calibri"/>
                <w:szCs w:val="20"/>
              </w:rPr>
              <w:t>50,000 ft during dash</w:t>
            </w:r>
          </w:p>
        </w:tc>
      </w:tr>
      <w:tr>
        <w:tc>
          <w:tcPr>
            <w:tcW w:w="45" w:type="pct"/>
          </w:tcPr>
          <w:p>
            <w:pPr>
              <w:pStyle w:val="Normal"/>
              <w:spacing w:before="30" w:after="30"/>
              <w:ind w:left="60"/>
            </w:pPr>
            <w:r>
              <w:rPr>
                <w:color w:val="4A5568"/>
                <w:sz w:val="20"/>
                <w:rFonts w:ascii="Calibri" w:hAnsi="Calibri" w:eastAsia="Microsoft YaHei" w:cs="Calibri"/>
                <w:szCs w:val="20"/>
              </w:rPr>
              <w:t>Frontal RCS</w:t>
            </w:r>
          </w:p>
        </w:tc>
        <w:tc>
          <w:tcPr>
            <w:tcW w:w="55" w:type="pct"/>
          </w:tcPr>
          <w:p>
            <w:pPr>
              <w:pStyle w:val="Normal"/>
              <w:spacing w:before="30" w:after="30"/>
              <w:ind w:left="60"/>
            </w:pPr>
            <w:r>
              <w:rPr>
                <w:color w:val="4A5568"/>
                <w:sz w:val="20"/>
                <w:rFonts w:ascii="Calibri" w:hAnsi="Calibri" w:eastAsia="Microsoft YaHei" w:cs="Calibri"/>
                <w:szCs w:val="20"/>
              </w:rPr>
              <w:t>-20 dBsm at X-band</w:t>
            </w:r>
          </w:p>
        </w:tc>
      </w:tr>
      <w:tr>
        <w:tc>
          <w:tcPr>
            <w:tcW w:w="45" w:type="pct"/>
          </w:tcPr>
          <w:p>
            <w:pPr>
              <w:pStyle w:val="Normal"/>
              <w:spacing w:before="30" w:after="30"/>
              <w:ind w:left="60"/>
            </w:pPr>
            <w:r>
              <w:rPr>
                <w:color w:val="4A5568"/>
                <w:sz w:val="20"/>
                <w:rFonts w:ascii="Calibri" w:hAnsi="Calibri" w:eastAsia="Microsoft YaHei" w:cs="Calibri"/>
                <w:szCs w:val="20"/>
              </w:rPr>
              <w:t>Lateral/aft RCS</w:t>
            </w:r>
          </w:p>
        </w:tc>
        <w:tc>
          <w:tcPr>
            <w:tcW w:w="55" w:type="pct"/>
          </w:tcPr>
          <w:p>
            <w:pPr>
              <w:pStyle w:val="Normal"/>
              <w:spacing w:before="30" w:after="30"/>
              <w:ind w:left="60"/>
            </w:pPr>
            <w:r>
              <w:rPr>
                <w:color w:val="4A5568"/>
                <w:sz w:val="20"/>
                <w:rFonts w:ascii="Calibri" w:hAnsi="Calibri" w:eastAsia="Microsoft YaHei" w:cs="Calibri"/>
                <w:szCs w:val="20"/>
              </w:rPr>
              <w:t>-12 / -8 dBsm</w:t>
            </w:r>
          </w:p>
        </w:tc>
      </w:tr>
      <w:tr>
        <w:tc>
          <w:tcPr>
            <w:tcW w:w="45" w:type="pct"/>
          </w:tcPr>
          <w:p>
            <w:pPr>
              <w:pStyle w:val="Normal"/>
              <w:spacing w:before="30" w:after="30"/>
              <w:ind w:left="60"/>
            </w:pPr>
            <w:r>
              <w:rPr>
                <w:color w:val="4A5568"/>
                <w:sz w:val="20"/>
                <w:rFonts w:ascii="Calibri" w:hAnsi="Calibri" w:eastAsia="Microsoft YaHei" w:cs="Calibri"/>
                <w:szCs w:val="20"/>
              </w:rPr>
              <w:t>Design life</w:t>
            </w:r>
          </w:p>
        </w:tc>
        <w:tc>
          <w:tcPr>
            <w:tcW w:w="55" w:type="pct"/>
          </w:tcPr>
          <w:p>
            <w:pPr>
              <w:pStyle w:val="Normal"/>
              <w:spacing w:before="30" w:after="30"/>
              <w:ind w:left="60"/>
            </w:pPr>
            <w:r>
              <w:rPr>
                <w:color w:val="4A5568"/>
                <w:sz w:val="20"/>
                <w:rFonts w:ascii="Calibri" w:hAnsi="Calibri" w:eastAsia="Microsoft YaHei" w:cs="Calibri"/>
                <w:szCs w:val="20"/>
              </w:rPr>
              <w:t>500 flight hours / 200 missions</w:t>
            </w:r>
          </w:p>
        </w:tc>
      </w:tr>
      <w:tr>
        <w:tc>
          <w:tcPr>
            <w:tcW w:w="45" w:type="pct"/>
          </w:tcPr>
          <w:p>
            <w:pPr>
              <w:pStyle w:val="Normal"/>
              <w:spacing w:before="30" w:after="30"/>
              <w:ind w:left="60"/>
            </w:pPr>
            <w:r>
              <w:rPr>
                <w:color w:val="4A5568"/>
                <w:sz w:val="20"/>
                <w:rFonts w:ascii="Calibri" w:hAnsi="Calibri" w:eastAsia="Microsoft YaHei" w:cs="Calibri"/>
                <w:szCs w:val="20"/>
              </w:rPr>
              <w:t>Unit cost (Lot 20)</w:t>
            </w:r>
          </w:p>
        </w:tc>
        <w:tc>
          <w:tcPr>
            <w:tcW w:w="55" w:type="pct"/>
          </w:tcPr>
          <w:p>
            <w:pPr>
              <w:pStyle w:val="Normal"/>
              <w:spacing w:before="30" w:after="30"/>
              <w:ind w:left="60"/>
            </w:pPr>
            <w:r>
              <w:rPr>
                <w:color w:val="4A5568"/>
                <w:sz w:val="20"/>
                <w:rFonts w:ascii="Calibri" w:hAnsi="Calibri" w:eastAsia="Microsoft YaHei" w:cs="Calibri"/>
                <w:szCs w:val="20"/>
              </w:rPr>
              <w:t>$6.0M USD</w:t>
            </w:r>
          </w:p>
        </w:tc>
      </w:tr>
      <w:tr>
        <w:tc>
          <w:tcPr>
            <w:tcW w:w="45" w:type="pct"/>
          </w:tcPr>
          <w:p>
            <w:pPr>
              <w:pStyle w:val="Normal"/>
              <w:spacing w:before="30" w:after="30"/>
              <w:ind w:left="60"/>
            </w:pPr>
            <w:r>
              <w:rPr>
                <w:color w:val="4A5568"/>
                <w:sz w:val="20"/>
                <w:rFonts w:ascii="Calibri" w:hAnsi="Calibri" w:eastAsia="Microsoft YaHei" w:cs="Calibri"/>
                <w:szCs w:val="20"/>
              </w:rPr>
              <w:t>Cost per flight hour</w:t>
            </w:r>
          </w:p>
        </w:tc>
        <w:tc>
          <w:tcPr>
            <w:tcW w:w="55" w:type="pct"/>
          </w:tcPr>
          <w:p>
            <w:pPr>
              <w:pStyle w:val="Normal"/>
              <w:spacing w:before="30" w:after="30"/>
              <w:ind w:left="60"/>
            </w:pPr>
            <w:r>
              <w:rPr>
                <w:color w:val="4A5568"/>
                <w:sz w:val="20"/>
                <w:rFonts w:ascii="Calibri" w:hAnsi="Calibri" w:eastAsia="Microsoft YaHei" w:cs="Calibri"/>
                <w:szCs w:val="20"/>
              </w:rPr>
              <w:t>$950 USD</w:t>
            </w:r>
          </w:p>
        </w:tc>
      </w:tr>
      <w:tr>
        <w:tc>
          <w:tcPr>
            <w:tcW w:w="45" w:type="pct"/>
          </w:tcPr>
          <w:p>
            <w:pPr>
              <w:pStyle w:val="Normal"/>
              <w:spacing w:before="30" w:after="30"/>
              <w:ind w:left="60"/>
            </w:pPr>
            <w:r>
              <w:rPr>
                <w:color w:val="4A5568"/>
                <w:sz w:val="20"/>
                <w:rFonts w:ascii="Calibri" w:hAnsi="Calibri" w:eastAsia="Microsoft YaHei" w:cs="Calibri"/>
                <w:szCs w:val="20"/>
              </w:rPr>
              <w:t>Planned loss rate (contested)</w:t>
            </w:r>
          </w:p>
        </w:tc>
        <w:tc>
          <w:tcPr>
            <w:tcW w:w="55" w:type="pct"/>
          </w:tcPr>
          <w:p>
            <w:pPr>
              <w:pStyle w:val="Normal"/>
              <w:spacing w:before="30" w:after="30"/>
              <w:ind w:left="60"/>
            </w:pPr>
            <w:r>
              <w:rPr>
                <w:color w:val="4A5568"/>
                <w:sz w:val="20"/>
                <w:rFonts w:ascii="Calibri" w:hAnsi="Calibri" w:eastAsia="Microsoft YaHei" w:cs="Calibri"/>
                <w:szCs w:val="20"/>
              </w:rPr>
              <w:t>2-3% per sortie</w:t>
            </w:r>
          </w:p>
        </w:tc>
      </w:tr>
    </w:tbl>
    <w:p>
      <w:pPr>
        <w:pStyle w:val="Normal"/>
        <w:spacing w:after="120"/>
      </w:pPr>
    </w:p>
    <w:p>
      <w:pPr>
        <w:pStyle w:val="Heading3"/>
      </w:pPr>
      <w:r>
        <w:rPr>
          <w:rFonts w:ascii="Calibri" w:hAnsi="Calibri" w:eastAsia="Microsoft YaHei" w:cs="Calibri"/>
          <w:b/>
          <w:color w:val="4A5568"/>
          <w:sz w:val="26"/>
          <w:szCs w:val="26"/>
        </w:rPr>
        <w:t>Mission Pallets (10-Minute Hot-Swap)</w:t>
      </w:r>
    </w:p>
    <w:tbl>
      <w:tblPr>
        <w:tblW w:w="5000" w:type="pct"/>
        <w:tblBorders>
          <w:top w:val="single" w:color="3D5A80" w:sz="12"/>
          <w:left w:val="nil"/>
          <w:bottom w:val="single" w:color="3D5A80" w:sz="12"/>
          <w:right w:val="nil"/>
          <w:insideH w:val="single" w:color="C8D5E0" w:sz="4"/>
          <w:insideV w:val="nil"/>
        </w:tblBorders>
      </w:tblPr>
      <w:tblGrid>
        <w:gridCol w:w="25"/>
        <w:gridCol w:w="15"/>
        <w:gridCol w:w="60"/>
      </w:tblGrid>
      <w:tr>
        <w:trPr>
          <w:tblHeader w:val="1"/>
        </w:trPr>
        <w:tc>
          <w:tcPr>
            <w:tcW w:w="25" w:type="pct"/>
            <w:shd w:val="clear" w:fill="E8EDF2" w:color="auto"/>
          </w:tcPr>
          <w:p>
            <w:pPr>
              <w:pStyle w:val="Normal"/>
              <w:spacing w:before="40" w:after="40"/>
              <w:jc w:val="center"/>
            </w:pPr>
            <w:r>
              <w:rPr>
                <w:b/>
                <w:color w:val="1D2D3D"/>
                <w:sz w:val="20"/>
                <w:rFonts w:ascii="Calibri" w:hAnsi="Calibri" w:eastAsia="Microsoft YaHei" w:cs="Calibri"/>
                <w:szCs w:val="20"/>
              </w:rPr>
              <w:t>Pallet</w:t>
            </w:r>
          </w:p>
        </w:tc>
        <w:tc>
          <w:tcPr>
            <w:tcW w:w="15" w:type="pct"/>
            <w:shd w:val="clear" w:fill="E8EDF2" w:color="auto"/>
          </w:tcPr>
          <w:p>
            <w:pPr>
              <w:pStyle w:val="Normal"/>
              <w:spacing w:before="40" w:after="40"/>
              <w:jc w:val="center"/>
            </w:pPr>
            <w:r>
              <w:rPr>
                <w:b/>
                <w:color w:val="1D2D3D"/>
                <w:sz w:val="20"/>
                <w:rFonts w:ascii="Calibri" w:hAnsi="Calibri" w:eastAsia="Microsoft YaHei" w:cs="Calibri"/>
                <w:szCs w:val="20"/>
              </w:rPr>
              <w:t>Weight</w:t>
            </w:r>
          </w:p>
        </w:tc>
        <w:tc>
          <w:tcPr>
            <w:tcW w:w="60" w:type="pct"/>
            <w:shd w:val="clear" w:fill="E8EDF2" w:color="auto"/>
          </w:tcPr>
          <w:p>
            <w:pPr>
              <w:pStyle w:val="Normal"/>
              <w:spacing w:before="40" w:after="40"/>
              <w:jc w:val="center"/>
            </w:pPr>
            <w:r>
              <w:rPr>
                <w:b/>
                <w:color w:val="1D2D3D"/>
                <w:sz w:val="20"/>
                <w:rFonts w:ascii="Calibri" w:hAnsi="Calibri" w:eastAsia="Microsoft YaHei" w:cs="Calibri"/>
                <w:szCs w:val="20"/>
              </w:rPr>
              <w:t>Capability</w:t>
            </w:r>
          </w:p>
        </w:tc>
      </w:tr>
      <w:tr>
        <w:tc>
          <w:tcPr>
            <w:tcW w:w="25" w:type="pct"/>
          </w:tcPr>
          <w:p>
            <w:pPr>
              <w:pStyle w:val="Normal"/>
              <w:spacing w:before="30" w:after="30"/>
              <w:ind w:left="60"/>
            </w:pPr>
            <w:r>
              <w:rPr>
                <w:color w:val="4A5568"/>
                <w:sz w:val="20"/>
                <w:rFonts w:ascii="Calibri" w:hAnsi="Calibri" w:eastAsia="Microsoft YaHei" w:cs="Calibri"/>
                <w:szCs w:val="20"/>
              </w:rPr>
              <w:t>Electronic Warfare</w:t>
            </w:r>
          </w:p>
        </w:tc>
        <w:tc>
          <w:tcPr>
            <w:tcW w:w="15" w:type="pct"/>
          </w:tcPr>
          <w:p>
            <w:pPr>
              <w:pStyle w:val="Normal"/>
              <w:spacing w:before="30" w:after="30"/>
              <w:ind w:left="60"/>
            </w:pPr>
            <w:r>
              <w:rPr>
                <w:color w:val="4A5568"/>
                <w:sz w:val="20"/>
                <w:rFonts w:ascii="Calibri" w:hAnsi="Calibri" w:eastAsia="Microsoft YaHei" w:cs="Calibri"/>
                <w:szCs w:val="20"/>
              </w:rPr>
              <w:t>80 kg</w:t>
            </w:r>
          </w:p>
        </w:tc>
        <w:tc>
          <w:tcPr>
            <w:tcW w:w="60" w:type="pct"/>
          </w:tcPr>
          <w:p>
            <w:pPr>
              <w:pStyle w:val="Normal"/>
              <w:spacing w:before="30" w:after="30"/>
              <w:ind w:left="60"/>
            </w:pPr>
            <w:r>
              <w:rPr>
                <w:color w:val="4A5568"/>
                <w:sz w:val="20"/>
                <w:rFonts w:ascii="Calibri" w:hAnsi="Calibri" w:eastAsia="Microsoft YaHei" w:cs="Calibri"/>
                <w:szCs w:val="20"/>
              </w:rPr>
              <w:t>DRFM jammer 4-18 GHz (200 W ERP), decoy repeater, 16 chaff / 8 flare</w:t>
            </w:r>
          </w:p>
        </w:tc>
      </w:tr>
      <w:tr>
        <w:tc>
          <w:tcPr>
            <w:tcW w:w="25" w:type="pct"/>
          </w:tcPr>
          <w:p>
            <w:pPr>
              <w:pStyle w:val="Normal"/>
              <w:spacing w:before="30" w:after="30"/>
              <w:ind w:left="60"/>
            </w:pPr>
            <w:r>
              <w:rPr>
                <w:color w:val="4A5568"/>
                <w:sz w:val="20"/>
                <w:rFonts w:ascii="Calibri" w:hAnsi="Calibri" w:eastAsia="Microsoft YaHei" w:cs="Calibri"/>
                <w:szCs w:val="20"/>
              </w:rPr>
              <w:t>ISR</w:t>
            </w:r>
          </w:p>
        </w:tc>
        <w:tc>
          <w:tcPr>
            <w:tcW w:w="15" w:type="pct"/>
          </w:tcPr>
          <w:p>
            <w:pPr>
              <w:pStyle w:val="Normal"/>
              <w:spacing w:before="30" w:after="30"/>
              <w:ind w:left="60"/>
            </w:pPr>
            <w:r>
              <w:rPr>
                <w:color w:val="4A5568"/>
                <w:sz w:val="20"/>
                <w:rFonts w:ascii="Calibri" w:hAnsi="Calibri" w:eastAsia="Microsoft YaHei" w:cs="Calibri"/>
                <w:szCs w:val="20"/>
              </w:rPr>
              <w:t>65 kg</w:t>
            </w:r>
          </w:p>
        </w:tc>
        <w:tc>
          <w:tcPr>
            <w:tcW w:w="60" w:type="pct"/>
          </w:tcPr>
          <w:p>
            <w:pPr>
              <w:pStyle w:val="Normal"/>
              <w:spacing w:before="30" w:after="30"/>
              <w:ind w:left="60"/>
            </w:pPr>
            <w:r>
              <w:rPr>
                <w:color w:val="4A5568"/>
                <w:sz w:val="20"/>
                <w:rFonts w:ascii="Calibri" w:hAnsi="Calibri" w:eastAsia="Microsoft YaHei" w:cs="Calibri"/>
                <w:szCs w:val="20"/>
              </w:rPr>
              <w:t>0.15 m GSD line-scan, SIGINT 0.5-18 GHz, 2 TB recording</w:t>
            </w:r>
          </w:p>
        </w:tc>
      </w:tr>
      <w:tr>
        <w:tc>
          <w:tcPr>
            <w:tcW w:w="25" w:type="pct"/>
          </w:tcPr>
          <w:p>
            <w:pPr>
              <w:pStyle w:val="Normal"/>
              <w:spacing w:before="30" w:after="30"/>
              <w:ind w:left="60"/>
            </w:pPr>
            <w:r>
              <w:rPr>
                <w:color w:val="4A5568"/>
                <w:sz w:val="20"/>
                <w:rFonts w:ascii="Calibri" w:hAnsi="Calibri" w:eastAsia="Microsoft YaHei" w:cs="Calibri"/>
                <w:szCs w:val="20"/>
              </w:rPr>
              <w:t>Kinetic A2A</w:t>
            </w:r>
          </w:p>
        </w:tc>
        <w:tc>
          <w:tcPr>
            <w:tcW w:w="15" w:type="pct"/>
          </w:tcPr>
          <w:p>
            <w:pPr>
              <w:pStyle w:val="Normal"/>
              <w:spacing w:before="30" w:after="30"/>
              <w:ind w:left="60"/>
            </w:pPr>
            <w:r>
              <w:rPr>
                <w:color w:val="4A5568"/>
                <w:sz w:val="20"/>
                <w:rFonts w:ascii="Calibri" w:hAnsi="Calibri" w:eastAsia="Microsoft YaHei" w:cs="Calibri"/>
                <w:szCs w:val="20"/>
              </w:rPr>
              <w:t>120 kg</w:t>
            </w:r>
          </w:p>
        </w:tc>
        <w:tc>
          <w:tcPr>
            <w:tcW w:w="60" w:type="pct"/>
          </w:tcPr>
          <w:p>
            <w:pPr>
              <w:pStyle w:val="Normal"/>
              <w:spacing w:before="30" w:after="30"/>
              <w:ind w:left="60"/>
            </w:pPr>
            <w:r>
              <w:rPr>
                <w:color w:val="4A5568"/>
                <w:sz w:val="20"/>
                <w:rFonts w:ascii="Calibri" w:hAnsi="Calibri" w:eastAsia="Microsoft YaHei" w:cs="Calibri"/>
                <w:szCs w:val="20"/>
              </w:rPr>
              <w:t>2x CUDA (30 km, Mach 3.5) or 2x AIM-9X Block III</w:t>
            </w:r>
          </w:p>
        </w:tc>
      </w:tr>
      <w:tr>
        <w:tc>
          <w:tcPr>
            <w:tcW w:w="25" w:type="pct"/>
          </w:tcPr>
          <w:p>
            <w:pPr>
              <w:pStyle w:val="Normal"/>
              <w:spacing w:before="30" w:after="30"/>
              <w:ind w:left="60"/>
            </w:pPr>
            <w:r>
              <w:rPr>
                <w:color w:val="4A5568"/>
                <w:sz w:val="20"/>
                <w:rFonts w:ascii="Calibri" w:hAnsi="Calibri" w:eastAsia="Microsoft YaHei" w:cs="Calibri"/>
                <w:szCs w:val="20"/>
              </w:rPr>
              <w:t>Kinetic A2G</w:t>
            </w:r>
          </w:p>
        </w:tc>
        <w:tc>
          <w:tcPr>
            <w:tcW w:w="15" w:type="pct"/>
          </w:tcPr>
          <w:p>
            <w:pPr>
              <w:pStyle w:val="Normal"/>
              <w:spacing w:before="30" w:after="30"/>
              <w:ind w:left="60"/>
            </w:pPr>
            <w:r>
              <w:rPr>
                <w:color w:val="4A5568"/>
                <w:sz w:val="20"/>
                <w:rFonts w:ascii="Calibri" w:hAnsi="Calibri" w:eastAsia="Microsoft YaHei" w:cs="Calibri"/>
                <w:szCs w:val="20"/>
              </w:rPr>
              <w:t>85 kg</w:t>
            </w:r>
          </w:p>
        </w:tc>
        <w:tc>
          <w:tcPr>
            <w:tcW w:w="60" w:type="pct"/>
          </w:tcPr>
          <w:p>
            <w:pPr>
              <w:pStyle w:val="Normal"/>
              <w:spacing w:before="30" w:after="30"/>
              <w:ind w:left="60"/>
            </w:pPr>
            <w:r>
              <w:rPr>
                <w:color w:val="4A5568"/>
                <w:sz w:val="20"/>
                <w:rFonts w:ascii="Calibri" w:hAnsi="Calibri" w:eastAsia="Microsoft YaHei" w:cs="Calibri"/>
                <w:szCs w:val="20"/>
              </w:rPr>
              <w:t>1x GBU-69/B SGM (70 km glide, &lt;1 m CEP)</w:t>
            </w:r>
          </w:p>
        </w:tc>
      </w:tr>
    </w:tbl>
    <w:p>
      <w:pPr>
        <w:pStyle w:val="Normal"/>
        <w:spacing w:after="120"/>
      </w:pPr>
    </w:p>
    <w:p>
      <w:pPr>
        <w:pStyle w:val="Heading3"/>
      </w:pPr>
      <w:r>
        <w:rPr>
          <w:rFonts w:ascii="Calibri" w:hAnsi="Calibri" w:eastAsia="Microsoft YaHei" w:cs="Calibri"/>
          <w:b/>
          <w:color w:val="4A5568"/>
          <w:sz w:val="26"/>
          <w:szCs w:val="26"/>
        </w:rPr>
        <w:t>Key Subsystems</w:t>
      </w:r>
    </w:p>
    <w:p>
      <w:pPr>
        <w:pStyle w:val="Normal"/>
      </w:pPr>
      <w:r>
        <w:rPr>
          <w:rFonts w:ascii="Calibri" w:hAnsi="Calibri" w:eastAsia="Microsoft YaHei" w:cs="Calibri"/>
          <w:color w:val="1D2D3D"/>
          <w:sz w:val="22"/>
          <w:szCs w:val="22"/>
        </w:rPr>
        <w:t>Propulsion: DSI (divertless supersonic inlet), Williams FJ44-4M derivative (25 kN-class) with FADEC, serrated nozzle edges for LO. ESM: 2-18 GHz coverage, -70 dBm sensitivity, TDOA geolocation +/-800 m networked. Autonomy: Behaviour-tree + RL overlay, 30 Hz replanning; lost-link protocol: continue 5 min then RTB. Datalink: TTNT MANET, 200 nm LOS, AES-256; Link-16 receive-only.</w:t>
      </w:r>
    </w:p>
    <w:p>
      <w:pPr>
        <w:pStyle w:val="Heading2"/>
      </w:pPr>
      <w:r>
        <w:rPr>
          <w:rFonts w:ascii="Calibri" w:hAnsi="Calibri" w:eastAsia="Microsoft YaHei" w:cs="Calibri"/>
          <w:b/>
          <w:color w:val="1D2D3D"/>
          <w:sz w:val="30"/>
          <w:szCs w:val="30"/>
        </w:rPr>
        <w:t>Part II: Striker Loyal Wingman Specifications</w:t>
      </w:r>
    </w:p>
    <w:p>
      <w:pPr>
        <w:pStyle w:val="Heading3"/>
      </w:pPr>
      <w:r>
        <w:rPr>
          <w:rFonts w:ascii="Calibri" w:hAnsi="Calibri" w:eastAsia="Microsoft YaHei" w:cs="Calibri"/>
          <w:b/>
          <w:color w:val="4A5568"/>
          <w:sz w:val="26"/>
          <w:szCs w:val="26"/>
        </w:rPr>
        <w:t>General Characteristics</w:t>
      </w:r>
    </w:p>
    <w:tbl>
      <w:tblPr>
        <w:tblW w:w="5000" w:type="pct"/>
        <w:tblBorders>
          <w:top w:val="single" w:color="3D5A80" w:sz="12"/>
          <w:left w:val="nil"/>
          <w:bottom w:val="single" w:color="3D5A80" w:sz="12"/>
          <w:right w:val="nil"/>
          <w:insideH w:val="single" w:color="C8D5E0" w:sz="4"/>
          <w:insideV w:val="nil"/>
        </w:tblBorders>
      </w:tblPr>
      <w:tblGrid>
        <w:gridCol w:w="45"/>
        <w:gridCol w:w="55"/>
      </w:tblGrid>
      <w:tr>
        <w:trPr>
          <w:tblHeader w:val="1"/>
        </w:trPr>
        <w:tc>
          <w:tcPr>
            <w:tcW w:w="45" w:type="pct"/>
            <w:shd w:val="clear" w:fill="E8EDF2" w:color="auto"/>
          </w:tcPr>
          <w:p>
            <w:pPr>
              <w:pStyle w:val="Normal"/>
              <w:spacing w:before="40" w:after="40"/>
              <w:jc w:val="center"/>
            </w:pPr>
            <w:r>
              <w:rPr>
                <w:b/>
                <w:color w:val="1D2D3D"/>
                <w:sz w:val="20"/>
                <w:rFonts w:ascii="Calibri" w:hAnsi="Calibri" w:eastAsia="Microsoft YaHei" w:cs="Calibri"/>
                <w:szCs w:val="20"/>
              </w:rPr>
              <w:t>Parameter</w:t>
            </w:r>
          </w:p>
        </w:tc>
        <w:tc>
          <w:tcPr>
            <w:tcW w:w="55" w:type="pct"/>
            <w:shd w:val="clear" w:fill="E8EDF2" w:color="auto"/>
          </w:tcPr>
          <w:p>
            <w:pPr>
              <w:pStyle w:val="Normal"/>
              <w:spacing w:before="40" w:after="40"/>
              <w:jc w:val="center"/>
            </w:pPr>
            <w:r>
              <w:rPr>
                <w:b/>
                <w:color w:val="1D2D3D"/>
                <w:sz w:val="20"/>
                <w:rFonts w:ascii="Calibri" w:hAnsi="Calibri" w:eastAsia="Microsoft YaHei" w:cs="Calibri"/>
                <w:szCs w:val="20"/>
              </w:rPr>
              <w:t>Value</w:t>
            </w:r>
          </w:p>
        </w:tc>
      </w:tr>
      <w:tr>
        <w:tc>
          <w:tcPr>
            <w:tcW w:w="45" w:type="pct"/>
          </w:tcPr>
          <w:p>
            <w:pPr>
              <w:pStyle w:val="Normal"/>
              <w:spacing w:before="30" w:after="30"/>
              <w:ind w:left="60"/>
            </w:pPr>
            <w:r>
              <w:rPr>
                <w:color w:val="4A5568"/>
                <w:sz w:val="20"/>
                <w:rFonts w:ascii="Calibri" w:hAnsi="Calibri" w:eastAsia="Microsoft YaHei" w:cs="Calibri"/>
                <w:szCs w:val="20"/>
              </w:rPr>
              <w:t>Configuration</w:t>
            </w:r>
          </w:p>
        </w:tc>
        <w:tc>
          <w:tcPr>
            <w:tcW w:w="55" w:type="pct"/>
          </w:tcPr>
          <w:p>
            <w:pPr>
              <w:pStyle w:val="Normal"/>
              <w:spacing w:before="30" w:after="30"/>
              <w:ind w:left="60"/>
            </w:pPr>
            <w:r>
              <w:rPr>
                <w:color w:val="4A5568"/>
                <w:sz w:val="20"/>
                <w:rFonts w:ascii="Calibri" w:hAnsi="Calibri" w:eastAsia="Microsoft YaHei" w:cs="Calibri"/>
                <w:szCs w:val="20"/>
              </w:rPr>
              <w:t>All-aspect stealth, blended wing-body</w:t>
            </w:r>
          </w:p>
        </w:tc>
      </w:tr>
      <w:tr>
        <w:tc>
          <w:tcPr>
            <w:tcW w:w="45" w:type="pct"/>
          </w:tcPr>
          <w:p>
            <w:pPr>
              <w:pStyle w:val="Normal"/>
              <w:spacing w:before="30" w:after="30"/>
              <w:ind w:left="60"/>
            </w:pPr>
            <w:r>
              <w:rPr>
                <w:color w:val="4A5568"/>
                <w:sz w:val="20"/>
                <w:rFonts w:ascii="Calibri" w:hAnsi="Calibri" w:eastAsia="Microsoft YaHei" w:cs="Calibri"/>
                <w:szCs w:val="20"/>
              </w:rPr>
              <w:t>Length</w:t>
            </w:r>
          </w:p>
        </w:tc>
        <w:tc>
          <w:tcPr>
            <w:tcW w:w="55" w:type="pct"/>
          </w:tcPr>
          <w:p>
            <w:pPr>
              <w:pStyle w:val="Normal"/>
              <w:spacing w:before="30" w:after="30"/>
              <w:ind w:left="60"/>
            </w:pPr>
            <w:r>
              <w:rPr>
                <w:color w:val="4A5568"/>
                <w:sz w:val="20"/>
                <w:rFonts w:ascii="Calibri" w:hAnsi="Calibri" w:eastAsia="Microsoft YaHei" w:cs="Calibri"/>
                <w:szCs w:val="20"/>
              </w:rPr>
              <w:t>9.5 m</w:t>
            </w:r>
          </w:p>
        </w:tc>
      </w:tr>
      <w:tr>
        <w:tc>
          <w:tcPr>
            <w:tcW w:w="45" w:type="pct"/>
          </w:tcPr>
          <w:p>
            <w:pPr>
              <w:pStyle w:val="Normal"/>
              <w:spacing w:before="30" w:after="30"/>
              <w:ind w:left="60"/>
            </w:pPr>
            <w:r>
              <w:rPr>
                <w:color w:val="4A5568"/>
                <w:sz w:val="20"/>
                <w:rFonts w:ascii="Calibri" w:hAnsi="Calibri" w:eastAsia="Microsoft YaHei" w:cs="Calibri"/>
                <w:szCs w:val="20"/>
              </w:rPr>
              <w:t>Wingspan</w:t>
            </w:r>
          </w:p>
        </w:tc>
        <w:tc>
          <w:tcPr>
            <w:tcW w:w="55" w:type="pct"/>
          </w:tcPr>
          <w:p>
            <w:pPr>
              <w:pStyle w:val="Normal"/>
              <w:spacing w:before="30" w:after="30"/>
              <w:ind w:left="60"/>
            </w:pPr>
            <w:r>
              <w:rPr>
                <w:color w:val="4A5568"/>
                <w:sz w:val="20"/>
                <w:rFonts w:ascii="Calibri" w:hAnsi="Calibri" w:eastAsia="Microsoft YaHei" w:cs="Calibri"/>
                <w:szCs w:val="20"/>
              </w:rPr>
              <w:t>11.3 m</w:t>
            </w:r>
          </w:p>
        </w:tc>
      </w:tr>
      <w:tr>
        <w:tc>
          <w:tcPr>
            <w:tcW w:w="45" w:type="pct"/>
          </w:tcPr>
          <w:p>
            <w:pPr>
              <w:pStyle w:val="Normal"/>
              <w:spacing w:before="30" w:after="30"/>
              <w:ind w:left="60"/>
            </w:pPr>
            <w:r>
              <w:rPr>
                <w:color w:val="4A5568"/>
                <w:sz w:val="20"/>
                <w:rFonts w:ascii="Calibri" w:hAnsi="Calibri" w:eastAsia="Microsoft YaHei" w:cs="Calibri"/>
                <w:szCs w:val="20"/>
              </w:rPr>
              <w:t>Height</w:t>
            </w:r>
          </w:p>
        </w:tc>
        <w:tc>
          <w:tcPr>
            <w:tcW w:w="55" w:type="pct"/>
          </w:tcPr>
          <w:p>
            <w:pPr>
              <w:pStyle w:val="Normal"/>
              <w:spacing w:before="30" w:after="30"/>
              <w:ind w:left="60"/>
            </w:pPr>
            <w:r>
              <w:rPr>
                <w:color w:val="4A5568"/>
                <w:sz w:val="20"/>
                <w:rFonts w:ascii="Calibri" w:hAnsi="Calibri" w:eastAsia="Microsoft YaHei" w:cs="Calibri"/>
                <w:szCs w:val="20"/>
              </w:rPr>
              <w:t>1.5 m</w:t>
            </w:r>
          </w:p>
        </w:tc>
      </w:tr>
      <w:tr>
        <w:tc>
          <w:tcPr>
            <w:tcW w:w="45" w:type="pct"/>
          </w:tcPr>
          <w:p>
            <w:pPr>
              <w:pStyle w:val="Normal"/>
              <w:spacing w:before="30" w:after="30"/>
              <w:ind w:left="60"/>
            </w:pPr>
            <w:r>
              <w:rPr>
                <w:color w:val="4A5568"/>
                <w:sz w:val="20"/>
                <w:rFonts w:ascii="Calibri" w:hAnsi="Calibri" w:eastAsia="Microsoft YaHei" w:cs="Calibri"/>
                <w:szCs w:val="20"/>
              </w:rPr>
              <w:t>Max takeoff weight</w:t>
            </w:r>
          </w:p>
        </w:tc>
        <w:tc>
          <w:tcPr>
            <w:tcW w:w="55" w:type="pct"/>
          </w:tcPr>
          <w:p>
            <w:pPr>
              <w:pStyle w:val="Normal"/>
              <w:spacing w:before="30" w:after="30"/>
              <w:ind w:left="60"/>
            </w:pPr>
            <w:r>
              <w:rPr>
                <w:color w:val="4A5568"/>
                <w:sz w:val="20"/>
                <w:rFonts w:ascii="Calibri" w:hAnsi="Calibri" w:eastAsia="Microsoft YaHei" w:cs="Calibri"/>
                <w:szCs w:val="20"/>
              </w:rPr>
              <w:t>4,800 kg</w:t>
            </w:r>
          </w:p>
        </w:tc>
      </w:tr>
      <w:tr>
        <w:tc>
          <w:tcPr>
            <w:tcW w:w="45" w:type="pct"/>
          </w:tcPr>
          <w:p>
            <w:pPr>
              <w:pStyle w:val="Normal"/>
              <w:spacing w:before="30" w:after="30"/>
              <w:ind w:left="60"/>
            </w:pPr>
            <w:r>
              <w:rPr>
                <w:color w:val="4A5568"/>
                <w:sz w:val="20"/>
                <w:rFonts w:ascii="Calibri" w:hAnsi="Calibri" w:eastAsia="Microsoft YaHei" w:cs="Calibri"/>
                <w:szCs w:val="20"/>
              </w:rPr>
              <w:t>Empty weight</w:t>
            </w:r>
          </w:p>
        </w:tc>
        <w:tc>
          <w:tcPr>
            <w:tcW w:w="55" w:type="pct"/>
          </w:tcPr>
          <w:p>
            <w:pPr>
              <w:pStyle w:val="Normal"/>
              <w:spacing w:before="30" w:after="30"/>
              <w:ind w:left="60"/>
            </w:pPr>
            <w:r>
              <w:rPr>
                <w:color w:val="4A5568"/>
                <w:sz w:val="20"/>
                <w:rFonts w:ascii="Calibri" w:hAnsi="Calibri" w:eastAsia="Microsoft YaHei" w:cs="Calibri"/>
                <w:szCs w:val="20"/>
              </w:rPr>
              <w:t>2,600 kg</w:t>
            </w:r>
          </w:p>
        </w:tc>
      </w:tr>
      <w:tr>
        <w:tc>
          <w:tcPr>
            <w:tcW w:w="45" w:type="pct"/>
          </w:tcPr>
          <w:p>
            <w:pPr>
              <w:pStyle w:val="Normal"/>
              <w:spacing w:before="30" w:after="30"/>
              <w:ind w:left="60"/>
            </w:pPr>
            <w:r>
              <w:rPr>
                <w:color w:val="4A5568"/>
                <w:sz w:val="20"/>
                <w:rFonts w:ascii="Calibri" w:hAnsi="Calibri" w:eastAsia="Microsoft YaHei" w:cs="Calibri"/>
                <w:szCs w:val="20"/>
              </w:rPr>
              <w:t>Internal fuel</w:t>
            </w:r>
          </w:p>
        </w:tc>
        <w:tc>
          <w:tcPr>
            <w:tcW w:w="55" w:type="pct"/>
          </w:tcPr>
          <w:p>
            <w:pPr>
              <w:pStyle w:val="Normal"/>
              <w:spacing w:before="30" w:after="30"/>
              <w:ind w:left="60"/>
            </w:pPr>
            <w:r>
              <w:rPr>
                <w:color w:val="4A5568"/>
                <w:sz w:val="20"/>
                <w:rFonts w:ascii="Calibri" w:hAnsi="Calibri" w:eastAsia="Microsoft YaHei" w:cs="Calibri"/>
                <w:szCs w:val="20"/>
              </w:rPr>
              <w:t>1,850 kg</w:t>
            </w:r>
          </w:p>
        </w:tc>
      </w:tr>
      <w:tr>
        <w:tc>
          <w:tcPr>
            <w:tcW w:w="45" w:type="pct"/>
          </w:tcPr>
          <w:p>
            <w:pPr>
              <w:pStyle w:val="Normal"/>
              <w:spacing w:before="30" w:after="30"/>
              <w:ind w:left="60"/>
            </w:pPr>
            <w:r>
              <w:rPr>
                <w:color w:val="4A5568"/>
                <w:sz w:val="20"/>
                <w:rFonts w:ascii="Calibri" w:hAnsi="Calibri" w:eastAsia="Microsoft YaHei" w:cs="Calibri"/>
                <w:szCs w:val="20"/>
              </w:rPr>
              <w:t>Payload capacity</w:t>
            </w:r>
          </w:p>
        </w:tc>
        <w:tc>
          <w:tcPr>
            <w:tcW w:w="55" w:type="pct"/>
          </w:tcPr>
          <w:p>
            <w:pPr>
              <w:pStyle w:val="Normal"/>
              <w:spacing w:before="30" w:after="30"/>
              <w:ind w:left="60"/>
            </w:pPr>
            <w:r>
              <w:rPr>
                <w:color w:val="4A5568"/>
                <w:sz w:val="20"/>
                <w:rFonts w:ascii="Calibri" w:hAnsi="Calibri" w:eastAsia="Microsoft YaHei" w:cs="Calibri"/>
                <w:szCs w:val="20"/>
              </w:rPr>
              <w:t>450 kg dual internal bays</w:t>
            </w:r>
          </w:p>
        </w:tc>
      </w:tr>
      <w:tr>
        <w:tc>
          <w:tcPr>
            <w:tcW w:w="45" w:type="pct"/>
          </w:tcPr>
          <w:p>
            <w:pPr>
              <w:pStyle w:val="Normal"/>
              <w:spacing w:before="30" w:after="30"/>
              <w:ind w:left="60"/>
            </w:pPr>
            <w:r>
              <w:rPr>
                <w:color w:val="4A5568"/>
                <w:sz w:val="20"/>
                <w:rFonts w:ascii="Calibri" w:hAnsi="Calibri" w:eastAsia="Microsoft YaHei" w:cs="Calibri"/>
                <w:szCs w:val="20"/>
              </w:rPr>
              <w:t>Powerplant</w:t>
            </w:r>
          </w:p>
        </w:tc>
        <w:tc>
          <w:tcPr>
            <w:tcW w:w="55" w:type="pct"/>
          </w:tcPr>
          <w:p>
            <w:pPr>
              <w:pStyle w:val="Normal"/>
              <w:spacing w:before="30" w:after="30"/>
              <w:ind w:left="60"/>
            </w:pPr>
            <w:r>
              <w:rPr>
                <w:color w:val="4A5568"/>
                <w:sz w:val="20"/>
                <w:rFonts w:ascii="Calibri" w:hAnsi="Calibri" w:eastAsia="Microsoft YaHei" w:cs="Calibri"/>
                <w:szCs w:val="20"/>
              </w:rPr>
              <w:t>1 x Pratt &amp; Whitney PW800 derivative (36 kN-class, twin serpentine inlets)</w:t>
            </w:r>
          </w:p>
        </w:tc>
      </w:tr>
      <w:tr>
        <w:tc>
          <w:tcPr>
            <w:tcW w:w="45" w:type="pct"/>
          </w:tcPr>
          <w:p>
            <w:pPr>
              <w:pStyle w:val="Normal"/>
              <w:spacing w:before="30" w:after="30"/>
              <w:ind w:left="60"/>
            </w:pPr>
            <w:r>
              <w:rPr>
                <w:color w:val="4A5568"/>
                <w:sz w:val="20"/>
                <w:rFonts w:ascii="Calibri" w:hAnsi="Calibri" w:eastAsia="Microsoft YaHei" w:cs="Calibri"/>
                <w:szCs w:val="20"/>
              </w:rPr>
              <w:t>Max speed</w:t>
            </w:r>
          </w:p>
        </w:tc>
        <w:tc>
          <w:tcPr>
            <w:tcW w:w="55" w:type="pct"/>
          </w:tcPr>
          <w:p>
            <w:pPr>
              <w:pStyle w:val="Normal"/>
              <w:spacing w:before="30" w:after="30"/>
              <w:ind w:left="60"/>
            </w:pPr>
            <w:r>
              <w:rPr>
                <w:color w:val="4A5568"/>
                <w:sz w:val="20"/>
                <w:rFonts w:ascii="Calibri" w:hAnsi="Calibri" w:eastAsia="Microsoft YaHei" w:cs="Calibri"/>
                <w:szCs w:val="20"/>
              </w:rPr>
              <w:t>Mach 1.6; dash Mach 1.4-1.5 (3-6 min)</w:t>
            </w:r>
          </w:p>
        </w:tc>
      </w:tr>
      <w:tr>
        <w:tc>
          <w:tcPr>
            <w:tcW w:w="45" w:type="pct"/>
          </w:tcPr>
          <w:p>
            <w:pPr>
              <w:pStyle w:val="Normal"/>
              <w:spacing w:before="30" w:after="30"/>
              <w:ind w:left="60"/>
            </w:pPr>
            <w:r>
              <w:rPr>
                <w:color w:val="4A5568"/>
                <w:sz w:val="20"/>
                <w:rFonts w:ascii="Calibri" w:hAnsi="Calibri" w:eastAsia="Microsoft YaHei" w:cs="Calibri"/>
                <w:szCs w:val="20"/>
              </w:rPr>
              <w:t>Combat radius</w:t>
            </w:r>
          </w:p>
        </w:tc>
        <w:tc>
          <w:tcPr>
            <w:tcW w:w="55" w:type="pct"/>
          </w:tcPr>
          <w:p>
            <w:pPr>
              <w:pStyle w:val="Normal"/>
              <w:spacing w:before="30" w:after="30"/>
              <w:ind w:left="60"/>
            </w:pPr>
            <w:r>
              <w:rPr>
                <w:color w:val="4A5568"/>
                <w:sz w:val="20"/>
                <w:rFonts w:ascii="Calibri" w:hAnsi="Calibri" w:eastAsia="Microsoft YaHei" w:cs="Calibri"/>
                <w:szCs w:val="20"/>
              </w:rPr>
              <w:t>620 nm (1,148 km) with 30-min loiter</w:t>
            </w:r>
          </w:p>
        </w:tc>
      </w:tr>
      <w:tr>
        <w:tc>
          <w:tcPr>
            <w:tcW w:w="45" w:type="pct"/>
          </w:tcPr>
          <w:p>
            <w:pPr>
              <w:pStyle w:val="Normal"/>
              <w:spacing w:before="30" w:after="30"/>
              <w:ind w:left="60"/>
            </w:pPr>
            <w:r>
              <w:rPr>
                <w:color w:val="4A5568"/>
                <w:sz w:val="20"/>
                <w:rFonts w:ascii="Calibri" w:hAnsi="Calibri" w:eastAsia="Microsoft YaHei" w:cs="Calibri"/>
                <w:szCs w:val="20"/>
              </w:rPr>
              <w:t>Endurance</w:t>
            </w:r>
          </w:p>
        </w:tc>
        <w:tc>
          <w:tcPr>
            <w:tcW w:w="55" w:type="pct"/>
          </w:tcPr>
          <w:p>
            <w:pPr>
              <w:pStyle w:val="Normal"/>
              <w:spacing w:before="30" w:after="30"/>
              <w:ind w:left="60"/>
            </w:pPr>
            <w:r>
              <w:rPr>
                <w:color w:val="4A5568"/>
                <w:sz w:val="20"/>
                <w:rFonts w:ascii="Calibri" w:hAnsi="Calibri" w:eastAsia="Microsoft YaHei" w:cs="Calibri"/>
                <w:szCs w:val="20"/>
              </w:rPr>
              <w:t>90-120 min typical; 150 min max</w:t>
            </w:r>
          </w:p>
        </w:tc>
      </w:tr>
      <w:tr>
        <w:tc>
          <w:tcPr>
            <w:tcW w:w="45" w:type="pct"/>
          </w:tcPr>
          <w:p>
            <w:pPr>
              <w:pStyle w:val="Normal"/>
              <w:spacing w:before="30" w:after="30"/>
              <w:ind w:left="60"/>
            </w:pPr>
            <w:r>
              <w:rPr>
                <w:color w:val="4A5568"/>
                <w:sz w:val="20"/>
                <w:rFonts w:ascii="Calibri" w:hAnsi="Calibri" w:eastAsia="Microsoft YaHei" w:cs="Calibri"/>
                <w:szCs w:val="20"/>
              </w:rPr>
              <w:t>Service ceiling</w:t>
            </w:r>
          </w:p>
        </w:tc>
        <w:tc>
          <w:tcPr>
            <w:tcW w:w="55" w:type="pct"/>
          </w:tcPr>
          <w:p>
            <w:pPr>
              <w:pStyle w:val="Normal"/>
              <w:spacing w:before="30" w:after="30"/>
              <w:ind w:left="60"/>
            </w:pPr>
            <w:r>
              <w:rPr>
                <w:color w:val="4A5568"/>
                <w:sz w:val="20"/>
                <w:rFonts w:ascii="Calibri" w:hAnsi="Calibri" w:eastAsia="Microsoft YaHei" w:cs="Calibri"/>
                <w:szCs w:val="20"/>
              </w:rPr>
              <w:t>55,000 ft during dash</w:t>
            </w:r>
          </w:p>
        </w:tc>
      </w:tr>
      <w:tr>
        <w:tc>
          <w:tcPr>
            <w:tcW w:w="45" w:type="pct"/>
          </w:tcPr>
          <w:p>
            <w:pPr>
              <w:pStyle w:val="Normal"/>
              <w:spacing w:before="30" w:after="30"/>
              <w:ind w:left="60"/>
            </w:pPr>
            <w:r>
              <w:rPr>
                <w:color w:val="4A5568"/>
                <w:sz w:val="20"/>
                <w:rFonts w:ascii="Calibri" w:hAnsi="Calibri" w:eastAsia="Microsoft YaHei" w:cs="Calibri"/>
                <w:szCs w:val="20"/>
              </w:rPr>
              <w:t>Frontal RCS (X-band)</w:t>
            </w:r>
          </w:p>
        </w:tc>
        <w:tc>
          <w:tcPr>
            <w:tcW w:w="55" w:type="pct"/>
          </w:tcPr>
          <w:p>
            <w:pPr>
              <w:pStyle w:val="Normal"/>
              <w:spacing w:before="30" w:after="30"/>
              <w:ind w:left="60"/>
            </w:pPr>
            <w:r>
              <w:rPr>
                <w:color w:val="4A5568"/>
                <w:sz w:val="20"/>
                <w:rFonts w:ascii="Calibri" w:hAnsi="Calibri" w:eastAsia="Microsoft YaHei" w:cs="Calibri"/>
                <w:szCs w:val="20"/>
              </w:rPr>
              <w:t>-28 dBsm (0.0016 m2)</w:t>
            </w:r>
          </w:p>
        </w:tc>
      </w:tr>
      <w:tr>
        <w:tc>
          <w:tcPr>
            <w:tcW w:w="45" w:type="pct"/>
          </w:tcPr>
          <w:p>
            <w:pPr>
              <w:pStyle w:val="Normal"/>
              <w:spacing w:before="30" w:after="30"/>
              <w:ind w:left="60"/>
            </w:pPr>
            <w:r>
              <w:rPr>
                <w:color w:val="4A5568"/>
                <w:sz w:val="20"/>
                <w:rFonts w:ascii="Calibri" w:hAnsi="Calibri" w:eastAsia="Microsoft YaHei" w:cs="Calibri"/>
                <w:szCs w:val="20"/>
              </w:rPr>
              <w:t>Lateral/aft RCS</w:t>
            </w:r>
          </w:p>
        </w:tc>
        <w:tc>
          <w:tcPr>
            <w:tcW w:w="55" w:type="pct"/>
          </w:tcPr>
          <w:p>
            <w:pPr>
              <w:pStyle w:val="Normal"/>
              <w:spacing w:before="30" w:after="30"/>
              <w:ind w:left="60"/>
            </w:pPr>
            <w:r>
              <w:rPr>
                <w:color w:val="4A5568"/>
                <w:sz w:val="20"/>
                <w:rFonts w:ascii="Calibri" w:hAnsi="Calibri" w:eastAsia="Microsoft YaHei" w:cs="Calibri"/>
                <w:szCs w:val="20"/>
              </w:rPr>
              <w:t>-18 / -14 dBsm</w:t>
            </w:r>
          </w:p>
        </w:tc>
      </w:tr>
      <w:tr>
        <w:tc>
          <w:tcPr>
            <w:tcW w:w="45" w:type="pct"/>
          </w:tcPr>
          <w:p>
            <w:pPr>
              <w:pStyle w:val="Normal"/>
              <w:spacing w:before="30" w:after="30"/>
              <w:ind w:left="60"/>
            </w:pPr>
            <w:r>
              <w:rPr>
                <w:color w:val="4A5568"/>
                <w:sz w:val="20"/>
                <w:rFonts w:ascii="Calibri" w:hAnsi="Calibri" w:eastAsia="Microsoft YaHei" w:cs="Calibri"/>
                <w:szCs w:val="20"/>
              </w:rPr>
              <w:t>VHF/UHF RCS</w:t>
            </w:r>
          </w:p>
        </w:tc>
        <w:tc>
          <w:tcPr>
            <w:tcW w:w="55" w:type="pct"/>
          </w:tcPr>
          <w:p>
            <w:pPr>
              <w:pStyle w:val="Normal"/>
              <w:spacing w:before="30" w:after="30"/>
              <w:ind w:left="60"/>
            </w:pPr>
            <w:r>
              <w:rPr>
                <w:color w:val="4A5568"/>
                <w:sz w:val="20"/>
                <w:rFonts w:ascii="Calibri" w:hAnsi="Calibri" w:eastAsia="Microsoft YaHei" w:cs="Calibri"/>
                <w:szCs w:val="20"/>
              </w:rPr>
              <w:t>-8 dBsm</w:t>
            </w:r>
          </w:p>
        </w:tc>
      </w:tr>
      <w:tr>
        <w:tc>
          <w:tcPr>
            <w:tcW w:w="45" w:type="pct"/>
          </w:tcPr>
          <w:p>
            <w:pPr>
              <w:pStyle w:val="Normal"/>
              <w:spacing w:before="30" w:after="30"/>
              <w:ind w:left="60"/>
            </w:pPr>
            <w:r>
              <w:rPr>
                <w:color w:val="4A5568"/>
                <w:sz w:val="20"/>
                <w:rFonts w:ascii="Calibri" w:hAnsi="Calibri" w:eastAsia="Microsoft YaHei" w:cs="Calibri"/>
                <w:szCs w:val="20"/>
              </w:rPr>
              <w:t>Design life</w:t>
            </w:r>
          </w:p>
        </w:tc>
        <w:tc>
          <w:tcPr>
            <w:tcW w:w="55" w:type="pct"/>
          </w:tcPr>
          <w:p>
            <w:pPr>
              <w:pStyle w:val="Normal"/>
              <w:spacing w:before="30" w:after="30"/>
              <w:ind w:left="60"/>
            </w:pPr>
            <w:r>
              <w:rPr>
                <w:color w:val="4A5568"/>
                <w:sz w:val="20"/>
                <w:rFonts w:ascii="Calibri" w:hAnsi="Calibri" w:eastAsia="Microsoft YaHei" w:cs="Calibri"/>
                <w:szCs w:val="20"/>
              </w:rPr>
              <w:t>800 flight hours / 300 missions</w:t>
            </w:r>
          </w:p>
        </w:tc>
      </w:tr>
      <w:tr>
        <w:tc>
          <w:tcPr>
            <w:tcW w:w="45" w:type="pct"/>
          </w:tcPr>
          <w:p>
            <w:pPr>
              <w:pStyle w:val="Normal"/>
              <w:spacing w:before="30" w:after="30"/>
              <w:ind w:left="60"/>
            </w:pPr>
            <w:r>
              <w:rPr>
                <w:color w:val="4A5568"/>
                <w:sz w:val="20"/>
                <w:rFonts w:ascii="Calibri" w:hAnsi="Calibri" w:eastAsia="Microsoft YaHei" w:cs="Calibri"/>
                <w:szCs w:val="20"/>
              </w:rPr>
              <w:t>Unit cost (Lot 15)</w:t>
            </w:r>
          </w:p>
        </w:tc>
        <w:tc>
          <w:tcPr>
            <w:tcW w:w="55" w:type="pct"/>
          </w:tcPr>
          <w:p>
            <w:pPr>
              <w:pStyle w:val="Normal"/>
              <w:spacing w:before="30" w:after="30"/>
              <w:ind w:left="60"/>
            </w:pPr>
            <w:r>
              <w:rPr>
                <w:color w:val="4A5568"/>
                <w:sz w:val="20"/>
                <w:rFonts w:ascii="Calibri" w:hAnsi="Calibri" w:eastAsia="Microsoft YaHei" w:cs="Calibri"/>
                <w:szCs w:val="20"/>
              </w:rPr>
              <w:t>$9.3M USD</w:t>
            </w:r>
          </w:p>
        </w:tc>
      </w:tr>
      <w:tr>
        <w:tc>
          <w:tcPr>
            <w:tcW w:w="45" w:type="pct"/>
          </w:tcPr>
          <w:p>
            <w:pPr>
              <w:pStyle w:val="Normal"/>
              <w:spacing w:before="30" w:after="30"/>
              <w:ind w:left="60"/>
            </w:pPr>
            <w:r>
              <w:rPr>
                <w:color w:val="4A5568"/>
                <w:sz w:val="20"/>
                <w:rFonts w:ascii="Calibri" w:hAnsi="Calibri" w:eastAsia="Microsoft YaHei" w:cs="Calibri"/>
                <w:szCs w:val="20"/>
              </w:rPr>
              <w:t>Cost per flight hour</w:t>
            </w:r>
          </w:p>
        </w:tc>
        <w:tc>
          <w:tcPr>
            <w:tcW w:w="55" w:type="pct"/>
          </w:tcPr>
          <w:p>
            <w:pPr>
              <w:pStyle w:val="Normal"/>
              <w:spacing w:before="30" w:after="30"/>
              <w:ind w:left="60"/>
            </w:pPr>
            <w:r>
              <w:rPr>
                <w:color w:val="4A5568"/>
                <w:sz w:val="20"/>
                <w:rFonts w:ascii="Calibri" w:hAnsi="Calibri" w:eastAsia="Microsoft YaHei" w:cs="Calibri"/>
                <w:szCs w:val="20"/>
              </w:rPr>
              <w:t>$1,200 USD</w:t>
            </w:r>
          </w:p>
        </w:tc>
      </w:tr>
      <w:tr>
        <w:tc>
          <w:tcPr>
            <w:tcW w:w="45" w:type="pct"/>
          </w:tcPr>
          <w:p>
            <w:pPr>
              <w:pStyle w:val="Normal"/>
              <w:spacing w:before="30" w:after="30"/>
              <w:ind w:left="60"/>
            </w:pPr>
            <w:r>
              <w:rPr>
                <w:color w:val="4A5568"/>
                <w:sz w:val="20"/>
                <w:rFonts w:ascii="Calibri" w:hAnsi="Calibri" w:eastAsia="Microsoft YaHei" w:cs="Calibri"/>
                <w:szCs w:val="20"/>
              </w:rPr>
              <w:t>Planned loss rate</w:t>
            </w:r>
          </w:p>
        </w:tc>
        <w:tc>
          <w:tcPr>
            <w:tcW w:w="55" w:type="pct"/>
          </w:tcPr>
          <w:p>
            <w:pPr>
              <w:pStyle w:val="Normal"/>
              <w:spacing w:before="30" w:after="30"/>
              <w:ind w:left="60"/>
            </w:pPr>
            <w:r>
              <w:rPr>
                <w:color w:val="4A5568"/>
                <w:sz w:val="20"/>
                <w:rFonts w:ascii="Calibri" w:hAnsi="Calibri" w:eastAsia="Microsoft YaHei" w:cs="Calibri"/>
                <w:szCs w:val="20"/>
              </w:rPr>
              <w:t>2-4% per sortie (contested)</w:t>
            </w:r>
          </w:p>
        </w:tc>
      </w:tr>
    </w:tbl>
    <w:p>
      <w:pPr>
        <w:pStyle w:val="Normal"/>
        <w:spacing w:after="120"/>
      </w:pPr>
    </w:p>
    <w:p>
      <w:pPr>
        <w:pStyle w:val="Heading3"/>
      </w:pPr>
      <w:r>
        <w:rPr>
          <w:rFonts w:ascii="Calibri" w:hAnsi="Calibri" w:eastAsia="Microsoft YaHei" w:cs="Calibri"/>
          <w:b/>
          <w:color w:val="4A5568"/>
          <w:sz w:val="26"/>
          <w:szCs w:val="26"/>
        </w:rPr>
        <w:t>Sensors and EW</w:t>
      </w:r>
    </w:p>
    <w:p>
      <w:pPr>
        <w:pStyle w:val="Normal"/>
      </w:pPr>
      <w:r>
        <w:rPr>
          <w:rFonts w:ascii="Calibri" w:hAnsi="Calibri" w:eastAsia="Microsoft YaHei" w:cs="Calibri"/>
          <w:color w:val="1D2D3D"/>
          <w:sz w:val="22"/>
          <w:szCs w:val="22"/>
        </w:rPr>
        <w:t>Radar: 800-module conformal AESA (150 km vs 1 m2); SAR 0.3 m resolution; GMTI 50 km / 200 tracks. EODAS: 6 IR apertures (aircraft detection 50 km, missile warning 100 km). ESM: 0.5-40 GHz, -80 dBm sensitivity, 5,000-emitter library. Autonomy: Collaborative Combat AI (MUM-T derivative), 50 Hz replanning; lost-link: continue 30 min then RTB.</w:t>
      </w:r>
    </w:p>
    <w:p>
      <w:pPr>
        <w:pStyle w:val="Heading3"/>
      </w:pPr>
      <w:r>
        <w:rPr>
          <w:rFonts w:ascii="Calibri" w:hAnsi="Calibri" w:eastAsia="Microsoft YaHei" w:cs="Calibri"/>
          <w:b/>
          <w:color w:val="4A5568"/>
          <w:sz w:val="26"/>
          <w:szCs w:val="26"/>
        </w:rPr>
        <w:t>Weapons Bay Configurations</w:t>
      </w:r>
    </w:p>
    <w:tbl>
      <w:tblPr>
        <w:tblW w:w="5000" w:type="pct"/>
        <w:tblBorders>
          <w:top w:val="single" w:color="3D5A80" w:sz="12"/>
          <w:left w:val="nil"/>
          <w:bottom w:val="single" w:color="3D5A80" w:sz="12"/>
          <w:right w:val="nil"/>
          <w:insideH w:val="single" w:color="C8D5E0" w:sz="4"/>
          <w:insideV w:val="nil"/>
        </w:tblBorders>
      </w:tblPr>
      <w:tblGrid>
        <w:gridCol w:w="30"/>
        <w:gridCol w:w="70"/>
      </w:tblGrid>
      <w:tr>
        <w:trPr>
          <w:tblHeader w:val="1"/>
        </w:trPr>
        <w:tc>
          <w:tcPr>
            <w:tcW w:w="30" w:type="pct"/>
            <w:shd w:val="clear" w:fill="E8EDF2" w:color="auto"/>
          </w:tcPr>
          <w:p>
            <w:pPr>
              <w:pStyle w:val="Normal"/>
              <w:spacing w:before="40" w:after="40"/>
              <w:jc w:val="center"/>
            </w:pPr>
            <w:r>
              <w:rPr>
                <w:b/>
                <w:color w:val="1D2D3D"/>
                <w:sz w:val="20"/>
                <w:rFonts w:ascii="Calibri" w:hAnsi="Calibri" w:eastAsia="Microsoft YaHei" w:cs="Calibri"/>
                <w:szCs w:val="20"/>
              </w:rPr>
              <w:t>Loadout</w:t>
            </w:r>
          </w:p>
        </w:tc>
        <w:tc>
          <w:tcPr>
            <w:tcW w:w="70" w:type="pct"/>
            <w:shd w:val="clear" w:fill="E8EDF2" w:color="auto"/>
          </w:tcPr>
          <w:p>
            <w:pPr>
              <w:pStyle w:val="Normal"/>
              <w:spacing w:before="40" w:after="40"/>
              <w:jc w:val="center"/>
            </w:pPr>
            <w:r>
              <w:rPr>
                <w:b/>
                <w:color w:val="1D2D3D"/>
                <w:sz w:val="20"/>
                <w:rFonts w:ascii="Calibri" w:hAnsi="Calibri" w:eastAsia="Microsoft YaHei" w:cs="Calibri"/>
                <w:szCs w:val="20"/>
              </w:rPr>
              <w:t>Configuration</w:t>
            </w:r>
          </w:p>
        </w:tc>
      </w:tr>
      <w:tr>
        <w:tc>
          <w:tcPr>
            <w:tcW w:w="30" w:type="pct"/>
          </w:tcPr>
          <w:p>
            <w:pPr>
              <w:pStyle w:val="Normal"/>
              <w:spacing w:before="30" w:after="30"/>
              <w:ind w:left="60"/>
            </w:pPr>
            <w:r>
              <w:rPr>
                <w:color w:val="4A5568"/>
                <w:sz w:val="20"/>
                <w:rFonts w:ascii="Calibri" w:hAnsi="Calibri" w:eastAsia="Microsoft YaHei" w:cs="Calibri"/>
                <w:szCs w:val="20"/>
              </w:rPr>
              <w:t>Air-to-Ground</w:t>
            </w:r>
          </w:p>
        </w:tc>
        <w:tc>
          <w:tcPr>
            <w:tcW w:w="70" w:type="pct"/>
          </w:tcPr>
          <w:p>
            <w:pPr>
              <w:pStyle w:val="Normal"/>
              <w:spacing w:before="30" w:after="30"/>
              <w:ind w:left="60"/>
            </w:pPr>
            <w:r>
              <w:rPr>
                <w:color w:val="4A5568"/>
                <w:sz w:val="20"/>
                <w:rFonts w:ascii="Calibri" w:hAnsi="Calibri" w:eastAsia="Microsoft YaHei" w:cs="Calibri"/>
                <w:szCs w:val="20"/>
              </w:rPr>
              <w:t>4x SDB or 4x SPEAR 3 per bay</w:t>
            </w:r>
          </w:p>
        </w:tc>
      </w:tr>
      <w:tr>
        <w:tc>
          <w:tcPr>
            <w:tcW w:w="30" w:type="pct"/>
          </w:tcPr>
          <w:p>
            <w:pPr>
              <w:pStyle w:val="Normal"/>
              <w:spacing w:before="30" w:after="30"/>
              <w:ind w:left="60"/>
            </w:pPr>
            <w:r>
              <w:rPr>
                <w:color w:val="4A5568"/>
                <w:sz w:val="20"/>
                <w:rFonts w:ascii="Calibri" w:hAnsi="Calibri" w:eastAsia="Microsoft YaHei" w:cs="Calibri"/>
                <w:szCs w:val="20"/>
              </w:rPr>
              <w:t>Air-to-Air</w:t>
            </w:r>
          </w:p>
        </w:tc>
        <w:tc>
          <w:tcPr>
            <w:tcW w:w="70" w:type="pct"/>
          </w:tcPr>
          <w:p>
            <w:pPr>
              <w:pStyle w:val="Normal"/>
              <w:spacing w:before="30" w:after="30"/>
              <w:ind w:left="60"/>
            </w:pPr>
            <w:r>
              <w:rPr>
                <w:color w:val="4A5568"/>
                <w:sz w:val="20"/>
                <w:rFonts w:ascii="Calibri" w:hAnsi="Calibri" w:eastAsia="Microsoft YaHei" w:cs="Calibri"/>
                <w:szCs w:val="20"/>
              </w:rPr>
              <w:t>2x AMRAAM per bay</w:t>
            </w:r>
          </w:p>
        </w:tc>
      </w:tr>
      <w:tr>
        <w:tc>
          <w:tcPr>
            <w:tcW w:w="30" w:type="pct"/>
          </w:tcPr>
          <w:p>
            <w:pPr>
              <w:pStyle w:val="Normal"/>
              <w:spacing w:before="30" w:after="30"/>
              <w:ind w:left="60"/>
            </w:pPr>
            <w:r>
              <w:rPr>
                <w:color w:val="4A5568"/>
                <w:sz w:val="20"/>
                <w:rFonts w:ascii="Calibri" w:hAnsi="Calibri" w:eastAsia="Microsoft YaHei" w:cs="Calibri"/>
                <w:szCs w:val="20"/>
              </w:rPr>
              <w:t>Mixed</w:t>
            </w:r>
          </w:p>
        </w:tc>
        <w:tc>
          <w:tcPr>
            <w:tcW w:w="70" w:type="pct"/>
          </w:tcPr>
          <w:p>
            <w:pPr>
              <w:pStyle w:val="Normal"/>
              <w:spacing w:before="30" w:after="30"/>
              <w:ind w:left="60"/>
            </w:pPr>
            <w:r>
              <w:rPr>
                <w:color w:val="4A5568"/>
                <w:sz w:val="20"/>
                <w:rFonts w:ascii="Calibri" w:hAnsi="Calibri" w:eastAsia="Microsoft YaHei" w:cs="Calibri"/>
                <w:szCs w:val="20"/>
              </w:rPr>
              <w:t>1x AMRAAM + 2x SDB per bay</w:t>
            </w:r>
          </w:p>
        </w:tc>
      </w:tr>
      <w:tr>
        <w:tc>
          <w:tcPr>
            <w:tcW w:w="30" w:type="pct"/>
          </w:tcPr>
          <w:p>
            <w:pPr>
              <w:pStyle w:val="Normal"/>
              <w:spacing w:before="30" w:after="30"/>
              <w:ind w:left="60"/>
            </w:pPr>
            <w:r>
              <w:rPr>
                <w:color w:val="4A5568"/>
                <w:sz w:val="20"/>
                <w:rFonts w:ascii="Calibri" w:hAnsi="Calibri" w:eastAsia="Microsoft YaHei" w:cs="Calibri"/>
                <w:szCs w:val="20"/>
              </w:rPr>
              <w:t>EW</w:t>
            </w:r>
          </w:p>
        </w:tc>
        <w:tc>
          <w:tcPr>
            <w:tcW w:w="70" w:type="pct"/>
          </w:tcPr>
          <w:p>
            <w:pPr>
              <w:pStyle w:val="Normal"/>
              <w:spacing w:before="30" w:after="30"/>
              <w:ind w:left="60"/>
            </w:pPr>
            <w:r>
              <w:rPr>
                <w:color w:val="4A5568"/>
                <w:sz w:val="20"/>
                <w:rFonts w:ascii="Calibri" w:hAnsi="Calibri" w:eastAsia="Microsoft YaHei" w:cs="Calibri"/>
                <w:szCs w:val="20"/>
              </w:rPr>
              <w:t>Scaled NGJ-MB pod, 1 kW ERP/sub-band</w:t>
            </w:r>
          </w:p>
        </w:tc>
      </w:tr>
      <w:tr>
        <w:tc>
          <w:tcPr>
            <w:tcW w:w="30" w:type="pct"/>
          </w:tcPr>
          <w:p>
            <w:pPr>
              <w:pStyle w:val="Normal"/>
              <w:spacing w:before="30" w:after="30"/>
              <w:ind w:left="60"/>
            </w:pPr>
            <w:r>
              <w:rPr>
                <w:color w:val="4A5568"/>
                <w:sz w:val="20"/>
                <w:rFonts w:ascii="Calibri" w:hAnsi="Calibri" w:eastAsia="Microsoft YaHei" w:cs="Calibri"/>
                <w:szCs w:val="20"/>
              </w:rPr>
              <w:t>ISR</w:t>
            </w:r>
          </w:p>
        </w:tc>
        <w:tc>
          <w:tcPr>
            <w:tcW w:w="70" w:type="pct"/>
          </w:tcPr>
          <w:p>
            <w:pPr>
              <w:pStyle w:val="Normal"/>
              <w:spacing w:before="30" w:after="30"/>
              <w:ind w:left="60"/>
            </w:pPr>
            <w:r>
              <w:rPr>
                <w:color w:val="4A5568"/>
                <w:sz w:val="20"/>
                <w:rFonts w:ascii="Calibri" w:hAnsi="Calibri" w:eastAsia="Microsoft YaHei" w:cs="Calibri"/>
                <w:szCs w:val="20"/>
              </w:rPr>
              <w:t>Advanced SAR 0.1 m, multi-spectral, SIGINT relay</w:t>
            </w:r>
          </w:p>
        </w:tc>
      </w:tr>
    </w:tbl>
    <w:p>
      <w:pPr>
        <w:pStyle w:val="Normal"/>
        <w:spacing w:after="120"/>
      </w:pPr>
    </w:p>
    <w:p>
      <w:pPr>
        <w:pStyle w:val="Heading3"/>
      </w:pPr>
      <w:r>
        <w:rPr>
          <w:rFonts w:ascii="Calibri" w:hAnsi="Calibri" w:eastAsia="Microsoft YaHei" w:cs="Calibri"/>
          <w:b/>
          <w:color w:val="4A5568"/>
          <w:sz w:val="26"/>
          <w:szCs w:val="26"/>
        </w:rPr>
        <w:t>Datalink Architecture</w:t>
      </w:r>
    </w:p>
    <w:p>
      <w:pPr>
        <w:pStyle w:val="Normal"/>
      </w:pPr>
      <w:r>
        <w:rPr>
          <w:rFonts w:ascii="Calibri" w:hAnsi="Calibri" w:eastAsia="Microsoft YaHei" w:cs="Calibri"/>
          <w:color w:val="1D2D3D"/>
          <w:sz w:val="22"/>
          <w:szCs w:val="22"/>
        </w:rPr>
        <w:t>TTNT (20 Mbps, MANET), IFDL (60 GHz mm-wave, 100 Mbps), Link-16 (full participant), Ku-band SATCOM (BLOS). MADL-compatible gateway for F-35 interoperability.</w:t>
      </w:r>
    </w:p>
    <w:p>
      <w:pPr>
        <w:pStyle w:val="Normal"/>
        <w:sectPr>
          <w:type w:val="nextPage"/>
          <w:pgSz w:w="11906" w:h="16838"/>
          <w:pgMar w:top="1440" w:right="1440" w:bottom="1440" w:left="1440" w:header="720" w:footer="720"/>
        </w:sectPr>
      </w:pPr>
    </w:p>
    <w:p>
      <w:pPr>
        <w:pStyle w:val="Heading1"/>
      </w:pPr>
      <w:bookmarkStart w:name="_Doc04" w:id="5"/>
      <w:r>
        <w:rPr>
          <w:rFonts w:ascii="Calibri" w:hAnsi="Calibri" w:eastAsia="Microsoft YaHei" w:cs="Calibri"/>
          <w:b/>
          <w:color w:val="3D5A80"/>
          <w:sz w:val="40"/>
          <w:szCs w:val="40"/>
        </w:rPr>
        <w:t>Document 4: Sprinter Procurement Package</w:t>
      </w:r>
      <w:bookmarkEnd w:id="5"/>
    </w:p>
    <w:p>
      <w:pPr>
        <w:pStyle w:val="Normal"/>
      </w:pPr>
      <w:r>
        <w:rPr>
          <w:rFonts w:ascii="Calibri" w:hAnsi="Calibri" w:eastAsia="Microsoft YaHei" w:cs="Calibri"/>
          <w:color w:val="1D2D3D"/>
          <w:sz w:val="22"/>
          <w:szCs w:val="22"/>
        </w:rPr>
        <w:t>Parts Procurement Package | Document No.: CDR-SPRSTRK-PPP-001 | June 2026</w:t>
      </w:r>
    </w:p>
    <w:p>
      <w:pPr>
        <w:pStyle w:val="Normal"/>
        <w:spacing w:after="240"/>
      </w:pPr>
    </w:p>
    <w:p>
      <w:pPr>
        <w:pStyle w:val="Heading2"/>
      </w:pPr>
      <w:r>
        <w:rPr>
          <w:rFonts w:ascii="Calibri" w:hAnsi="Calibri" w:eastAsia="Microsoft YaHei" w:cs="Calibri"/>
          <w:b/>
          <w:color w:val="1D2D3D"/>
          <w:sz w:val="30"/>
          <w:szCs w:val="30"/>
        </w:rPr>
        <w:t>Executive Summary</w:t>
      </w:r>
    </w:p>
    <w:p>
      <w:r>
        <w:t>This Parts Procurement Package defines the complete logistics and sustainment baseline for the Sprinter-class Tactical UAV. Total procurement cost: USD $1,727.5 million (CAD $2,332.1 million). Annual sustainment: USD $71.2 million (CAD $96.1 million). The 10-year lifecycle cost totals USD $2,439.5 million (CAD $3,293.3 million).</w:t>
      </w:r>
    </w:p>
    <w:p>
      <w:r>
        <w:t>The Sprinter force of 60 operational aircraft is sized for sustained operations at 2-3% attrition in contested airspace, with a 20-airframe attrition reserve and a 10-airframe contingency buffer for operational risk scenarios.</w:t>
      </w:r>
    </w:p>
    <w:p>
      <w:pPr>
        <w:pStyle w:val="Heading3"/>
      </w:pPr>
      <w:r>
        <w:t>Cost Summary</w:t>
      </w:r>
    </w:p>
    <w:tbl>
      <w:tblPr>
        <w:tblW w:w="5000" w:type="pct"/>
        <w:tblBorders>
          <w:top w:val="single" w:color="3D5A80" w:sz="12"/>
          <w:left w:val="nil"/>
          <w:bottom w:val="single" w:color="3D5A80" w:sz="12"/>
          <w:right w:val="nil"/>
          <w:insideH w:val="single" w:color="C8D5E0" w:sz="4"/>
          <w:insideV w:val="nil"/>
        </w:tblBorders>
      </w:tblPr>
      <w:tblGrid>
        <w:gridCol w:w="40"/>
        <w:gridCol w:w="20"/>
        <w:gridCol w:w="20"/>
        <w:gridCol w:w="20"/>
      </w:tblGrid>
      <w:tr>
        <w:trPr>
          <w:tblHeader/>
        </w:trPr>
        <w:tc>
          <w:tcPr>
            <w:tcW w:w="40" w:type="pct"/>
            <w:shd w:val="clear" w:fill="E8EDF2"/>
          </w:tcPr>
          <w:p>
            <w:pPr>
              <w:spacing w:before="40" w:after="40"/>
              <w:jc w:val="center"/>
            </w:pPr>
            <w:r>
              <w:rPr>
                <w:b/>
                <w:color w:val="1D2D3D"/>
                <w:sz w:val="20"/>
              </w:rPr>
              <w:t>Category</w:t>
            </w:r>
          </w:p>
        </w:tc>
        <w:tc>
          <w:tcPr>
            <w:tcW w:w="20" w:type="pct"/>
            <w:shd w:val="clear" w:fill="E8EDF2"/>
          </w:tcPr>
          <w:p>
            <w:pPr>
              <w:spacing w:before="40" w:after="40"/>
              <w:jc w:val="center"/>
            </w:pPr>
            <w:r>
              <w:rPr>
                <w:b/>
                <w:color w:val="1D2D3D"/>
                <w:sz w:val="20"/>
              </w:rPr>
              <w:t>USD M</w:t>
            </w:r>
          </w:p>
        </w:tc>
        <w:tc>
          <w:tcPr>
            <w:tcW w:w="20" w:type="pct"/>
            <w:shd w:val="clear" w:fill="E8EDF2"/>
          </w:tcPr>
          <w:p>
            <w:pPr>
              <w:spacing w:before="40" w:after="40"/>
              <w:jc w:val="center"/>
            </w:pPr>
            <w:r>
              <w:rPr>
                <w:b/>
                <w:color w:val="1D2D3D"/>
                <w:sz w:val="20"/>
              </w:rPr>
              <w:t>CAD M</w:t>
            </w:r>
          </w:p>
        </w:tc>
        <w:tc>
          <w:tcPr>
            <w:tcW w:w="20" w:type="pct"/>
            <w:shd w:val="clear" w:fill="E8EDF2"/>
          </w:tcPr>
          <w:p>
            <w:pPr>
              <w:spacing w:before="40" w:after="40"/>
              <w:jc w:val="center"/>
            </w:pPr>
            <w:r>
              <w:rPr>
                <w:b/>
                <w:color w:val="1D2D3D"/>
                <w:sz w:val="20"/>
              </w:rPr>
              <w:t>% of Total</w:t>
            </w:r>
          </w:p>
        </w:tc>
      </w:tr>
      <w:tr>
        <w:tc>
          <w:tcPr>
            <w:tcW w:w="40" w:type="pct"/>
          </w:tcPr>
          <w:p>
            <w:pPr>
              <w:spacing w:before="30" w:after="30"/>
              <w:ind w:left="60"/>
            </w:pPr>
            <w:r>
              <w:rPr>
                <w:color w:val="4A5568"/>
                <w:sz w:val="20"/>
              </w:rPr>
              <w:t>Sprinter Airframes (116 total)</w:t>
            </w:r>
          </w:p>
        </w:tc>
        <w:tc>
          <w:tcPr>
            <w:tcW w:w="20" w:type="pct"/>
          </w:tcPr>
          <w:p>
            <w:pPr>
              <w:spacing w:before="30" w:after="30"/>
              <w:ind w:left="60"/>
            </w:pPr>
            <w:r>
              <w:rPr>
                <w:color w:val="4A5568"/>
                <w:sz w:val="20"/>
              </w:rPr>
              <w:t>696.0</w:t>
            </w:r>
          </w:p>
        </w:tc>
        <w:tc>
          <w:tcPr>
            <w:tcW w:w="20" w:type="pct"/>
          </w:tcPr>
          <w:p>
            <w:pPr>
              <w:spacing w:before="30" w:after="30"/>
              <w:ind w:left="60"/>
            </w:pPr>
            <w:r>
              <w:rPr>
                <w:color w:val="4A5568"/>
                <w:sz w:val="20"/>
              </w:rPr>
              <w:t>939.6</w:t>
            </w:r>
          </w:p>
        </w:tc>
        <w:tc>
          <w:tcPr>
            <w:tcW w:w="20" w:type="pct"/>
          </w:tcPr>
          <w:p>
            <w:pPr>
              <w:spacing w:before="30" w:after="30"/>
              <w:ind w:left="60"/>
            </w:pPr>
            <w:r>
              <w:rPr>
                <w:color w:val="4A5568"/>
                <w:sz w:val="20"/>
              </w:rPr>
              <w:t>40.3%</w:t>
            </w:r>
          </w:p>
        </w:tc>
      </w:tr>
      <w:tr>
        <w:tc>
          <w:tcPr>
            <w:tcW w:w="40" w:type="pct"/>
          </w:tcPr>
          <w:p>
            <w:pPr>
              <w:spacing w:before="30" w:after="30"/>
              <w:ind w:left="60"/>
            </w:pPr>
            <w:r>
              <w:rPr>
                <w:color w:val="4A5568"/>
                <w:sz w:val="20"/>
              </w:rPr>
              <w:t>Spare Parts and Consumables</w:t>
            </w:r>
          </w:p>
        </w:tc>
        <w:tc>
          <w:tcPr>
            <w:tcW w:w="20" w:type="pct"/>
          </w:tcPr>
          <w:p>
            <w:pPr>
              <w:spacing w:before="30" w:after="30"/>
              <w:ind w:left="60"/>
            </w:pPr>
            <w:r>
              <w:rPr>
                <w:color w:val="4A5568"/>
                <w:sz w:val="20"/>
              </w:rPr>
              <w:t>301.2</w:t>
            </w:r>
          </w:p>
        </w:tc>
        <w:tc>
          <w:tcPr>
            <w:tcW w:w="20" w:type="pct"/>
          </w:tcPr>
          <w:p>
            <w:pPr>
              <w:spacing w:before="30" w:after="30"/>
              <w:ind w:left="60"/>
            </w:pPr>
            <w:r>
              <w:rPr>
                <w:color w:val="4A5568"/>
                <w:sz w:val="20"/>
              </w:rPr>
              <w:t>406.6</w:t>
            </w:r>
          </w:p>
        </w:tc>
        <w:tc>
          <w:tcPr>
            <w:tcW w:w="20" w:type="pct"/>
          </w:tcPr>
          <w:p>
            <w:pPr>
              <w:spacing w:before="30" w:after="30"/>
              <w:ind w:left="60"/>
            </w:pPr>
            <w:r>
              <w:rPr>
                <w:color w:val="4A5568"/>
                <w:sz w:val="20"/>
              </w:rPr>
              <w:t>17.4%</w:t>
            </w:r>
          </w:p>
        </w:tc>
      </w:tr>
      <w:tr>
        <w:tc>
          <w:tcPr>
            <w:tcW w:w="40" w:type="pct"/>
          </w:tcPr>
          <w:p>
            <w:pPr>
              <w:spacing w:before="30" w:after="30"/>
              <w:ind w:left="60"/>
            </w:pPr>
            <w:r>
              <w:rPr>
                <w:color w:val="4A5568"/>
                <w:sz w:val="20"/>
              </w:rPr>
              <w:t>Ground Support Equipment</w:t>
            </w:r>
          </w:p>
        </w:tc>
        <w:tc>
          <w:tcPr>
            <w:tcW w:w="20" w:type="pct"/>
          </w:tcPr>
          <w:p>
            <w:pPr>
              <w:spacing w:before="30" w:after="30"/>
              <w:ind w:left="60"/>
            </w:pPr>
            <w:r>
              <w:rPr>
                <w:color w:val="4A5568"/>
                <w:sz w:val="20"/>
              </w:rPr>
              <w:t>168.2</w:t>
            </w:r>
          </w:p>
        </w:tc>
        <w:tc>
          <w:tcPr>
            <w:tcW w:w="20" w:type="pct"/>
          </w:tcPr>
          <w:p>
            <w:pPr>
              <w:spacing w:before="30" w:after="30"/>
              <w:ind w:left="60"/>
            </w:pPr>
            <w:r>
              <w:rPr>
                <w:color w:val="4A5568"/>
                <w:sz w:val="20"/>
              </w:rPr>
              <w:t>227.1</w:t>
            </w:r>
          </w:p>
        </w:tc>
        <w:tc>
          <w:tcPr>
            <w:tcW w:w="20" w:type="pct"/>
          </w:tcPr>
          <w:p>
            <w:pPr>
              <w:spacing w:before="30" w:after="30"/>
              <w:ind w:left="60"/>
            </w:pPr>
            <w:r>
              <w:rPr>
                <w:color w:val="4A5568"/>
                <w:sz w:val="20"/>
              </w:rPr>
              <w:t>9.7%</w:t>
            </w:r>
          </w:p>
        </w:tc>
      </w:tr>
      <w:tr>
        <w:tc>
          <w:tcPr>
            <w:tcW w:w="40" w:type="pct"/>
          </w:tcPr>
          <w:p>
            <w:pPr>
              <w:spacing w:before="30" w:after="30"/>
              <w:ind w:left="60"/>
            </w:pPr>
            <w:r>
              <w:rPr>
                <w:color w:val="4A5568"/>
                <w:sz w:val="20"/>
              </w:rPr>
              <w:t>Training Systems</w:t>
            </w:r>
          </w:p>
        </w:tc>
        <w:tc>
          <w:tcPr>
            <w:tcW w:w="20" w:type="pct"/>
          </w:tcPr>
          <w:p>
            <w:pPr>
              <w:spacing w:before="30" w:after="30"/>
              <w:ind w:left="60"/>
            </w:pPr>
            <w:r>
              <w:rPr>
                <w:color w:val="4A5568"/>
                <w:sz w:val="20"/>
              </w:rPr>
              <w:t>62.0</w:t>
            </w:r>
          </w:p>
        </w:tc>
        <w:tc>
          <w:tcPr>
            <w:tcW w:w="20" w:type="pct"/>
          </w:tcPr>
          <w:p>
            <w:pPr>
              <w:spacing w:before="30" w:after="30"/>
              <w:ind w:left="60"/>
            </w:pPr>
            <w:r>
              <w:rPr>
                <w:color w:val="4A5568"/>
                <w:sz w:val="20"/>
              </w:rPr>
              <w:t>83.7</w:t>
            </w:r>
          </w:p>
        </w:tc>
        <w:tc>
          <w:tcPr>
            <w:tcW w:w="20" w:type="pct"/>
          </w:tcPr>
          <w:p>
            <w:pPr>
              <w:spacing w:before="30" w:after="30"/>
              <w:ind w:left="60"/>
            </w:pPr>
            <w:r>
              <w:rPr>
                <w:color w:val="4A5568"/>
                <w:sz w:val="20"/>
              </w:rPr>
              <w:t>3.6%</w:t>
            </w:r>
          </w:p>
        </w:tc>
      </w:tr>
      <w:tr>
        <w:tc>
          <w:tcPr>
            <w:tcW w:w="40" w:type="pct"/>
          </w:tcPr>
          <w:p>
            <w:pPr>
              <w:spacing w:before="30" w:after="30"/>
              <w:ind w:left="60"/>
            </w:pPr>
            <w:r>
              <w:rPr>
                <w:color w:val="4A5568"/>
                <w:sz w:val="20"/>
              </w:rPr>
              <w:t>Weapons and Munitions</w:t>
            </w:r>
          </w:p>
        </w:tc>
        <w:tc>
          <w:tcPr>
            <w:tcW w:w="20" w:type="pct"/>
          </w:tcPr>
          <w:p>
            <w:pPr>
              <w:spacing w:before="30" w:after="30"/>
              <w:ind w:left="60"/>
            </w:pPr>
            <w:r>
              <w:rPr>
                <w:color w:val="4A5568"/>
                <w:sz w:val="20"/>
              </w:rPr>
              <w:t>222.8</w:t>
            </w:r>
          </w:p>
        </w:tc>
        <w:tc>
          <w:tcPr>
            <w:tcW w:w="20" w:type="pct"/>
          </w:tcPr>
          <w:p>
            <w:pPr>
              <w:spacing w:before="30" w:after="30"/>
              <w:ind w:left="60"/>
            </w:pPr>
            <w:r>
              <w:rPr>
                <w:color w:val="4A5568"/>
                <w:sz w:val="20"/>
              </w:rPr>
              <w:t>300.8</w:t>
            </w:r>
          </w:p>
        </w:tc>
        <w:tc>
          <w:tcPr>
            <w:tcW w:w="20" w:type="pct"/>
          </w:tcPr>
          <w:p>
            <w:pPr>
              <w:spacing w:before="30" w:after="30"/>
              <w:ind w:left="60"/>
            </w:pPr>
            <w:r>
              <w:rPr>
                <w:color w:val="4A5568"/>
                <w:sz w:val="20"/>
              </w:rPr>
              <w:t>12.9%</w:t>
            </w:r>
          </w:p>
        </w:tc>
      </w:tr>
      <w:tr>
        <w:tc>
          <w:tcPr>
            <w:tcW w:w="40" w:type="pct"/>
          </w:tcPr>
          <w:p>
            <w:pPr>
              <w:spacing w:before="30" w:after="30"/>
              <w:ind w:left="60"/>
            </w:pPr>
            <w:r>
              <w:rPr>
                <w:color w:val="4A5568"/>
                <w:sz w:val="20"/>
              </w:rPr>
              <w:t>Facilities (Depot + 4 MOBs)</w:t>
            </w:r>
          </w:p>
        </w:tc>
        <w:tc>
          <w:tcPr>
            <w:tcW w:w="20" w:type="pct"/>
          </w:tcPr>
          <w:p>
            <w:pPr>
              <w:spacing w:before="30" w:after="30"/>
              <w:ind w:left="60"/>
            </w:pPr>
            <w:r>
              <w:rPr>
                <w:color w:val="4A5568"/>
                <w:sz w:val="20"/>
              </w:rPr>
              <w:t>141.8</w:t>
            </w:r>
          </w:p>
        </w:tc>
        <w:tc>
          <w:tcPr>
            <w:tcW w:w="20" w:type="pct"/>
          </w:tcPr>
          <w:p>
            <w:pPr>
              <w:spacing w:before="30" w:after="30"/>
              <w:ind w:left="60"/>
            </w:pPr>
            <w:r>
              <w:rPr>
                <w:color w:val="4A5568"/>
                <w:sz w:val="20"/>
              </w:rPr>
              <w:t>191.4</w:t>
            </w:r>
          </w:p>
        </w:tc>
        <w:tc>
          <w:tcPr>
            <w:tcW w:w="20" w:type="pct"/>
          </w:tcPr>
          <w:p>
            <w:pPr>
              <w:spacing w:before="30" w:after="30"/>
              <w:ind w:left="60"/>
            </w:pPr>
            <w:r>
              <w:rPr>
                <w:color w:val="4A5568"/>
                <w:sz w:val="20"/>
              </w:rPr>
              <w:t>8.2%</w:t>
            </w:r>
          </w:p>
        </w:tc>
      </w:tr>
      <w:tr>
        <w:tc>
          <w:tcPr>
            <w:tcW w:w="40" w:type="pct"/>
          </w:tcPr>
          <w:p>
            <w:pPr>
              <w:spacing w:before="30" w:after="30"/>
              <w:ind w:left="60"/>
            </w:pPr>
            <w:r>
              <w:rPr>
                <w:color w:val="4A5568"/>
                <w:sz w:val="20"/>
              </w:rPr>
              <w:t>Initial Support/CLS</w:t>
            </w:r>
          </w:p>
        </w:tc>
        <w:tc>
          <w:tcPr>
            <w:tcW w:w="20" w:type="pct"/>
          </w:tcPr>
          <w:p>
            <w:pPr>
              <w:spacing w:before="30" w:after="30"/>
              <w:ind w:left="60"/>
            </w:pPr>
            <w:r>
              <w:rPr>
                <w:color w:val="4A5568"/>
                <w:sz w:val="20"/>
              </w:rPr>
              <w:t>82.5</w:t>
            </w:r>
          </w:p>
        </w:tc>
        <w:tc>
          <w:tcPr>
            <w:tcW w:w="20" w:type="pct"/>
          </w:tcPr>
          <w:p>
            <w:pPr>
              <w:spacing w:before="30" w:after="30"/>
              <w:ind w:left="60"/>
            </w:pPr>
            <w:r>
              <w:rPr>
                <w:color w:val="4A5568"/>
                <w:sz w:val="20"/>
              </w:rPr>
              <w:t>111.4</w:t>
            </w:r>
          </w:p>
        </w:tc>
        <w:tc>
          <w:tcPr>
            <w:tcW w:w="20" w:type="pct"/>
          </w:tcPr>
          <w:p>
            <w:pPr>
              <w:spacing w:before="30" w:after="30"/>
              <w:ind w:left="60"/>
            </w:pPr>
            <w:r>
              <w:rPr>
                <w:color w:val="4A5568"/>
                <w:sz w:val="20"/>
              </w:rPr>
              <w:t>4.8%</w:t>
            </w:r>
          </w:p>
        </w:tc>
      </w:tr>
      <w:tr>
        <w:tc>
          <w:tcPr>
            <w:tcW w:w="40" w:type="pct"/>
          </w:tcPr>
          <w:p>
            <w:pPr>
              <w:spacing w:before="30" w:after="30"/>
              <w:ind w:left="60"/>
            </w:pPr>
            <w:r>
              <w:rPr>
                <w:color w:val="4A5568"/>
                <w:sz w:val="20"/>
              </w:rPr>
              <w:t>Contingency</w:t>
            </w:r>
          </w:p>
        </w:tc>
        <w:tc>
          <w:tcPr>
            <w:tcW w:w="20" w:type="pct"/>
          </w:tcPr>
          <w:p>
            <w:pPr>
              <w:spacing w:before="30" w:after="30"/>
              <w:ind w:left="60"/>
            </w:pPr>
            <w:r>
              <w:rPr>
                <w:color w:val="4A5568"/>
                <w:sz w:val="20"/>
              </w:rPr>
              <w:t>53.0</w:t>
            </w:r>
          </w:p>
        </w:tc>
        <w:tc>
          <w:tcPr>
            <w:tcW w:w="20" w:type="pct"/>
          </w:tcPr>
          <w:p>
            <w:pPr>
              <w:spacing w:before="30" w:after="30"/>
              <w:ind w:left="60"/>
            </w:pPr>
            <w:r>
              <w:rPr>
                <w:color w:val="4A5568"/>
                <w:sz w:val="20"/>
              </w:rPr>
              <w:t>71.6</w:t>
            </w:r>
          </w:p>
        </w:tc>
        <w:tc>
          <w:tcPr>
            <w:tcW w:w="20" w:type="pct"/>
          </w:tcPr>
          <w:p>
            <w:pPr>
              <w:spacing w:before="30" w:after="30"/>
              <w:ind w:left="60"/>
            </w:pPr>
            <w:r>
              <w:rPr>
                <w:color w:val="4A5568"/>
                <w:sz w:val="20"/>
              </w:rPr>
              <w:t>3.1%</w:t>
            </w:r>
          </w:p>
        </w:tc>
      </w:tr>
      <w:tr>
        <w:tc>
          <w:tcPr>
            <w:tcW w:w="40" w:type="pct"/>
          </w:tcPr>
          <w:p>
            <w:pPr>
              <w:spacing w:before="30" w:after="30"/>
              <w:ind w:left="60"/>
            </w:pPr>
            <w:r>
              <w:rPr>
                <w:color w:val="4A5568"/>
                <w:sz w:val="20"/>
              </w:rPr>
              <w:t>TOTAL PROCUREMENT</w:t>
            </w:r>
          </w:p>
        </w:tc>
        <w:tc>
          <w:tcPr>
            <w:tcW w:w="20" w:type="pct"/>
          </w:tcPr>
          <w:p>
            <w:pPr>
              <w:spacing w:before="30" w:after="30"/>
              <w:ind w:left="60"/>
            </w:pPr>
            <w:r>
              <w:rPr>
                <w:color w:val="4A5568"/>
                <w:sz w:val="20"/>
              </w:rPr>
              <w:t>1,727.5</w:t>
            </w:r>
          </w:p>
        </w:tc>
        <w:tc>
          <w:tcPr>
            <w:tcW w:w="20" w:type="pct"/>
          </w:tcPr>
          <w:p>
            <w:pPr>
              <w:spacing w:before="30" w:after="30"/>
              <w:ind w:left="60"/>
            </w:pPr>
            <w:r>
              <w:rPr>
                <w:color w:val="4A5568"/>
                <w:sz w:val="20"/>
              </w:rPr>
              <w:t>2,332.1</w:t>
            </w:r>
          </w:p>
        </w:tc>
        <w:tc>
          <w:tcPr>
            <w:tcW w:w="20" w:type="pct"/>
          </w:tcPr>
          <w:p>
            <w:pPr>
              <w:spacing w:before="30" w:after="30"/>
              <w:ind w:left="60"/>
            </w:pPr>
            <w:r>
              <w:rPr>
                <w:color w:val="4A5568"/>
                <w:sz w:val="20"/>
              </w:rPr>
              <w:t>100.0%</w:t>
            </w:r>
          </w:p>
        </w:tc>
      </w:tr>
    </w:tbl>
    <w:p>
      <w:pPr>
        <w:spacing w:after="120"/>
      </w:pPr>
    </w:p>
    <w:p>
      <w:pPr>
        <w:pStyle w:val="Heading3"/>
      </w:pPr>
      <w:r>
        <w:t>Force Structure</w:t>
      </w:r>
    </w:p>
    <w:tbl>
      <w:tblPr>
        <w:tblW w:w="5000" w:type="pct"/>
        <w:tblBorders>
          <w:top w:val="single" w:color="3D5A80" w:sz="12"/>
          <w:left w:val="nil"/>
          <w:bottom w:val="single" w:color="3D5A80" w:sz="12"/>
          <w:right w:val="nil"/>
          <w:insideH w:val="single" w:color="C8D5E0" w:sz="4"/>
          <w:insideV w:val="nil"/>
        </w:tblBorders>
      </w:tblPr>
      <w:tblGrid>
        <w:gridCol w:w="40"/>
        <w:gridCol w:w="60"/>
      </w:tblGrid>
      <w:tr>
        <w:trPr>
          <w:tblHeader/>
        </w:trPr>
        <w:tc>
          <w:tcPr>
            <w:tcW w:w="40" w:type="pct"/>
            <w:shd w:val="clear" w:fill="E8EDF2"/>
          </w:tcPr>
          <w:p>
            <w:pPr>
              <w:spacing w:before="40" w:after="40"/>
              <w:jc w:val="center"/>
            </w:pPr>
            <w:r>
              <w:rPr>
                <w:b/>
                <w:color w:val="1D2D3D"/>
                <w:sz w:val="20"/>
              </w:rPr>
              <w:t>Category</w:t>
            </w:r>
          </w:p>
        </w:tc>
        <w:tc>
          <w:tcPr>
            <w:tcW w:w="60" w:type="pct"/>
            <w:shd w:val="clear" w:fill="E8EDF2"/>
          </w:tcPr>
          <w:p>
            <w:pPr>
              <w:spacing w:before="40" w:after="40"/>
              <w:jc w:val="center"/>
            </w:pPr>
            <w:r>
              <w:rPr>
                <w:b/>
                <w:color w:val="1D2D3D"/>
                <w:sz w:val="20"/>
              </w:rPr>
              <w:t>Quantity</w:t>
            </w:r>
          </w:p>
        </w:tc>
      </w:tr>
      <w:tr>
        <w:tc>
          <w:tcPr>
            <w:tcW w:w="40" w:type="pct"/>
          </w:tcPr>
          <w:p>
            <w:pPr>
              <w:spacing w:before="30" w:after="30"/>
              <w:ind w:left="60"/>
            </w:pPr>
            <w:r>
              <w:rPr>
                <w:color w:val="4A5568"/>
                <w:sz w:val="20"/>
              </w:rPr>
              <w:t>Operational Fleet</w:t>
            </w:r>
          </w:p>
        </w:tc>
        <w:tc>
          <w:tcPr>
            <w:tcW w:w="60" w:type="pct"/>
          </w:tcPr>
          <w:p>
            <w:pPr>
              <w:spacing w:before="30" w:after="30"/>
              <w:ind w:left="60"/>
            </w:pPr>
            <w:r>
              <w:rPr>
                <w:color w:val="4A5568"/>
                <w:sz w:val="20"/>
              </w:rPr>
              <w:t>60 (15 per MOB)</w:t>
            </w:r>
          </w:p>
        </w:tc>
      </w:tr>
      <w:tr>
        <w:tc>
          <w:tcPr>
            <w:tcW w:w="40" w:type="pct"/>
          </w:tcPr>
          <w:p>
            <w:pPr>
              <w:spacing w:before="30" w:after="30"/>
              <w:ind w:left="60"/>
            </w:pPr>
            <w:r>
              <w:rPr>
                <w:color w:val="4A5568"/>
                <w:sz w:val="20"/>
              </w:rPr>
              <w:t>Training Aircraft</w:t>
            </w:r>
          </w:p>
        </w:tc>
        <w:tc>
          <w:tcPr>
            <w:tcW w:w="60" w:type="pct"/>
          </w:tcPr>
          <w:p>
            <w:pPr>
              <w:spacing w:before="30" w:after="30"/>
              <w:ind w:left="60"/>
            </w:pPr>
            <w:r>
              <w:rPr>
                <w:color w:val="4A5568"/>
                <w:sz w:val="20"/>
              </w:rPr>
              <w:t>10</w:t>
            </w:r>
          </w:p>
        </w:tc>
      </w:tr>
      <w:tr>
        <w:tc>
          <w:tcPr>
            <w:tcW w:w="40" w:type="pct"/>
          </w:tcPr>
          <w:p>
            <w:pPr>
              <w:spacing w:before="30" w:after="30"/>
              <w:ind w:left="60"/>
            </w:pPr>
            <w:r>
              <w:rPr>
                <w:color w:val="4A5568"/>
                <w:sz w:val="20"/>
              </w:rPr>
              <w:t>Attrition Reserve</w:t>
            </w:r>
          </w:p>
        </w:tc>
        <w:tc>
          <w:tcPr>
            <w:tcW w:w="60" w:type="pct"/>
          </w:tcPr>
          <w:p>
            <w:pPr>
              <w:spacing w:before="30" w:after="30"/>
              <w:ind w:left="60"/>
            </w:pPr>
            <w:r>
              <w:rPr>
                <w:color w:val="4A5568"/>
                <w:sz w:val="20"/>
              </w:rPr>
              <w:t>20 (33% of operational fleet)</w:t>
            </w:r>
          </w:p>
        </w:tc>
      </w:tr>
      <w:tr>
        <w:tc>
          <w:tcPr>
            <w:tcW w:w="40" w:type="pct"/>
          </w:tcPr>
          <w:p>
            <w:pPr>
              <w:spacing w:before="30" w:after="30"/>
              <w:ind w:left="60"/>
            </w:pPr>
            <w:r>
              <w:rPr>
                <w:color w:val="4A5568"/>
                <w:sz w:val="20"/>
              </w:rPr>
              <w:t>War Reserve</w:t>
            </w:r>
          </w:p>
        </w:tc>
        <w:tc>
          <w:tcPr>
            <w:tcW w:w="60" w:type="pct"/>
          </w:tcPr>
          <w:p>
            <w:pPr>
              <w:spacing w:before="30" w:after="30"/>
              <w:ind w:left="60"/>
            </w:pPr>
            <w:r>
              <w:rPr>
                <w:color w:val="4A5568"/>
                <w:sz w:val="20"/>
              </w:rPr>
              <w:t>10</w:t>
            </w:r>
          </w:p>
        </w:tc>
      </w:tr>
      <w:tr>
        <w:tc>
          <w:tcPr>
            <w:tcW w:w="40" w:type="pct"/>
          </w:tcPr>
          <w:p>
            <w:pPr>
              <w:spacing w:before="30" w:after="30"/>
              <w:ind w:left="60"/>
            </w:pPr>
            <w:r>
              <w:rPr>
                <w:color w:val="4A5568"/>
                <w:sz w:val="20"/>
              </w:rPr>
              <w:t>Depot Maintenance</w:t>
            </w:r>
          </w:p>
        </w:tc>
        <w:tc>
          <w:tcPr>
            <w:tcW w:w="60" w:type="pct"/>
          </w:tcPr>
          <w:p>
            <w:pPr>
              <w:spacing w:before="30" w:after="30"/>
              <w:ind w:left="60"/>
            </w:pPr>
            <w:r>
              <w:rPr>
                <w:color w:val="4A5568"/>
                <w:sz w:val="20"/>
              </w:rPr>
              <w:t>6</w:t>
            </w:r>
          </w:p>
        </w:tc>
      </w:tr>
      <w:tr>
        <w:tc>
          <w:tcPr>
            <w:tcW w:w="40" w:type="pct"/>
          </w:tcPr>
          <w:p>
            <w:pPr>
              <w:spacing w:before="30" w:after="30"/>
              <w:ind w:left="60"/>
            </w:pPr>
            <w:r>
              <w:rPr>
                <w:color w:val="4A5568"/>
                <w:sz w:val="20"/>
              </w:rPr>
              <w:t>Contingency Buffer</w:t>
            </w:r>
          </w:p>
        </w:tc>
        <w:tc>
          <w:tcPr>
            <w:tcW w:w="60" w:type="pct"/>
          </w:tcPr>
          <w:p>
            <w:pPr>
              <w:spacing w:before="30" w:after="30"/>
              <w:ind w:left="60"/>
            </w:pPr>
            <w:r>
              <w:rPr>
                <w:color w:val="4A5568"/>
                <w:sz w:val="20"/>
              </w:rPr>
              <w:t>10 (operational risk)</w:t>
            </w:r>
          </w:p>
        </w:tc>
      </w:tr>
      <w:tr>
        <w:tc>
          <w:tcPr>
            <w:tcW w:w="40" w:type="pct"/>
          </w:tcPr>
          <w:p>
            <w:pPr>
              <w:spacing w:before="30" w:after="30"/>
              <w:ind w:left="60"/>
            </w:pPr>
            <w:r>
              <w:rPr>
                <w:color w:val="4A5568"/>
                <w:sz w:val="20"/>
              </w:rPr>
              <w:t>TOTAL PROCUREMENT</w:t>
            </w:r>
          </w:p>
        </w:tc>
        <w:tc>
          <w:tcPr>
            <w:tcW w:w="60" w:type="pct"/>
          </w:tcPr>
          <w:p>
            <w:pPr>
              <w:spacing w:before="30" w:after="30"/>
              <w:ind w:left="60"/>
            </w:pPr>
            <w:r>
              <w:rPr>
                <w:color w:val="4A5568"/>
                <w:sz w:val="20"/>
              </w:rPr>
              <w:t>116</w:t>
            </w:r>
          </w:p>
        </w:tc>
      </w:tr>
    </w:tbl>
    <w:p>
      <w:pPr>
        <w:spacing w:after="120"/>
      </w:pPr>
    </w:p>
    <w:p>
      <w:pPr>
        <w:pStyle w:val="Heading2"/>
      </w:pPr>
      <w:r>
        <w:t>Sustainment Concept</w:t>
      </w:r>
    </w:p>
    <w:p>
      <w:r>
        <w:t>The Sprinter's attritable design philosophy (500 flight hours / 200 missions) operates at a 2-3% loss rate in contested airspace, shifting the sustainment model toward greater reuse and fewer replacements than legacy attritable concepts. Two-level maintenance: field-level LRU swap and depot-level structural inspection / engine overhaul at 250-flight-hour intervals. Operational availability target: 88% during high-intensity operations.</w:t>
      </w:r>
    </w:p>
    <w:p>
      <w:pPr>
        <w:pStyle w:val="Heading3"/>
      </w:pPr>
      <w:r>
        <w:t>Supply Chain Strategy</w:t>
      </w:r>
    </w:p>
    <w:p>
      <w:pPr>
        <w:spacing w:after="80"/>
        <w:ind w:left="720" w:hanging="360"/>
      </w:pPr>
      <w:r>
        <w:t>•  Tier 1 — Forward-Deployed Spares: Mission-essential LRUs at each MOB for 72 hours of autonomous operations</w:t>
      </w:r>
    </w:p>
    <w:p>
      <w:pPr>
        <w:spacing w:after="80"/>
        <w:ind w:left="720" w:hanging="360"/>
      </w:pPr>
      <w:r>
        <w:t>•  Tier 2 — Regional Depot: Full spares inventory, engine overhaul at Mirabel, QC and Halifax, NS</w:t>
      </w:r>
    </w:p>
    <w:p>
      <w:pPr>
        <w:spacing w:after="80"/>
        <w:ind w:left="720" w:hanging="360"/>
      </w:pPr>
      <w:r>
        <w:t>•  Tier 3 — OEM Support: Pratt &amp; Whitney Canada (engine), Bombardier (airframe), CAE (training), MDA (sensors)</w:t>
      </w:r>
    </w:p>
    <w:p>
      <w:pPr>
        <w:pStyle w:val="Heading2"/>
      </w:pPr>
      <w:r>
        <w:t>Spare Parts Summary by Subsystem</w:t>
      </w:r>
    </w:p>
    <w:p>
      <w:r>
        <w:t>All spares calculated at 90% confidence using Poisson demand distribution with adjusted consumption rates for the 2-3% attrition baseline.</w:t>
      </w:r>
    </w:p>
    <w:tbl>
      <w:tblPr>
        <w:tblW w:w="5000" w:type="pct"/>
        <w:tblBorders>
          <w:top w:val="single" w:color="3D5A80" w:sz="12"/>
          <w:left w:val="nil"/>
          <w:bottom w:val="single" w:color="3D5A80" w:sz="12"/>
          <w:right w:val="nil"/>
          <w:insideH w:val="single" w:color="C8D5E0" w:sz="4"/>
          <w:insideV w:val="nil"/>
        </w:tblBorders>
      </w:tblPr>
      <w:tblGrid>
        <w:gridCol w:w="35"/>
        <w:gridCol w:w="15"/>
        <w:gridCol w:w="15"/>
        <w:gridCol w:w="35"/>
      </w:tblGrid>
      <w:tr>
        <w:trPr>
          <w:tblHeader/>
        </w:trPr>
        <w:tc>
          <w:tcPr>
            <w:tcW w:w="35" w:type="pct"/>
            <w:shd w:val="clear" w:fill="E8EDF2"/>
          </w:tcPr>
          <w:p>
            <w:pPr>
              <w:spacing w:before="40" w:after="40"/>
              <w:jc w:val="center"/>
            </w:pPr>
            <w:r>
              <w:rPr>
                <w:b/>
                <w:color w:val="1D2D3D"/>
                <w:sz w:val="20"/>
              </w:rPr>
              <w:t>Subsystem</w:t>
            </w:r>
          </w:p>
        </w:tc>
        <w:tc>
          <w:tcPr>
            <w:tcW w:w="15" w:type="pct"/>
            <w:shd w:val="clear" w:fill="E8EDF2"/>
          </w:tcPr>
          <w:p>
            <w:pPr>
              <w:spacing w:before="40" w:after="40"/>
              <w:jc w:val="center"/>
            </w:pPr>
            <w:r>
              <w:rPr>
                <w:b/>
                <w:color w:val="1D2D3D"/>
                <w:sz w:val="20"/>
              </w:rPr>
              <w:t>Line Items</w:t>
            </w:r>
          </w:p>
        </w:tc>
        <w:tc>
          <w:tcPr>
            <w:tcW w:w="15" w:type="pct"/>
            <w:shd w:val="clear" w:fill="E8EDF2"/>
          </w:tcPr>
          <w:p>
            <w:pPr>
              <w:spacing w:before="40" w:after="40"/>
              <w:jc w:val="center"/>
            </w:pPr>
            <w:r>
              <w:rPr>
                <w:b/>
                <w:color w:val="1D2D3D"/>
                <w:sz w:val="20"/>
              </w:rPr>
              <w:t>Spares Cost (USD)</w:t>
            </w:r>
          </w:p>
        </w:tc>
        <w:tc>
          <w:tcPr>
            <w:tcW w:w="35" w:type="pct"/>
            <w:shd w:val="clear" w:fill="E8EDF2"/>
          </w:tcPr>
          <w:p>
            <w:pPr>
              <w:spacing w:before="40" w:after="40"/>
              <w:jc w:val="center"/>
            </w:pPr>
            <w:r>
              <w:rPr>
                <w:b/>
                <w:color w:val="1D2D3D"/>
                <w:sz w:val="20"/>
              </w:rPr>
              <w:t>Key Suppliers</w:t>
            </w:r>
          </w:p>
        </w:tc>
      </w:tr>
      <w:tr>
        <w:tc>
          <w:tcPr>
            <w:tcW w:w="35" w:type="pct"/>
          </w:tcPr>
          <w:p>
            <w:pPr>
              <w:spacing w:before="30" w:after="30"/>
              <w:ind w:left="60"/>
            </w:pPr>
            <w:r>
              <w:rPr>
                <w:color w:val="4A5568"/>
                <w:sz w:val="20"/>
              </w:rPr>
              <w:t>A. Airframe and Structure</w:t>
            </w:r>
          </w:p>
        </w:tc>
        <w:tc>
          <w:tcPr>
            <w:tcW w:w="15" w:type="pct"/>
          </w:tcPr>
          <w:p>
            <w:pPr>
              <w:spacing w:before="30" w:after="30"/>
              <w:ind w:left="60"/>
            </w:pPr>
            <w:r>
              <w:rPr>
                <w:color w:val="4A5568"/>
                <w:sz w:val="20"/>
              </w:rPr>
              <w:t>28 items</w:t>
            </w:r>
          </w:p>
        </w:tc>
        <w:tc>
          <w:tcPr>
            <w:tcW w:w="15" w:type="pct"/>
          </w:tcPr>
          <w:p>
            <w:pPr>
              <w:spacing w:before="30" w:after="30"/>
              <w:ind w:left="60"/>
            </w:pPr>
            <w:r>
              <w:rPr>
                <w:color w:val="4A5568"/>
                <w:sz w:val="20"/>
              </w:rPr>
              <w:t>$4,400,000</w:t>
            </w:r>
          </w:p>
        </w:tc>
        <w:tc>
          <w:tcPr>
            <w:tcW w:w="35" w:type="pct"/>
          </w:tcPr>
          <w:p>
            <w:pPr>
              <w:spacing w:before="30" w:after="30"/>
              <w:ind w:left="60"/>
            </w:pPr>
            <w:r>
              <w:rPr>
                <w:color w:val="4A5568"/>
                <w:sz w:val="20"/>
              </w:rPr>
              <w:t>Bombardier</w:t>
            </w:r>
          </w:p>
        </w:tc>
      </w:tr>
      <w:tr>
        <w:tc>
          <w:tcPr>
            <w:tcW w:w="35" w:type="pct"/>
          </w:tcPr>
          <w:p>
            <w:pPr>
              <w:spacing w:before="30" w:after="30"/>
              <w:ind w:left="60"/>
            </w:pPr>
            <w:r>
              <w:rPr>
                <w:color w:val="4A5568"/>
                <w:sz w:val="20"/>
              </w:rPr>
              <w:t>B. Propulsion System</w:t>
            </w:r>
          </w:p>
        </w:tc>
        <w:tc>
          <w:tcPr>
            <w:tcW w:w="15" w:type="pct"/>
          </w:tcPr>
          <w:p>
            <w:pPr>
              <w:spacing w:before="30" w:after="30"/>
              <w:ind w:left="60"/>
            </w:pPr>
            <w:r>
              <w:rPr>
                <w:color w:val="4A5568"/>
                <w:sz w:val="20"/>
              </w:rPr>
              <w:t>22 items</w:t>
            </w:r>
          </w:p>
        </w:tc>
        <w:tc>
          <w:tcPr>
            <w:tcW w:w="15" w:type="pct"/>
          </w:tcPr>
          <w:p>
            <w:pPr>
              <w:spacing w:before="30" w:after="30"/>
              <w:ind w:left="60"/>
            </w:pPr>
            <w:r>
              <w:rPr>
                <w:color w:val="4A5568"/>
                <w:sz w:val="20"/>
              </w:rPr>
              <w:t>$11,280,000</w:t>
            </w:r>
          </w:p>
        </w:tc>
        <w:tc>
          <w:tcPr>
            <w:tcW w:w="35" w:type="pct"/>
          </w:tcPr>
          <w:p>
            <w:pPr>
              <w:spacing w:before="30" w:after="30"/>
              <w:ind w:left="60"/>
            </w:pPr>
            <w:r>
              <w:rPr>
                <w:color w:val="4A5568"/>
                <w:sz w:val="20"/>
              </w:rPr>
              <w:t>P&amp;WC, SKF</w:t>
            </w:r>
          </w:p>
        </w:tc>
      </w:tr>
      <w:tr>
        <w:tc>
          <w:tcPr>
            <w:tcW w:w="35" w:type="pct"/>
          </w:tcPr>
          <w:p>
            <w:pPr>
              <w:spacing w:before="30" w:after="30"/>
              <w:ind w:left="60"/>
            </w:pPr>
            <w:r>
              <w:rPr>
                <w:color w:val="4A5568"/>
                <w:sz w:val="20"/>
              </w:rPr>
              <w:t>C. Avionics and Flight Control</w:t>
            </w:r>
          </w:p>
        </w:tc>
        <w:tc>
          <w:tcPr>
            <w:tcW w:w="15" w:type="pct"/>
          </w:tcPr>
          <w:p>
            <w:pPr>
              <w:spacing w:before="30" w:after="30"/>
              <w:ind w:left="60"/>
            </w:pPr>
            <w:r>
              <w:rPr>
                <w:color w:val="4A5568"/>
                <w:sz w:val="20"/>
              </w:rPr>
              <w:t>18 items</w:t>
            </w:r>
          </w:p>
        </w:tc>
        <w:tc>
          <w:tcPr>
            <w:tcW w:w="15" w:type="pct"/>
          </w:tcPr>
          <w:p>
            <w:pPr>
              <w:spacing w:before="30" w:after="30"/>
              <w:ind w:left="60"/>
            </w:pPr>
            <w:r>
              <w:rPr>
                <w:color w:val="4A5568"/>
                <w:sz w:val="20"/>
              </w:rPr>
              <w:t>$1,980,000</w:t>
            </w:r>
          </w:p>
        </w:tc>
        <w:tc>
          <w:tcPr>
            <w:tcW w:w="35" w:type="pct"/>
          </w:tcPr>
          <w:p>
            <w:pPr>
              <w:spacing w:before="30" w:after="30"/>
              <w:ind w:left="60"/>
            </w:pPr>
            <w:r>
              <w:rPr>
                <w:color w:val="4A5568"/>
                <w:sz w:val="20"/>
              </w:rPr>
              <w:t>CAE, Nvidia</w:t>
            </w:r>
          </w:p>
        </w:tc>
      </w:tr>
      <w:tr>
        <w:tc>
          <w:tcPr>
            <w:tcW w:w="35" w:type="pct"/>
          </w:tcPr>
          <w:p>
            <w:pPr>
              <w:spacing w:before="30" w:after="30"/>
              <w:ind w:left="60"/>
            </w:pPr>
            <w:r>
              <w:rPr>
                <w:color w:val="4A5568"/>
                <w:sz w:val="20"/>
              </w:rPr>
              <w:t>D. Sensors</w:t>
            </w:r>
          </w:p>
        </w:tc>
        <w:tc>
          <w:tcPr>
            <w:tcW w:w="15" w:type="pct"/>
          </w:tcPr>
          <w:p>
            <w:pPr>
              <w:spacing w:before="30" w:after="30"/>
              <w:ind w:left="60"/>
            </w:pPr>
            <w:r>
              <w:rPr>
                <w:color w:val="4A5568"/>
                <w:sz w:val="20"/>
              </w:rPr>
              <w:t>8 items</w:t>
            </w:r>
          </w:p>
        </w:tc>
        <w:tc>
          <w:tcPr>
            <w:tcW w:w="15" w:type="pct"/>
          </w:tcPr>
          <w:p>
            <w:pPr>
              <w:spacing w:before="30" w:after="30"/>
              <w:ind w:left="60"/>
            </w:pPr>
            <w:r>
              <w:rPr>
                <w:color w:val="4A5568"/>
                <w:sz w:val="20"/>
              </w:rPr>
              <w:t>$1,500,000</w:t>
            </w:r>
          </w:p>
        </w:tc>
        <w:tc>
          <w:tcPr>
            <w:tcW w:w="35" w:type="pct"/>
          </w:tcPr>
          <w:p>
            <w:pPr>
              <w:spacing w:before="30" w:after="30"/>
              <w:ind w:left="60"/>
            </w:pPr>
            <w:r>
              <w:rPr>
                <w:color w:val="4A5568"/>
                <w:sz w:val="20"/>
              </w:rPr>
              <w:t>MDA</w:t>
            </w:r>
          </w:p>
        </w:tc>
      </w:tr>
      <w:tr>
        <w:tc>
          <w:tcPr>
            <w:tcW w:w="35" w:type="pct"/>
          </w:tcPr>
          <w:p>
            <w:pPr>
              <w:spacing w:before="30" w:after="30"/>
              <w:ind w:left="60"/>
            </w:pPr>
            <w:r>
              <w:rPr>
                <w:color w:val="4A5568"/>
                <w:sz w:val="20"/>
              </w:rPr>
              <w:t>E. Communications and Datalink</w:t>
            </w:r>
          </w:p>
        </w:tc>
        <w:tc>
          <w:tcPr>
            <w:tcW w:w="15" w:type="pct"/>
          </w:tcPr>
          <w:p>
            <w:pPr>
              <w:spacing w:before="30" w:after="30"/>
              <w:ind w:left="60"/>
            </w:pPr>
            <w:r>
              <w:rPr>
                <w:color w:val="4A5568"/>
                <w:sz w:val="20"/>
              </w:rPr>
              <w:t>10 items</w:t>
            </w:r>
          </w:p>
        </w:tc>
        <w:tc>
          <w:tcPr>
            <w:tcW w:w="15" w:type="pct"/>
          </w:tcPr>
          <w:p>
            <w:pPr>
              <w:spacing w:before="30" w:after="30"/>
              <w:ind w:left="60"/>
            </w:pPr>
            <w:r>
              <w:rPr>
                <w:color w:val="4A5568"/>
                <w:sz w:val="20"/>
              </w:rPr>
              <w:t>$890,000</w:t>
            </w:r>
          </w:p>
        </w:tc>
        <w:tc>
          <w:tcPr>
            <w:tcW w:w="35" w:type="pct"/>
          </w:tcPr>
          <w:p>
            <w:pPr>
              <w:spacing w:before="30" w:after="30"/>
              <w:ind w:left="60"/>
            </w:pPr>
            <w:r>
              <w:rPr>
                <w:color w:val="4A5568"/>
                <w:sz w:val="20"/>
              </w:rPr>
              <w:t>ViaSat, DRS</w:t>
            </w:r>
          </w:p>
        </w:tc>
      </w:tr>
      <w:tr>
        <w:tc>
          <w:tcPr>
            <w:tcW w:w="35" w:type="pct"/>
          </w:tcPr>
          <w:p>
            <w:pPr>
              <w:spacing w:before="30" w:after="30"/>
              <w:ind w:left="60"/>
            </w:pPr>
            <w:r>
              <w:rPr>
                <w:color w:val="4A5568"/>
                <w:sz w:val="20"/>
              </w:rPr>
              <w:t>F. Electrical and Environmental</w:t>
            </w:r>
          </w:p>
        </w:tc>
        <w:tc>
          <w:tcPr>
            <w:tcW w:w="15" w:type="pct"/>
          </w:tcPr>
          <w:p>
            <w:pPr>
              <w:spacing w:before="30" w:after="30"/>
              <w:ind w:left="60"/>
            </w:pPr>
            <w:r>
              <w:rPr>
                <w:color w:val="4A5568"/>
                <w:sz w:val="20"/>
              </w:rPr>
              <w:t>12 items</w:t>
            </w:r>
          </w:p>
        </w:tc>
        <w:tc>
          <w:tcPr>
            <w:tcW w:w="15" w:type="pct"/>
          </w:tcPr>
          <w:p>
            <w:pPr>
              <w:spacing w:before="30" w:after="30"/>
              <w:ind w:left="60"/>
            </w:pPr>
            <w:r>
              <w:rPr>
                <w:color w:val="4A5568"/>
                <w:sz w:val="20"/>
              </w:rPr>
              <w:t>$745,000</w:t>
            </w:r>
          </w:p>
        </w:tc>
        <w:tc>
          <w:tcPr>
            <w:tcW w:w="35" w:type="pct"/>
          </w:tcPr>
          <w:p>
            <w:pPr>
              <w:spacing w:before="30" w:after="30"/>
              <w:ind w:left="60"/>
            </w:pPr>
            <w:r>
              <w:rPr>
                <w:color w:val="4A5568"/>
                <w:sz w:val="20"/>
              </w:rPr>
              <w:t>Honeywell</w:t>
            </w:r>
          </w:p>
        </w:tc>
      </w:tr>
      <w:tr>
        <w:tc>
          <w:tcPr>
            <w:tcW w:w="35" w:type="pct"/>
          </w:tcPr>
          <w:p>
            <w:pPr>
              <w:spacing w:before="30" w:after="30"/>
              <w:ind w:left="60"/>
            </w:pPr>
            <w:r>
              <w:rPr>
                <w:color w:val="4A5568"/>
                <w:sz w:val="20"/>
              </w:rPr>
              <w:t>G. Weapons Bay and Armament</w:t>
            </w:r>
          </w:p>
        </w:tc>
        <w:tc>
          <w:tcPr>
            <w:tcW w:w="15" w:type="pct"/>
          </w:tcPr>
          <w:p>
            <w:pPr>
              <w:spacing w:before="30" w:after="30"/>
              <w:ind w:left="60"/>
            </w:pPr>
            <w:r>
              <w:rPr>
                <w:color w:val="4A5568"/>
                <w:sz w:val="20"/>
              </w:rPr>
              <w:t>14 items</w:t>
            </w:r>
          </w:p>
        </w:tc>
        <w:tc>
          <w:tcPr>
            <w:tcW w:w="15" w:type="pct"/>
          </w:tcPr>
          <w:p>
            <w:pPr>
              <w:spacing w:before="30" w:after="30"/>
              <w:ind w:left="60"/>
            </w:pPr>
            <w:r>
              <w:rPr>
                <w:color w:val="4A5568"/>
                <w:sz w:val="20"/>
              </w:rPr>
              <w:t>$1,127,000</w:t>
            </w:r>
          </w:p>
        </w:tc>
        <w:tc>
          <w:tcPr>
            <w:tcW w:w="35" w:type="pct"/>
          </w:tcPr>
          <w:p>
            <w:pPr>
              <w:spacing w:before="30" w:after="30"/>
              <w:ind w:left="60"/>
            </w:pPr>
            <w:r>
              <w:rPr>
                <w:color w:val="4A5568"/>
                <w:sz w:val="20"/>
              </w:rPr>
              <w:t>Boeing</w:t>
            </w:r>
          </w:p>
        </w:tc>
      </w:tr>
      <w:tr>
        <w:tc>
          <w:tcPr>
            <w:tcW w:w="35" w:type="pct"/>
          </w:tcPr>
          <w:p>
            <w:pPr>
              <w:spacing w:before="30" w:after="30"/>
              <w:ind w:left="60"/>
            </w:pPr>
            <w:r>
              <w:rPr>
                <w:color w:val="4A5568"/>
                <w:sz w:val="20"/>
              </w:rPr>
              <w:t>H. Consumables (30-day campaign)</w:t>
            </w:r>
          </w:p>
        </w:tc>
        <w:tc>
          <w:tcPr>
            <w:tcW w:w="15" w:type="pct"/>
          </w:tcPr>
          <w:p>
            <w:pPr>
              <w:spacing w:before="30" w:after="30"/>
              <w:ind w:left="60"/>
            </w:pPr>
            <w:r>
              <w:rPr>
                <w:color w:val="4A5568"/>
                <w:sz w:val="20"/>
              </w:rPr>
              <w:t>—</w:t>
            </w:r>
          </w:p>
        </w:tc>
        <w:tc>
          <w:tcPr>
            <w:tcW w:w="15" w:type="pct"/>
          </w:tcPr>
          <w:p>
            <w:pPr>
              <w:spacing w:before="30" w:after="30"/>
              <w:ind w:left="60"/>
            </w:pPr>
            <w:r>
              <w:rPr>
                <w:color w:val="4A5568"/>
                <w:sz w:val="20"/>
              </w:rPr>
              <w:t>$16,720,000</w:t>
            </w:r>
          </w:p>
        </w:tc>
        <w:tc>
          <w:tcPr>
            <w:tcW w:w="35" w:type="pct"/>
          </w:tcPr>
          <w:p>
            <w:pPr>
              <w:spacing w:before="30" w:after="30"/>
              <w:ind w:left="60"/>
            </w:pPr>
            <w:r>
              <w:rPr>
                <w:color w:val="4A5568"/>
                <w:sz w:val="20"/>
              </w:rPr>
              <w:t>Various</w:t>
            </w:r>
          </w:p>
        </w:tc>
      </w:tr>
      <w:tr>
        <w:tc>
          <w:tcPr>
            <w:tcW w:w="35" w:type="pct"/>
          </w:tcPr>
          <w:p>
            <w:pPr>
              <w:spacing w:before="30" w:after="30"/>
              <w:ind w:left="60"/>
            </w:pPr>
            <w:r>
              <w:rPr>
                <w:color w:val="4A5568"/>
                <w:sz w:val="20"/>
              </w:rPr>
              <w:t>Contingency</w:t>
            </w:r>
          </w:p>
        </w:tc>
        <w:tc>
          <w:tcPr>
            <w:tcW w:w="15" w:type="pct"/>
          </w:tcPr>
          <w:p>
            <w:pPr>
              <w:spacing w:before="30" w:after="30"/>
              <w:ind w:left="60"/>
            </w:pPr>
            <w:r>
              <w:rPr>
                <w:color w:val="4A5568"/>
                <w:sz w:val="20"/>
              </w:rPr>
              <w:t>—</w:t>
            </w:r>
          </w:p>
        </w:tc>
        <w:tc>
          <w:tcPr>
            <w:tcW w:w="15" w:type="pct"/>
          </w:tcPr>
          <w:p>
            <w:pPr>
              <w:spacing w:before="30" w:after="30"/>
              <w:ind w:left="60"/>
            </w:pPr>
            <w:r>
              <w:rPr>
                <w:color w:val="4A5568"/>
                <w:sz w:val="20"/>
              </w:rPr>
              <w:t>$53,000,000</w:t>
            </w:r>
          </w:p>
        </w:tc>
        <w:tc>
          <w:tcPr>
            <w:tcW w:w="35" w:type="pct"/>
          </w:tcPr>
          <w:p>
            <w:pPr>
              <w:spacing w:before="30" w:after="30"/>
              <w:ind w:left="60"/>
            </w:pPr>
            <w:r>
              <w:rPr>
                <w:color w:val="4A5568"/>
                <w:sz w:val="20"/>
              </w:rPr>
              <w:t>Strategic reserve</w:t>
            </w:r>
          </w:p>
        </w:tc>
      </w:tr>
      <w:tr>
        <w:tc>
          <w:tcPr>
            <w:tcW w:w="35" w:type="pct"/>
          </w:tcPr>
          <w:p>
            <w:pPr>
              <w:spacing w:before="30" w:after="30"/>
              <w:ind w:left="60"/>
            </w:pPr>
            <w:r>
              <w:rPr>
                <w:color w:val="4A5568"/>
                <w:sz w:val="20"/>
              </w:rPr>
              <w:t>TOTAL SPARES</w:t>
            </w:r>
          </w:p>
        </w:tc>
        <w:tc>
          <w:tcPr>
            <w:tcW w:w="15" w:type="pct"/>
          </w:tcPr>
          <w:p>
            <w:pPr>
              <w:spacing w:before="30" w:after="30"/>
              <w:ind w:left="60"/>
            </w:pPr>
            <w:r>
              <w:rPr>
                <w:color w:val="4A5568"/>
                <w:sz w:val="20"/>
              </w:rPr>
              <w:t>—</w:t>
            </w:r>
          </w:p>
        </w:tc>
        <w:tc>
          <w:tcPr>
            <w:tcW w:w="15" w:type="pct"/>
          </w:tcPr>
          <w:p>
            <w:pPr>
              <w:spacing w:before="30" w:after="30"/>
              <w:ind w:left="60"/>
            </w:pPr>
            <w:r>
              <w:rPr>
                <w:color w:val="4A5568"/>
                <w:sz w:val="20"/>
              </w:rPr>
              <w:t>$301,200,000</w:t>
            </w:r>
          </w:p>
        </w:tc>
        <w:tc>
          <w:tcPr>
            <w:tcW w:w="35" w:type="pct"/>
          </w:tcPr>
          <w:p>
            <w:pPr>
              <w:spacing w:before="30" w:after="30"/>
              <w:ind w:left="60"/>
            </w:pPr>
            <w:r>
              <w:rPr>
                <w:color w:val="4A5568"/>
                <w:sz w:val="20"/>
              </w:rPr>
              <w:t>—</w:t>
            </w:r>
          </w:p>
        </w:tc>
      </w:tr>
    </w:tbl>
    <w:p>
      <w:pPr>
        <w:spacing w:after="120"/>
      </w:pPr>
    </w:p>
    <w:p>
      <w:pPr>
        <w:pStyle w:val="Heading2"/>
      </w:pPr>
      <w:r>
        <w:t>Ground Support Equipment</w:t>
      </w:r>
    </w:p>
    <w:p>
      <w:r>
        <w:t>GSE sized for four MOBs (Cold Lake, Bagotville, Goose Bay, Thule/Pituffik). All equipment rated for -55 deg C minimum. Total GSE cost: $168.2M USD covering aircraft handling, refueling, weapons handling, power/starting, environmental/de-icing, and maintenance equipment.</w:t>
      </w:r>
    </w:p>
    <w:p>
      <w:pPr>
        <w:pStyle w:val="Heading2"/>
      </w:pPr>
      <w:r>
        <w:t>Training Systems</w:t>
      </w:r>
    </w:p>
    <w:p>
      <w:r>
        <w:t>Total training investment: $62.0M USD. Includes 3 full-mission simulators ($31.5M), 6 GCS simulators ($13.4M), 2 mission planning simulators ($4.2M), maintenance training devices ($6.0M), and e-learning modules. Training pipeline: 12-week operator course, 8-week maintainer course, 4-week Arctic-specific module, 2-week operational doctrine module.</w:t>
      </w:r>
    </w:p>
    <w:p>
      <w:pPr>
        <w:pStyle w:val="Heading2"/>
      </w:pPr>
      <w:r>
        <w:t>Risk Assessment</w:t>
      </w:r>
    </w:p>
    <w:tbl>
      <w:tblPr>
        <w:tblW w:w="5000" w:type="pct"/>
        <w:tblBorders>
          <w:top w:val="single" w:color="3D5A80" w:sz="12"/>
          <w:left w:val="nil"/>
          <w:bottom w:val="single" w:color="3D5A80" w:sz="12"/>
          <w:right w:val="nil"/>
          <w:insideH w:val="single" w:color="C8D5E0" w:sz="4"/>
          <w:insideV w:val="nil"/>
        </w:tblBorders>
      </w:tblPr>
      <w:tblGrid>
        <w:gridCol w:w="30"/>
        <w:gridCol w:w="15"/>
        <w:gridCol w:w="15"/>
        <w:gridCol w:w="40"/>
      </w:tblGrid>
      <w:tr>
        <w:trPr>
          <w:tblHeader/>
        </w:trPr>
        <w:tc>
          <w:tcPr>
            <w:tcW w:w="30" w:type="pct"/>
            <w:shd w:val="clear" w:fill="E8EDF2"/>
          </w:tcPr>
          <w:p>
            <w:pPr>
              <w:spacing w:before="40" w:after="40"/>
              <w:jc w:val="center"/>
            </w:pPr>
            <w:r>
              <w:rPr>
                <w:b/>
                <w:color w:val="1D2D3D"/>
                <w:sz w:val="20"/>
              </w:rPr>
              <w:t>Risk</w:t>
            </w:r>
          </w:p>
        </w:tc>
        <w:tc>
          <w:tcPr>
            <w:tcW w:w="15" w:type="pct"/>
            <w:shd w:val="clear" w:fill="E8EDF2"/>
          </w:tcPr>
          <w:p>
            <w:pPr>
              <w:spacing w:before="40" w:after="40"/>
              <w:jc w:val="center"/>
            </w:pPr>
            <w:r>
              <w:rPr>
                <w:b/>
                <w:color w:val="1D2D3D"/>
                <w:sz w:val="20"/>
              </w:rPr>
              <w:t>Severity</w:t>
            </w:r>
          </w:p>
        </w:tc>
        <w:tc>
          <w:tcPr>
            <w:tcW w:w="15" w:type="pct"/>
            <w:shd w:val="clear" w:fill="E8EDF2"/>
          </w:tcPr>
          <w:p>
            <w:pPr>
              <w:spacing w:before="40" w:after="40"/>
              <w:jc w:val="center"/>
            </w:pPr>
            <w:r>
              <w:rPr>
                <w:b/>
                <w:color w:val="1D2D3D"/>
                <w:sz w:val="20"/>
              </w:rPr>
              <w:t>Likelihood</w:t>
            </w:r>
          </w:p>
        </w:tc>
        <w:tc>
          <w:tcPr>
            <w:tcW w:w="40" w:type="pct"/>
            <w:shd w:val="clear" w:fill="E8EDF2"/>
          </w:tcPr>
          <w:p>
            <w:pPr>
              <w:spacing w:before="40" w:after="40"/>
              <w:jc w:val="center"/>
            </w:pPr>
            <w:r>
              <w:rPr>
                <w:b/>
                <w:color w:val="1D2D3D"/>
                <w:sz w:val="20"/>
              </w:rPr>
              <w:t>Mitigation</w:t>
            </w:r>
          </w:p>
        </w:tc>
      </w:tr>
      <w:tr>
        <w:tc>
          <w:tcPr>
            <w:tcW w:w="30" w:type="pct"/>
          </w:tcPr>
          <w:p>
            <w:pPr>
              <w:spacing w:before="30" w:after="30"/>
              <w:ind w:left="60"/>
            </w:pPr>
            <w:r>
              <w:rPr>
                <w:color w:val="4A5568"/>
                <w:sz w:val="20"/>
              </w:rPr>
              <w:t>Engine (P&amp;WC) single source</w:t>
            </w:r>
          </w:p>
        </w:tc>
        <w:tc>
          <w:tcPr>
            <w:tcW w:w="15" w:type="pct"/>
          </w:tcPr>
          <w:p>
            <w:pPr>
              <w:spacing w:before="30" w:after="30"/>
              <w:ind w:left="60"/>
            </w:pPr>
            <w:r>
              <w:rPr>
                <w:color w:val="4A5568"/>
                <w:sz w:val="20"/>
              </w:rPr>
              <w:t>High</w:t>
            </w:r>
          </w:p>
        </w:tc>
        <w:tc>
          <w:tcPr>
            <w:tcW w:w="15" w:type="pct"/>
          </w:tcPr>
          <w:p>
            <w:pPr>
              <w:spacing w:before="30" w:after="30"/>
              <w:ind w:left="60"/>
            </w:pPr>
            <w:r>
              <w:rPr>
                <w:color w:val="4A5568"/>
                <w:sz w:val="20"/>
              </w:rPr>
              <w:t>Medium</w:t>
            </w:r>
          </w:p>
        </w:tc>
        <w:tc>
          <w:tcPr>
            <w:tcW w:w="40" w:type="pct"/>
          </w:tcPr>
          <w:p>
            <w:pPr>
              <w:spacing w:before="30" w:after="30"/>
              <w:ind w:left="60"/>
            </w:pPr>
            <w:r>
              <w:rPr>
                <w:color w:val="4A5568"/>
                <w:sz w:val="20"/>
              </w:rPr>
              <w:t>Strategic spares stockpile; dual-source by Lot 10</w:t>
            </w:r>
          </w:p>
        </w:tc>
      </w:tr>
      <w:tr>
        <w:tc>
          <w:tcPr>
            <w:tcW w:w="30" w:type="pct"/>
          </w:tcPr>
          <w:p>
            <w:pPr>
              <w:spacing w:before="30" w:after="30"/>
              <w:ind w:left="60"/>
            </w:pPr>
            <w:r>
              <w:rPr>
                <w:color w:val="4A5568"/>
                <w:sz w:val="20"/>
              </w:rPr>
              <w:t>Suppression failure scenario</w:t>
            </w:r>
          </w:p>
        </w:tc>
        <w:tc>
          <w:tcPr>
            <w:tcW w:w="15" w:type="pct"/>
          </w:tcPr>
          <w:p>
            <w:pPr>
              <w:spacing w:before="30" w:after="30"/>
              <w:ind w:left="60"/>
            </w:pPr>
            <w:r>
              <w:rPr>
                <w:color w:val="4A5568"/>
                <w:sz w:val="20"/>
              </w:rPr>
              <w:t>High</w:t>
            </w:r>
          </w:p>
        </w:tc>
        <w:tc>
          <w:tcPr>
            <w:tcW w:w="15" w:type="pct"/>
          </w:tcPr>
          <w:p>
            <w:pPr>
              <w:spacing w:before="30" w:after="30"/>
              <w:ind w:left="60"/>
            </w:pPr>
            <w:r>
              <w:rPr>
                <w:color w:val="4A5568"/>
                <w:sz w:val="20"/>
              </w:rPr>
              <w:t>Low</w:t>
            </w:r>
          </w:p>
        </w:tc>
        <w:tc>
          <w:tcPr>
            <w:tcW w:w="40" w:type="pct"/>
          </w:tcPr>
          <w:p>
            <w:pPr>
              <w:spacing w:before="30" w:after="30"/>
              <w:ind w:left="60"/>
            </w:pPr>
            <w:r>
              <w:rPr>
                <w:color w:val="4A5568"/>
                <w:sz w:val="20"/>
              </w:rPr>
              <w:t>10-airframe contingency buffer; fallback procedures</w:t>
            </w:r>
          </w:p>
        </w:tc>
      </w:tr>
      <w:tr>
        <w:tc>
          <w:tcPr>
            <w:tcW w:w="30" w:type="pct"/>
          </w:tcPr>
          <w:p>
            <w:pPr>
              <w:spacing w:before="30" w:after="30"/>
              <w:ind w:left="60"/>
            </w:pPr>
            <w:r>
              <w:rPr>
                <w:color w:val="4A5568"/>
                <w:sz w:val="20"/>
              </w:rPr>
              <w:t>Composite structures lead time</w:t>
            </w:r>
          </w:p>
        </w:tc>
        <w:tc>
          <w:tcPr>
            <w:tcW w:w="15" w:type="pct"/>
          </w:tcPr>
          <w:p>
            <w:pPr>
              <w:spacing w:before="30" w:after="30"/>
              <w:ind w:left="60"/>
            </w:pPr>
            <w:r>
              <w:rPr>
                <w:color w:val="4A5568"/>
                <w:sz w:val="20"/>
              </w:rPr>
              <w:t>Medium</w:t>
            </w:r>
          </w:p>
        </w:tc>
        <w:tc>
          <w:tcPr>
            <w:tcW w:w="15" w:type="pct"/>
          </w:tcPr>
          <w:p>
            <w:pPr>
              <w:spacing w:before="30" w:after="30"/>
              <w:ind w:left="60"/>
            </w:pPr>
            <w:r>
              <w:rPr>
                <w:color w:val="4A5568"/>
                <w:sz w:val="20"/>
              </w:rPr>
              <w:t>Medium</w:t>
            </w:r>
          </w:p>
        </w:tc>
        <w:tc>
          <w:tcPr>
            <w:tcW w:w="40" w:type="pct"/>
          </w:tcPr>
          <w:p>
            <w:pPr>
              <w:spacing w:before="30" w:after="30"/>
              <w:ind w:left="60"/>
            </w:pPr>
            <w:r>
              <w:rPr>
                <w:color w:val="4A5568"/>
                <w:sz w:val="20"/>
              </w:rPr>
              <w:t>Production slot reservations; 16-20 week lead time</w:t>
            </w:r>
          </w:p>
        </w:tc>
      </w:tr>
      <w:tr>
        <w:tc>
          <w:tcPr>
            <w:tcW w:w="30" w:type="pct"/>
          </w:tcPr>
          <w:p>
            <w:pPr>
              <w:spacing w:before="30" w:after="30"/>
              <w:ind w:left="60"/>
            </w:pPr>
            <w:r>
              <w:rPr>
                <w:color w:val="4A5568"/>
                <w:sz w:val="20"/>
              </w:rPr>
              <w:t>Arctic environment degradation</w:t>
            </w:r>
          </w:p>
        </w:tc>
        <w:tc>
          <w:tcPr>
            <w:tcW w:w="15" w:type="pct"/>
          </w:tcPr>
          <w:p>
            <w:pPr>
              <w:spacing w:before="30" w:after="30"/>
              <w:ind w:left="60"/>
            </w:pPr>
            <w:r>
              <w:rPr>
                <w:color w:val="4A5568"/>
                <w:sz w:val="20"/>
              </w:rPr>
              <w:t>Medium</w:t>
            </w:r>
          </w:p>
        </w:tc>
        <w:tc>
          <w:tcPr>
            <w:tcW w:w="15" w:type="pct"/>
          </w:tcPr>
          <w:p>
            <w:pPr>
              <w:spacing w:before="30" w:after="30"/>
              <w:ind w:left="60"/>
            </w:pPr>
            <w:r>
              <w:rPr>
                <w:color w:val="4A5568"/>
                <w:sz w:val="20"/>
              </w:rPr>
              <w:t>High</w:t>
            </w:r>
          </w:p>
        </w:tc>
        <w:tc>
          <w:tcPr>
            <w:tcW w:w="40" w:type="pct"/>
          </w:tcPr>
          <w:p>
            <w:pPr>
              <w:spacing w:before="30" w:after="30"/>
              <w:ind w:left="60"/>
            </w:pPr>
            <w:r>
              <w:rPr>
                <w:color w:val="4A5568"/>
                <w:sz w:val="20"/>
              </w:rPr>
              <w:t>CS-RAM qualification; heated storage; accelerated life testing</w:t>
            </w:r>
          </w:p>
        </w:tc>
      </w:tr>
      <w:tr>
        <w:tc>
          <w:tcPr>
            <w:tcW w:w="30" w:type="pct"/>
          </w:tcPr>
          <w:p>
            <w:pPr>
              <w:spacing w:before="30" w:after="30"/>
              <w:ind w:left="60"/>
            </w:pPr>
            <w:r>
              <w:rPr>
                <w:color w:val="4A5568"/>
                <w:sz w:val="20"/>
              </w:rPr>
              <w:t>Autonomy software integration</w:t>
            </w:r>
          </w:p>
        </w:tc>
        <w:tc>
          <w:tcPr>
            <w:tcW w:w="15" w:type="pct"/>
          </w:tcPr>
          <w:p>
            <w:pPr>
              <w:spacing w:before="30" w:after="30"/>
              <w:ind w:left="60"/>
            </w:pPr>
            <w:r>
              <w:rPr>
                <w:color w:val="4A5568"/>
                <w:sz w:val="20"/>
              </w:rPr>
              <w:t>High</w:t>
            </w:r>
          </w:p>
        </w:tc>
        <w:tc>
          <w:tcPr>
            <w:tcW w:w="15" w:type="pct"/>
          </w:tcPr>
          <w:p>
            <w:pPr>
              <w:spacing w:before="30" w:after="30"/>
              <w:ind w:left="60"/>
            </w:pPr>
            <w:r>
              <w:rPr>
                <w:color w:val="4A5568"/>
                <w:sz w:val="20"/>
              </w:rPr>
              <w:t>Medium</w:t>
            </w:r>
          </w:p>
        </w:tc>
        <w:tc>
          <w:tcPr>
            <w:tcW w:w="40" w:type="pct"/>
          </w:tcPr>
          <w:p>
            <w:pPr>
              <w:spacing w:before="30" w:after="30"/>
              <w:ind w:left="60"/>
            </w:pPr>
            <w:r>
              <w:rPr>
                <w:color w:val="4A5568"/>
                <w:sz w:val="20"/>
              </w:rPr>
              <w:t>Software escrow; CAE backup development</w:t>
            </w:r>
          </w:p>
        </w:tc>
      </w:tr>
      <w:tr>
        <w:tc>
          <w:tcPr>
            <w:tcW w:w="30" w:type="pct"/>
          </w:tcPr>
          <w:p>
            <w:pPr>
              <w:spacing w:before="30" w:after="30"/>
              <w:ind w:left="60"/>
            </w:pPr>
            <w:r>
              <w:rPr>
                <w:color w:val="4A5568"/>
                <w:sz w:val="20"/>
              </w:rPr>
              <w:t>2-3% attrition rate underestimate</w:t>
            </w:r>
          </w:p>
        </w:tc>
        <w:tc>
          <w:tcPr>
            <w:tcW w:w="15" w:type="pct"/>
          </w:tcPr>
          <w:p>
            <w:pPr>
              <w:spacing w:before="30" w:after="30"/>
              <w:ind w:left="60"/>
            </w:pPr>
            <w:r>
              <w:rPr>
                <w:color w:val="4A5568"/>
                <w:sz w:val="20"/>
              </w:rPr>
              <w:t>Medium</w:t>
            </w:r>
          </w:p>
        </w:tc>
        <w:tc>
          <w:tcPr>
            <w:tcW w:w="15" w:type="pct"/>
          </w:tcPr>
          <w:p>
            <w:pPr>
              <w:spacing w:before="30" w:after="30"/>
              <w:ind w:left="60"/>
            </w:pPr>
            <w:r>
              <w:rPr>
                <w:color w:val="4A5568"/>
                <w:sz w:val="20"/>
              </w:rPr>
              <w:t>Medium</w:t>
            </w:r>
          </w:p>
        </w:tc>
        <w:tc>
          <w:tcPr>
            <w:tcW w:w="40" w:type="pct"/>
          </w:tcPr>
          <w:p>
            <w:pPr>
              <w:spacing w:before="30" w:after="30"/>
              <w:ind w:left="60"/>
            </w:pPr>
            <w:r>
              <w:rPr>
                <w:color w:val="4A5568"/>
                <w:sz w:val="20"/>
              </w:rPr>
              <w:t>20-airframe reserve (33%); surge production 4 AC/month</w:t>
            </w:r>
          </w:p>
        </w:tc>
      </w:tr>
    </w:tbl>
    <w:p>
      <w:pPr>
        <w:spacing w:after="120"/>
      </w:pPr>
    </w:p>
    <w:p>
      <w:pPr>
        <w:pStyle w:val="Heading2"/>
      </w:pPr>
      <w:r>
        <w:t>Implementation Timeline</w:t>
      </w:r>
    </w:p>
    <w:p>
      <w:pPr>
        <w:spacing w:after="80"/>
        <w:ind w:left="720" w:hanging="360"/>
      </w:pPr>
      <w:r>
        <w:t>•  Q3 2026: Establish GSE and training contracts</w:t>
      </w:r>
    </w:p>
    <w:p>
      <w:pPr>
        <w:spacing w:after="80"/>
        <w:ind w:left="720" w:hanging="360"/>
      </w:pPr>
      <w:r>
        <w:t>•  Q4 2026: Begin initial spares procurement; issue production orders for Lots 1-4 (20 attrition reserve + 10 contingency)</w:t>
      </w:r>
    </w:p>
    <w:p>
      <w:pPr>
        <w:spacing w:after="80"/>
        <w:ind w:left="720" w:hanging="360"/>
      </w:pPr>
      <w:r>
        <w:t>•  Q1 2027: Establish depot maintenance facility at Mirabel</w:t>
      </w:r>
    </w:p>
    <w:p>
      <w:pPr>
        <w:spacing w:after="80"/>
        <w:ind w:left="720" w:hanging="360"/>
      </w:pPr>
      <w:r>
        <w:t>•  Q4 2027: IOC — 20 operational Sprinters, 2 MOBs, basic MUM-T</w:t>
      </w:r>
    </w:p>
    <w:p>
      <w:pPr>
        <w:spacing w:after="80"/>
        <w:ind w:left="720" w:hanging="360"/>
      </w:pPr>
      <w:r>
        <w:t>•  Q4 2028: FOC — 60 operational, 4 MOBs, full weapons qualification</w:t>
      </w:r>
    </w:p>
    <w:p>
      <w:pPr>
        <w:spacing w:after="80"/>
        <w:ind w:left="720" w:hanging="360"/>
      </w:pPr>
      <w:r>
        <w:t>•  Q4 2030: Full Block Upgrade — Tempest interoperable</w:t>
      </w:r>
    </w:p>
    <w:p>
      <w:pPr>
        <w:sectPr>
          <w:type w:val="nextPage"/>
          <w:pgSz w:w="11906" w:h="16838"/>
          <w:pgMar w:top="1440" w:right="1440" w:bottom="1440" w:left="1440" w:header="720" w:footer="720"/>
        </w:sectPr>
      </w:pPr>
    </w:p>
    <w:p>
      <w:pPr>
        <w:pStyle w:val="Heading1"/>
      </w:pPr>
      <w:r>
        <w:t>Document 5: Striker Procurement Package</w:t>
      </w:r>
      <w:bookmarkStart w:name="_Doc05" w:id="6"/>
      <w:bookmarkEnd w:id="6"/>
    </w:p>
    <w:p>
      <w:r>
        <w:t>Parts Procurement Package | Document No.: CDR-STRKR-PPP-001 | June 2026</w:t>
      </w:r>
    </w:p>
    <w:p>
      <w:pPr>
        <w:spacing w:after="240"/>
      </w:pPr>
    </w:p>
    <w:p>
      <w:pPr>
        <w:pStyle w:val="Heading2"/>
      </w:pPr>
      <w:r>
        <w:t>Executive Summary</w:t>
      </w:r>
    </w:p>
    <w:p>
      <w:r>
        <w:t>This Parts Procurement Package defines the complete logistics and sustainment baseline for the Striker-class Loyal Wingman UAV. Total procurement cost: USD $1,810.8 million (CAD $2,444.6 million). Annual sustainment: USD $158.4 million (CAD $213.8 million). The 10-year lifecycle cost totals USD $3,394.8 million (CAD $4,583.0 million).</w:t>
      </w:r>
    </w:p>
    <w:p>
      <w:r>
        <w:t>The Striker force of 48 operational aircraft reflects the programme's emphasis on survivable precision strike capacity as the primary weapons delivery platform, with enhanced follow-on strike capability to exploit sanitised corridors.</w:t>
      </w:r>
    </w:p>
    <w:p>
      <w:pPr>
        <w:pStyle w:val="Heading3"/>
      </w:pPr>
      <w:r>
        <w:t>Cost Summary</w:t>
      </w:r>
    </w:p>
    <w:tbl>
      <w:tblPr>
        <w:tblW w:w="5000" w:type="pct"/>
        <w:tblBorders>
          <w:top w:val="single" w:color="3D5A80" w:sz="12"/>
          <w:left w:val="nil"/>
          <w:bottom w:val="single" w:color="3D5A80" w:sz="12"/>
          <w:right w:val="nil"/>
          <w:insideH w:val="single" w:color="C8D5E0" w:sz="4"/>
          <w:insideV w:val="nil"/>
        </w:tblBorders>
      </w:tblPr>
      <w:tblGrid>
        <w:gridCol w:w="40"/>
        <w:gridCol w:w="20"/>
        <w:gridCol w:w="20"/>
        <w:gridCol w:w="20"/>
      </w:tblGrid>
      <w:tr>
        <w:trPr>
          <w:tblHeader/>
        </w:trPr>
        <w:tc>
          <w:tcPr>
            <w:tcW w:w="40" w:type="pct"/>
            <w:shd w:val="clear" w:fill="E8EDF2"/>
          </w:tcPr>
          <w:p>
            <w:pPr>
              <w:spacing w:before="40" w:after="40"/>
              <w:jc w:val="center"/>
            </w:pPr>
            <w:r>
              <w:rPr>
                <w:b/>
                <w:color w:val="1D2D3D"/>
                <w:sz w:val="20"/>
              </w:rPr>
              <w:t>Category</w:t>
            </w:r>
          </w:p>
        </w:tc>
        <w:tc>
          <w:tcPr>
            <w:tcW w:w="20" w:type="pct"/>
            <w:shd w:val="clear" w:fill="E8EDF2"/>
          </w:tcPr>
          <w:p>
            <w:pPr>
              <w:spacing w:before="40" w:after="40"/>
              <w:jc w:val="center"/>
            </w:pPr>
            <w:r>
              <w:rPr>
                <w:b/>
                <w:color w:val="1D2D3D"/>
                <w:sz w:val="20"/>
              </w:rPr>
              <w:t>USD M</w:t>
            </w:r>
          </w:p>
        </w:tc>
        <w:tc>
          <w:tcPr>
            <w:tcW w:w="20" w:type="pct"/>
            <w:shd w:val="clear" w:fill="E8EDF2"/>
          </w:tcPr>
          <w:p>
            <w:pPr>
              <w:spacing w:before="40" w:after="40"/>
              <w:jc w:val="center"/>
            </w:pPr>
            <w:r>
              <w:rPr>
                <w:b/>
                <w:color w:val="1D2D3D"/>
                <w:sz w:val="20"/>
              </w:rPr>
              <w:t>CAD M</w:t>
            </w:r>
          </w:p>
        </w:tc>
        <w:tc>
          <w:tcPr>
            <w:tcW w:w="20" w:type="pct"/>
            <w:shd w:val="clear" w:fill="E8EDF2"/>
          </w:tcPr>
          <w:p>
            <w:pPr>
              <w:spacing w:before="40" w:after="40"/>
              <w:jc w:val="center"/>
            </w:pPr>
            <w:r>
              <w:rPr>
                <w:b/>
                <w:color w:val="1D2D3D"/>
                <w:sz w:val="20"/>
              </w:rPr>
              <w:t>% of Total</w:t>
            </w:r>
          </w:p>
        </w:tc>
      </w:tr>
      <w:tr>
        <w:tc>
          <w:tcPr>
            <w:tcW w:w="40" w:type="pct"/>
          </w:tcPr>
          <w:p>
            <w:pPr>
              <w:spacing w:before="30" w:after="30"/>
              <w:ind w:left="60"/>
            </w:pPr>
            <w:r>
              <w:rPr>
                <w:color w:val="4A5568"/>
                <w:sz w:val="20"/>
              </w:rPr>
              <w:t>Striker Airframes (76 total)</w:t>
            </w:r>
          </w:p>
        </w:tc>
        <w:tc>
          <w:tcPr>
            <w:tcW w:w="20" w:type="pct"/>
          </w:tcPr>
          <w:p>
            <w:pPr>
              <w:spacing w:before="30" w:after="30"/>
              <w:ind w:left="60"/>
            </w:pPr>
            <w:r>
              <w:rPr>
                <w:color w:val="4A5568"/>
                <w:sz w:val="20"/>
              </w:rPr>
              <w:t>706.8</w:t>
            </w:r>
          </w:p>
        </w:tc>
        <w:tc>
          <w:tcPr>
            <w:tcW w:w="20" w:type="pct"/>
          </w:tcPr>
          <w:p>
            <w:pPr>
              <w:spacing w:before="30" w:after="30"/>
              <w:ind w:left="60"/>
            </w:pPr>
            <w:r>
              <w:rPr>
                <w:color w:val="4A5568"/>
                <w:sz w:val="20"/>
              </w:rPr>
              <w:t>954.2</w:t>
            </w:r>
          </w:p>
        </w:tc>
        <w:tc>
          <w:tcPr>
            <w:tcW w:w="20" w:type="pct"/>
          </w:tcPr>
          <w:p>
            <w:pPr>
              <w:spacing w:before="30" w:after="30"/>
              <w:ind w:left="60"/>
            </w:pPr>
            <w:r>
              <w:rPr>
                <w:color w:val="4A5568"/>
                <w:sz w:val="20"/>
              </w:rPr>
              <w:t>39.0%</w:t>
            </w:r>
          </w:p>
        </w:tc>
      </w:tr>
      <w:tr>
        <w:tc>
          <w:tcPr>
            <w:tcW w:w="40" w:type="pct"/>
          </w:tcPr>
          <w:p>
            <w:pPr>
              <w:spacing w:before="30" w:after="30"/>
              <w:ind w:left="60"/>
            </w:pPr>
            <w:r>
              <w:rPr>
                <w:color w:val="4A5568"/>
                <w:sz w:val="20"/>
              </w:rPr>
              <w:t>Spare Parts and Consumables</w:t>
            </w:r>
          </w:p>
        </w:tc>
        <w:tc>
          <w:tcPr>
            <w:tcW w:w="20" w:type="pct"/>
          </w:tcPr>
          <w:p>
            <w:pPr>
              <w:spacing w:before="30" w:after="30"/>
              <w:ind w:left="60"/>
            </w:pPr>
            <w:r>
              <w:rPr>
                <w:color w:val="4A5568"/>
                <w:sz w:val="20"/>
              </w:rPr>
              <w:t>339.4</w:t>
            </w:r>
          </w:p>
        </w:tc>
        <w:tc>
          <w:tcPr>
            <w:tcW w:w="20" w:type="pct"/>
          </w:tcPr>
          <w:p>
            <w:pPr>
              <w:spacing w:before="30" w:after="30"/>
              <w:ind w:left="60"/>
            </w:pPr>
            <w:r>
              <w:rPr>
                <w:color w:val="4A5568"/>
                <w:sz w:val="20"/>
              </w:rPr>
              <w:t>458.2</w:t>
            </w:r>
          </w:p>
        </w:tc>
        <w:tc>
          <w:tcPr>
            <w:tcW w:w="20" w:type="pct"/>
          </w:tcPr>
          <w:p>
            <w:pPr>
              <w:spacing w:before="30" w:after="30"/>
              <w:ind w:left="60"/>
            </w:pPr>
            <w:r>
              <w:rPr>
                <w:color w:val="4A5568"/>
                <w:sz w:val="20"/>
              </w:rPr>
              <w:t>18.7%</w:t>
            </w:r>
          </w:p>
        </w:tc>
      </w:tr>
      <w:tr>
        <w:tc>
          <w:tcPr>
            <w:tcW w:w="40" w:type="pct"/>
          </w:tcPr>
          <w:p>
            <w:pPr>
              <w:spacing w:before="30" w:after="30"/>
              <w:ind w:left="60"/>
            </w:pPr>
            <w:r>
              <w:rPr>
                <w:color w:val="4A5568"/>
                <w:sz w:val="20"/>
              </w:rPr>
              <w:t>Ground Support Equipment</w:t>
            </w:r>
          </w:p>
        </w:tc>
        <w:tc>
          <w:tcPr>
            <w:tcW w:w="20" w:type="pct"/>
          </w:tcPr>
          <w:p>
            <w:pPr>
              <w:spacing w:before="30" w:after="30"/>
              <w:ind w:left="60"/>
            </w:pPr>
            <w:r>
              <w:rPr>
                <w:color w:val="4A5568"/>
                <w:sz w:val="20"/>
              </w:rPr>
              <w:t>200.2</w:t>
            </w:r>
          </w:p>
        </w:tc>
        <w:tc>
          <w:tcPr>
            <w:tcW w:w="20" w:type="pct"/>
          </w:tcPr>
          <w:p>
            <w:pPr>
              <w:spacing w:before="30" w:after="30"/>
              <w:ind w:left="60"/>
            </w:pPr>
            <w:r>
              <w:rPr>
                <w:color w:val="4A5568"/>
                <w:sz w:val="20"/>
              </w:rPr>
              <w:t>270.3</w:t>
            </w:r>
          </w:p>
        </w:tc>
        <w:tc>
          <w:tcPr>
            <w:tcW w:w="20" w:type="pct"/>
          </w:tcPr>
          <w:p>
            <w:pPr>
              <w:spacing w:before="30" w:after="30"/>
              <w:ind w:left="60"/>
            </w:pPr>
            <w:r>
              <w:rPr>
                <w:color w:val="4A5568"/>
                <w:sz w:val="20"/>
              </w:rPr>
              <w:t>11.0%</w:t>
            </w:r>
          </w:p>
        </w:tc>
      </w:tr>
      <w:tr>
        <w:tc>
          <w:tcPr>
            <w:tcW w:w="40" w:type="pct"/>
          </w:tcPr>
          <w:p>
            <w:pPr>
              <w:spacing w:before="30" w:after="30"/>
              <w:ind w:left="60"/>
            </w:pPr>
            <w:r>
              <w:rPr>
                <w:color w:val="4A5568"/>
                <w:sz w:val="20"/>
              </w:rPr>
              <w:t>Training Systems</w:t>
            </w:r>
          </w:p>
        </w:tc>
        <w:tc>
          <w:tcPr>
            <w:tcW w:w="20" w:type="pct"/>
          </w:tcPr>
          <w:p>
            <w:pPr>
              <w:spacing w:before="30" w:after="30"/>
              <w:ind w:left="60"/>
            </w:pPr>
            <w:r>
              <w:rPr>
                <w:color w:val="4A5568"/>
                <w:sz w:val="20"/>
              </w:rPr>
              <w:t>114.6</w:t>
            </w:r>
          </w:p>
        </w:tc>
        <w:tc>
          <w:tcPr>
            <w:tcW w:w="20" w:type="pct"/>
          </w:tcPr>
          <w:p>
            <w:pPr>
              <w:spacing w:before="30" w:after="30"/>
              <w:ind w:left="60"/>
            </w:pPr>
            <w:r>
              <w:rPr>
                <w:color w:val="4A5568"/>
                <w:sz w:val="20"/>
              </w:rPr>
              <w:t>154.7</w:t>
            </w:r>
          </w:p>
        </w:tc>
        <w:tc>
          <w:tcPr>
            <w:tcW w:w="20" w:type="pct"/>
          </w:tcPr>
          <w:p>
            <w:pPr>
              <w:spacing w:before="30" w:after="30"/>
              <w:ind w:left="60"/>
            </w:pPr>
            <w:r>
              <w:rPr>
                <w:color w:val="4A5568"/>
                <w:sz w:val="20"/>
              </w:rPr>
              <w:t>6.3%</w:t>
            </w:r>
          </w:p>
        </w:tc>
      </w:tr>
      <w:tr>
        <w:tc>
          <w:tcPr>
            <w:tcW w:w="40" w:type="pct"/>
          </w:tcPr>
          <w:p>
            <w:pPr>
              <w:spacing w:before="30" w:after="30"/>
              <w:ind w:left="60"/>
            </w:pPr>
            <w:r>
              <w:rPr>
                <w:color w:val="4A5568"/>
                <w:sz w:val="20"/>
              </w:rPr>
              <w:t>Weapons and Munitions</w:t>
            </w:r>
          </w:p>
        </w:tc>
        <w:tc>
          <w:tcPr>
            <w:tcW w:w="20" w:type="pct"/>
          </w:tcPr>
          <w:p>
            <w:pPr>
              <w:spacing w:before="30" w:after="30"/>
              <w:ind w:left="60"/>
            </w:pPr>
            <w:r>
              <w:rPr>
                <w:color w:val="4A5568"/>
                <w:sz w:val="20"/>
              </w:rPr>
              <w:t>235.6</w:t>
            </w:r>
          </w:p>
        </w:tc>
        <w:tc>
          <w:tcPr>
            <w:tcW w:w="20" w:type="pct"/>
          </w:tcPr>
          <w:p>
            <w:pPr>
              <w:spacing w:before="30" w:after="30"/>
              <w:ind w:left="60"/>
            </w:pPr>
            <w:r>
              <w:rPr>
                <w:color w:val="4A5568"/>
                <w:sz w:val="20"/>
              </w:rPr>
              <w:t>318.1</w:t>
            </w:r>
          </w:p>
        </w:tc>
        <w:tc>
          <w:tcPr>
            <w:tcW w:w="20" w:type="pct"/>
          </w:tcPr>
          <w:p>
            <w:pPr>
              <w:spacing w:before="30" w:after="30"/>
              <w:ind w:left="60"/>
            </w:pPr>
            <w:r>
              <w:rPr>
                <w:color w:val="4A5568"/>
                <w:sz w:val="20"/>
              </w:rPr>
              <w:t>13.0%</w:t>
            </w:r>
          </w:p>
        </w:tc>
      </w:tr>
      <w:tr>
        <w:tc>
          <w:tcPr>
            <w:tcW w:w="40" w:type="pct"/>
          </w:tcPr>
          <w:p>
            <w:pPr>
              <w:spacing w:before="30" w:after="30"/>
              <w:ind w:left="60"/>
            </w:pPr>
            <w:r>
              <w:rPr>
                <w:color w:val="4A5568"/>
                <w:sz w:val="20"/>
              </w:rPr>
              <w:t>Facilities (Depot + 4 MOBs)</w:t>
            </w:r>
          </w:p>
        </w:tc>
        <w:tc>
          <w:tcPr>
            <w:tcW w:w="20" w:type="pct"/>
          </w:tcPr>
          <w:p>
            <w:pPr>
              <w:spacing w:before="30" w:after="30"/>
              <w:ind w:left="60"/>
            </w:pPr>
            <w:r>
              <w:rPr>
                <w:color w:val="4A5568"/>
                <w:sz w:val="20"/>
              </w:rPr>
              <w:t>152.8</w:t>
            </w:r>
          </w:p>
        </w:tc>
        <w:tc>
          <w:tcPr>
            <w:tcW w:w="20" w:type="pct"/>
          </w:tcPr>
          <w:p>
            <w:pPr>
              <w:spacing w:before="30" w:after="30"/>
              <w:ind w:left="60"/>
            </w:pPr>
            <w:r>
              <w:rPr>
                <w:color w:val="4A5568"/>
                <w:sz w:val="20"/>
              </w:rPr>
              <w:t>206.3</w:t>
            </w:r>
          </w:p>
        </w:tc>
        <w:tc>
          <w:tcPr>
            <w:tcW w:w="20" w:type="pct"/>
          </w:tcPr>
          <w:p>
            <w:pPr>
              <w:spacing w:before="30" w:after="30"/>
              <w:ind w:left="60"/>
            </w:pPr>
            <w:r>
              <w:rPr>
                <w:color w:val="4A5568"/>
                <w:sz w:val="20"/>
              </w:rPr>
              <w:t>8.4%</w:t>
            </w:r>
          </w:p>
        </w:tc>
      </w:tr>
      <w:tr>
        <w:tc>
          <w:tcPr>
            <w:tcW w:w="40" w:type="pct"/>
          </w:tcPr>
          <w:p>
            <w:pPr>
              <w:spacing w:before="30" w:after="30"/>
              <w:ind w:left="60"/>
            </w:pPr>
            <w:r>
              <w:rPr>
                <w:color w:val="4A5568"/>
                <w:sz w:val="20"/>
              </w:rPr>
              <w:t>Initial Support/CLS</w:t>
            </w:r>
          </w:p>
        </w:tc>
        <w:tc>
          <w:tcPr>
            <w:tcW w:w="20" w:type="pct"/>
          </w:tcPr>
          <w:p>
            <w:pPr>
              <w:spacing w:before="30" w:after="30"/>
              <w:ind w:left="60"/>
            </w:pPr>
            <w:r>
              <w:rPr>
                <w:color w:val="4A5568"/>
                <w:sz w:val="20"/>
              </w:rPr>
              <w:t>61.4</w:t>
            </w:r>
          </w:p>
        </w:tc>
        <w:tc>
          <w:tcPr>
            <w:tcW w:w="20" w:type="pct"/>
          </w:tcPr>
          <w:p>
            <w:pPr>
              <w:spacing w:before="30" w:after="30"/>
              <w:ind w:left="60"/>
            </w:pPr>
            <w:r>
              <w:rPr>
                <w:color w:val="4A5568"/>
                <w:sz w:val="20"/>
              </w:rPr>
              <w:t>82.9</w:t>
            </w:r>
          </w:p>
        </w:tc>
        <w:tc>
          <w:tcPr>
            <w:tcW w:w="20" w:type="pct"/>
          </w:tcPr>
          <w:p>
            <w:pPr>
              <w:spacing w:before="30" w:after="30"/>
              <w:ind w:left="60"/>
            </w:pPr>
            <w:r>
              <w:rPr>
                <w:color w:val="4A5568"/>
                <w:sz w:val="20"/>
              </w:rPr>
              <w:t>3.4%</w:t>
            </w:r>
          </w:p>
        </w:tc>
      </w:tr>
      <w:tr>
        <w:tc>
          <w:tcPr>
            <w:tcW w:w="40" w:type="pct"/>
          </w:tcPr>
          <w:p>
            <w:pPr>
              <w:spacing w:before="30" w:after="30"/>
              <w:ind w:left="60"/>
            </w:pPr>
            <w:r>
              <w:rPr>
                <w:color w:val="4A5568"/>
                <w:sz w:val="20"/>
              </w:rPr>
              <w:t>TOTAL PROCUREMENT</w:t>
            </w:r>
          </w:p>
        </w:tc>
        <w:tc>
          <w:tcPr>
            <w:tcW w:w="20" w:type="pct"/>
          </w:tcPr>
          <w:p>
            <w:pPr>
              <w:spacing w:before="30" w:after="30"/>
              <w:ind w:left="60"/>
            </w:pPr>
            <w:r>
              <w:rPr>
                <w:color w:val="4A5568"/>
                <w:sz w:val="20"/>
              </w:rPr>
              <w:t>1,810.8</w:t>
            </w:r>
          </w:p>
        </w:tc>
        <w:tc>
          <w:tcPr>
            <w:tcW w:w="20" w:type="pct"/>
          </w:tcPr>
          <w:p>
            <w:pPr>
              <w:spacing w:before="30" w:after="30"/>
              <w:ind w:left="60"/>
            </w:pPr>
            <w:r>
              <w:rPr>
                <w:color w:val="4A5568"/>
                <w:sz w:val="20"/>
              </w:rPr>
              <w:t>2,444.6</w:t>
            </w:r>
          </w:p>
        </w:tc>
        <w:tc>
          <w:tcPr>
            <w:tcW w:w="20" w:type="pct"/>
          </w:tcPr>
          <w:p>
            <w:pPr>
              <w:spacing w:before="30" w:after="30"/>
              <w:ind w:left="60"/>
            </w:pPr>
            <w:r>
              <w:rPr>
                <w:color w:val="4A5568"/>
                <w:sz w:val="20"/>
              </w:rPr>
              <w:t>100.0%</w:t>
            </w:r>
          </w:p>
        </w:tc>
      </w:tr>
    </w:tbl>
    <w:p>
      <w:pPr>
        <w:spacing w:after="120"/>
      </w:pPr>
    </w:p>
    <w:p>
      <w:pPr>
        <w:pStyle w:val="Heading3"/>
      </w:pPr>
      <w:r>
        <w:t>Force Structure</w:t>
      </w:r>
    </w:p>
    <w:tbl>
      <w:tblPr>
        <w:tblW w:w="5000" w:type="pct"/>
        <w:tblBorders>
          <w:top w:val="single" w:color="3D5A80" w:sz="12"/>
          <w:left w:val="nil"/>
          <w:bottom w:val="single" w:color="3D5A80" w:sz="12"/>
          <w:right w:val="nil"/>
          <w:insideH w:val="single" w:color="C8D5E0" w:sz="4"/>
          <w:insideV w:val="nil"/>
        </w:tblBorders>
      </w:tblPr>
      <w:tblGrid>
        <w:gridCol w:w="40"/>
        <w:gridCol w:w="60"/>
      </w:tblGrid>
      <w:tr>
        <w:trPr>
          <w:tblHeader/>
        </w:trPr>
        <w:tc>
          <w:tcPr>
            <w:tcW w:w="40" w:type="pct"/>
            <w:shd w:val="clear" w:fill="E8EDF2"/>
          </w:tcPr>
          <w:p>
            <w:pPr>
              <w:spacing w:before="40" w:after="40"/>
              <w:jc w:val="center"/>
            </w:pPr>
            <w:r>
              <w:rPr>
                <w:b/>
                <w:color w:val="1D2D3D"/>
                <w:sz w:val="20"/>
              </w:rPr>
              <w:t>Category</w:t>
            </w:r>
          </w:p>
        </w:tc>
        <w:tc>
          <w:tcPr>
            <w:tcW w:w="60" w:type="pct"/>
            <w:shd w:val="clear" w:fill="E8EDF2"/>
          </w:tcPr>
          <w:p>
            <w:pPr>
              <w:spacing w:before="40" w:after="40"/>
              <w:jc w:val="center"/>
            </w:pPr>
            <w:r>
              <w:rPr>
                <w:b/>
                <w:color w:val="1D2D3D"/>
                <w:sz w:val="20"/>
              </w:rPr>
              <w:t>Quantity</w:t>
            </w:r>
          </w:p>
        </w:tc>
      </w:tr>
      <w:tr>
        <w:tc>
          <w:tcPr>
            <w:tcW w:w="40" w:type="pct"/>
          </w:tcPr>
          <w:p>
            <w:pPr>
              <w:spacing w:before="30" w:after="30"/>
              <w:ind w:left="60"/>
            </w:pPr>
            <w:r>
              <w:rPr>
                <w:color w:val="4A5568"/>
                <w:sz w:val="20"/>
              </w:rPr>
              <w:t>Operational Fleet</w:t>
            </w:r>
          </w:p>
        </w:tc>
        <w:tc>
          <w:tcPr>
            <w:tcW w:w="60" w:type="pct"/>
          </w:tcPr>
          <w:p>
            <w:pPr>
              <w:spacing w:before="30" w:after="30"/>
              <w:ind w:left="60"/>
            </w:pPr>
            <w:r>
              <w:rPr>
                <w:color w:val="4A5568"/>
                <w:sz w:val="20"/>
              </w:rPr>
              <w:t>48 (12 per MOB)</w:t>
            </w:r>
          </w:p>
        </w:tc>
      </w:tr>
      <w:tr>
        <w:tc>
          <w:tcPr>
            <w:tcW w:w="40" w:type="pct"/>
          </w:tcPr>
          <w:p>
            <w:pPr>
              <w:spacing w:before="30" w:after="30"/>
              <w:ind w:left="60"/>
            </w:pPr>
            <w:r>
              <w:rPr>
                <w:color w:val="4A5568"/>
                <w:sz w:val="20"/>
              </w:rPr>
              <w:t>Training Aircraft</w:t>
            </w:r>
          </w:p>
        </w:tc>
        <w:tc>
          <w:tcPr>
            <w:tcW w:w="60" w:type="pct"/>
          </w:tcPr>
          <w:p>
            <w:pPr>
              <w:spacing w:before="30" w:after="30"/>
              <w:ind w:left="60"/>
            </w:pPr>
            <w:r>
              <w:rPr>
                <w:color w:val="4A5568"/>
                <w:sz w:val="20"/>
              </w:rPr>
              <w:t>6</w:t>
            </w:r>
          </w:p>
        </w:tc>
      </w:tr>
      <w:tr>
        <w:tc>
          <w:tcPr>
            <w:tcW w:w="40" w:type="pct"/>
          </w:tcPr>
          <w:p>
            <w:pPr>
              <w:spacing w:before="30" w:after="30"/>
              <w:ind w:left="60"/>
            </w:pPr>
            <w:r>
              <w:rPr>
                <w:color w:val="4A5568"/>
                <w:sz w:val="20"/>
              </w:rPr>
              <w:t>Depot Maintenance</w:t>
            </w:r>
          </w:p>
        </w:tc>
        <w:tc>
          <w:tcPr>
            <w:tcW w:w="60" w:type="pct"/>
          </w:tcPr>
          <w:p>
            <w:pPr>
              <w:spacing w:before="30" w:after="30"/>
              <w:ind w:left="60"/>
            </w:pPr>
            <w:r>
              <w:rPr>
                <w:color w:val="4A5568"/>
                <w:sz w:val="20"/>
              </w:rPr>
              <w:t>4</w:t>
            </w:r>
          </w:p>
        </w:tc>
      </w:tr>
      <w:tr>
        <w:tc>
          <w:tcPr>
            <w:tcW w:w="40" w:type="pct"/>
          </w:tcPr>
          <w:p>
            <w:pPr>
              <w:spacing w:before="30" w:after="30"/>
              <w:ind w:left="60"/>
            </w:pPr>
            <w:r>
              <w:rPr>
                <w:color w:val="4A5568"/>
                <w:sz w:val="20"/>
              </w:rPr>
              <w:t>Attrition Reserve</w:t>
            </w:r>
          </w:p>
        </w:tc>
        <w:tc>
          <w:tcPr>
            <w:tcW w:w="60" w:type="pct"/>
          </w:tcPr>
          <w:p>
            <w:pPr>
              <w:spacing w:before="30" w:after="30"/>
              <w:ind w:left="60"/>
            </w:pPr>
            <w:r>
              <w:rPr>
                <w:color w:val="4A5568"/>
                <w:sz w:val="20"/>
              </w:rPr>
              <w:t>12 (25% buffer)</w:t>
            </w:r>
          </w:p>
        </w:tc>
      </w:tr>
      <w:tr>
        <w:tc>
          <w:tcPr>
            <w:tcW w:w="40" w:type="pct"/>
          </w:tcPr>
          <w:p>
            <w:pPr>
              <w:spacing w:before="30" w:after="30"/>
              <w:ind w:left="60"/>
            </w:pPr>
            <w:r>
              <w:rPr>
                <w:color w:val="4A5568"/>
                <w:sz w:val="20"/>
              </w:rPr>
              <w:t>War Reserve</w:t>
            </w:r>
          </w:p>
        </w:tc>
        <w:tc>
          <w:tcPr>
            <w:tcW w:w="60" w:type="pct"/>
          </w:tcPr>
          <w:p>
            <w:pPr>
              <w:spacing w:before="30" w:after="30"/>
              <w:ind w:left="60"/>
            </w:pPr>
            <w:r>
              <w:rPr>
                <w:color w:val="4A5568"/>
                <w:sz w:val="20"/>
              </w:rPr>
              <w:t>6</w:t>
            </w:r>
          </w:p>
        </w:tc>
      </w:tr>
      <w:tr>
        <w:tc>
          <w:tcPr>
            <w:tcW w:w="40" w:type="pct"/>
          </w:tcPr>
          <w:p>
            <w:pPr>
              <w:spacing w:before="30" w:after="30"/>
              <w:ind w:left="60"/>
            </w:pPr>
            <w:r>
              <w:rPr>
                <w:color w:val="4A5568"/>
                <w:sz w:val="20"/>
              </w:rPr>
              <w:t>TOTAL PROCUREMENT</w:t>
            </w:r>
          </w:p>
        </w:tc>
        <w:tc>
          <w:tcPr>
            <w:tcW w:w="60" w:type="pct"/>
          </w:tcPr>
          <w:p>
            <w:pPr>
              <w:spacing w:before="30" w:after="30"/>
              <w:ind w:left="60"/>
            </w:pPr>
            <w:r>
              <w:rPr>
                <w:color w:val="4A5568"/>
                <w:sz w:val="20"/>
              </w:rPr>
              <w:t>76</w:t>
            </w:r>
          </w:p>
        </w:tc>
      </w:tr>
    </w:tbl>
    <w:p>
      <w:pPr>
        <w:spacing w:after="120"/>
      </w:pPr>
    </w:p>
    <w:p>
      <w:pPr>
        <w:pStyle w:val="Heading2"/>
      </w:pPr>
      <w:r>
        <w:t>Sustainment Concept</w:t>
      </w:r>
    </w:p>
    <w:p>
      <w:r>
        <w:t>The Striker's survivable design (800 flight hours / 300 missions) requires a more traditional sustainment model with fatigue tracking, depot-level inspections at 300-flight-hour intervals, and life-limited part management. Operational availability target: 90%. All-aspect stealth demands regular RAM refurbishment and careful handling.</w:t>
      </w:r>
    </w:p>
    <w:p>
      <w:pPr>
        <w:pStyle w:val="Heading2"/>
      </w:pPr>
      <w:r>
        <w:t>Spare Parts Summary by Subsystem</w:t>
      </w:r>
    </w:p>
    <w:tbl>
      <w:tblPr>
        <w:tblW w:w="5000" w:type="pct"/>
        <w:tblBorders>
          <w:top w:val="single" w:color="3D5A80" w:sz="12"/>
          <w:left w:val="nil"/>
          <w:bottom w:val="single" w:color="3D5A80" w:sz="12"/>
          <w:right w:val="nil"/>
          <w:insideH w:val="single" w:color="C8D5E0" w:sz="4"/>
          <w:insideV w:val="nil"/>
        </w:tblBorders>
      </w:tblPr>
      <w:tblGrid>
        <w:gridCol w:w="35"/>
        <w:gridCol w:w="15"/>
        <w:gridCol w:w="15"/>
        <w:gridCol w:w="35"/>
      </w:tblGrid>
      <w:tr>
        <w:trPr>
          <w:tblHeader/>
        </w:trPr>
        <w:tc>
          <w:tcPr>
            <w:tcW w:w="35" w:type="pct"/>
            <w:shd w:val="clear" w:fill="E8EDF2"/>
          </w:tcPr>
          <w:p>
            <w:pPr>
              <w:spacing w:before="40" w:after="40"/>
              <w:jc w:val="center"/>
            </w:pPr>
            <w:r>
              <w:rPr>
                <w:b/>
                <w:color w:val="1D2D3D"/>
                <w:sz w:val="20"/>
              </w:rPr>
              <w:t>Subsystem</w:t>
            </w:r>
          </w:p>
        </w:tc>
        <w:tc>
          <w:tcPr>
            <w:tcW w:w="15" w:type="pct"/>
            <w:shd w:val="clear" w:fill="E8EDF2"/>
          </w:tcPr>
          <w:p>
            <w:pPr>
              <w:spacing w:before="40" w:after="40"/>
              <w:jc w:val="center"/>
            </w:pPr>
            <w:r>
              <w:rPr>
                <w:b/>
                <w:color w:val="1D2D3D"/>
                <w:sz w:val="20"/>
              </w:rPr>
              <w:t>Line Items</w:t>
            </w:r>
          </w:p>
        </w:tc>
        <w:tc>
          <w:tcPr>
            <w:tcW w:w="15" w:type="pct"/>
            <w:shd w:val="clear" w:fill="E8EDF2"/>
          </w:tcPr>
          <w:p>
            <w:pPr>
              <w:spacing w:before="40" w:after="40"/>
              <w:jc w:val="center"/>
            </w:pPr>
            <w:r>
              <w:rPr>
                <w:b/>
                <w:color w:val="1D2D3D"/>
                <w:sz w:val="20"/>
              </w:rPr>
              <w:t>Spares Cost (USD)</w:t>
            </w:r>
          </w:p>
        </w:tc>
        <w:tc>
          <w:tcPr>
            <w:tcW w:w="35" w:type="pct"/>
            <w:shd w:val="clear" w:fill="E8EDF2"/>
          </w:tcPr>
          <w:p>
            <w:pPr>
              <w:spacing w:before="40" w:after="40"/>
              <w:jc w:val="center"/>
            </w:pPr>
            <w:r>
              <w:rPr>
                <w:b/>
                <w:color w:val="1D2D3D"/>
                <w:sz w:val="20"/>
              </w:rPr>
              <w:t>Key Suppliers</w:t>
            </w:r>
          </w:p>
        </w:tc>
      </w:tr>
      <w:tr>
        <w:tc>
          <w:tcPr>
            <w:tcW w:w="35" w:type="pct"/>
          </w:tcPr>
          <w:p>
            <w:pPr>
              <w:spacing w:before="30" w:after="30"/>
              <w:ind w:left="60"/>
            </w:pPr>
            <w:r>
              <w:rPr>
                <w:color w:val="4A5568"/>
                <w:sz w:val="20"/>
              </w:rPr>
              <w:t>A. Airframe and Structure</w:t>
            </w:r>
          </w:p>
        </w:tc>
        <w:tc>
          <w:tcPr>
            <w:tcW w:w="15" w:type="pct"/>
          </w:tcPr>
          <w:p>
            <w:pPr>
              <w:spacing w:before="30" w:after="30"/>
              <w:ind w:left="60"/>
            </w:pPr>
            <w:r>
              <w:rPr>
                <w:color w:val="4A5568"/>
                <w:sz w:val="20"/>
              </w:rPr>
              <w:t>24 items</w:t>
            </w:r>
          </w:p>
        </w:tc>
        <w:tc>
          <w:tcPr>
            <w:tcW w:w="15" w:type="pct"/>
          </w:tcPr>
          <w:p>
            <w:pPr>
              <w:spacing w:before="30" w:after="30"/>
              <w:ind w:left="60"/>
            </w:pPr>
            <w:r>
              <w:rPr>
                <w:color w:val="4A5568"/>
                <w:sz w:val="20"/>
              </w:rPr>
              <w:t>$7,420,000</w:t>
            </w:r>
          </w:p>
        </w:tc>
        <w:tc>
          <w:tcPr>
            <w:tcW w:w="35" w:type="pct"/>
          </w:tcPr>
          <w:p>
            <w:pPr>
              <w:spacing w:before="30" w:after="30"/>
              <w:ind w:left="60"/>
            </w:pPr>
            <w:r>
              <w:rPr>
                <w:color w:val="4A5568"/>
                <w:sz w:val="20"/>
              </w:rPr>
              <w:t>Bombardier</w:t>
            </w:r>
          </w:p>
        </w:tc>
      </w:tr>
      <w:tr>
        <w:tc>
          <w:tcPr>
            <w:tcW w:w="35" w:type="pct"/>
          </w:tcPr>
          <w:p>
            <w:pPr>
              <w:spacing w:before="30" w:after="30"/>
              <w:ind w:left="60"/>
            </w:pPr>
            <w:r>
              <w:rPr>
                <w:color w:val="4A5568"/>
                <w:sz w:val="20"/>
              </w:rPr>
              <w:t>B. Propulsion System</w:t>
            </w:r>
          </w:p>
        </w:tc>
        <w:tc>
          <w:tcPr>
            <w:tcW w:w="15" w:type="pct"/>
          </w:tcPr>
          <w:p>
            <w:pPr>
              <w:spacing w:before="30" w:after="30"/>
              <w:ind w:left="60"/>
            </w:pPr>
            <w:r>
              <w:rPr>
                <w:color w:val="4A5568"/>
                <w:sz w:val="20"/>
              </w:rPr>
              <w:t>20 items</w:t>
            </w:r>
          </w:p>
        </w:tc>
        <w:tc>
          <w:tcPr>
            <w:tcW w:w="15" w:type="pct"/>
          </w:tcPr>
          <w:p>
            <w:pPr>
              <w:spacing w:before="30" w:after="30"/>
              <w:ind w:left="60"/>
            </w:pPr>
            <w:r>
              <w:rPr>
                <w:color w:val="4A5568"/>
                <w:sz w:val="20"/>
              </w:rPr>
              <w:t>$25,761,000</w:t>
            </w:r>
          </w:p>
        </w:tc>
        <w:tc>
          <w:tcPr>
            <w:tcW w:w="35" w:type="pct"/>
          </w:tcPr>
          <w:p>
            <w:pPr>
              <w:spacing w:before="30" w:after="30"/>
              <w:ind w:left="60"/>
            </w:pPr>
            <w:r>
              <w:rPr>
                <w:color w:val="4A5568"/>
                <w:sz w:val="20"/>
              </w:rPr>
              <w:t>Pratt &amp; Whitney</w:t>
            </w:r>
          </w:p>
        </w:tc>
      </w:tr>
      <w:tr>
        <w:tc>
          <w:tcPr>
            <w:tcW w:w="35" w:type="pct"/>
          </w:tcPr>
          <w:p>
            <w:pPr>
              <w:spacing w:before="30" w:after="30"/>
              <w:ind w:left="60"/>
            </w:pPr>
            <w:r>
              <w:rPr>
                <w:color w:val="4A5568"/>
                <w:sz w:val="20"/>
              </w:rPr>
              <w:t>C. Avionics and Flight Control</w:t>
            </w:r>
          </w:p>
        </w:tc>
        <w:tc>
          <w:tcPr>
            <w:tcW w:w="15" w:type="pct"/>
          </w:tcPr>
          <w:p>
            <w:pPr>
              <w:spacing w:before="30" w:after="30"/>
              <w:ind w:left="60"/>
            </w:pPr>
            <w:r>
              <w:rPr>
                <w:color w:val="4A5568"/>
                <w:sz w:val="20"/>
              </w:rPr>
              <w:t>16 items</w:t>
            </w:r>
          </w:p>
        </w:tc>
        <w:tc>
          <w:tcPr>
            <w:tcW w:w="15" w:type="pct"/>
          </w:tcPr>
          <w:p>
            <w:pPr>
              <w:spacing w:before="30" w:after="30"/>
              <w:ind w:left="60"/>
            </w:pPr>
            <w:r>
              <w:rPr>
                <w:color w:val="4A5568"/>
                <w:sz w:val="20"/>
              </w:rPr>
              <w:t>$6,402,000</w:t>
            </w:r>
          </w:p>
        </w:tc>
        <w:tc>
          <w:tcPr>
            <w:tcW w:w="35" w:type="pct"/>
          </w:tcPr>
          <w:p>
            <w:pPr>
              <w:spacing w:before="30" w:after="30"/>
              <w:ind w:left="60"/>
            </w:pPr>
            <w:r>
              <w:rPr>
                <w:color w:val="4A5568"/>
                <w:sz w:val="20"/>
              </w:rPr>
              <w:t>CAE, Nvidia</w:t>
            </w:r>
          </w:p>
        </w:tc>
      </w:tr>
      <w:tr>
        <w:tc>
          <w:tcPr>
            <w:tcW w:w="35" w:type="pct"/>
          </w:tcPr>
          <w:p>
            <w:pPr>
              <w:spacing w:before="30" w:after="30"/>
              <w:ind w:left="60"/>
            </w:pPr>
            <w:r>
              <w:rPr>
                <w:color w:val="4A5568"/>
                <w:sz w:val="20"/>
              </w:rPr>
              <w:t>D. Sensors</w:t>
            </w:r>
          </w:p>
        </w:tc>
        <w:tc>
          <w:tcPr>
            <w:tcW w:w="15" w:type="pct"/>
          </w:tcPr>
          <w:p>
            <w:pPr>
              <w:spacing w:before="30" w:after="30"/>
              <w:ind w:left="60"/>
            </w:pPr>
            <w:r>
              <w:rPr>
                <w:color w:val="4A5568"/>
                <w:sz w:val="20"/>
              </w:rPr>
              <w:t>12 items</w:t>
            </w:r>
          </w:p>
        </w:tc>
        <w:tc>
          <w:tcPr>
            <w:tcW w:w="15" w:type="pct"/>
          </w:tcPr>
          <w:p>
            <w:pPr>
              <w:spacing w:before="30" w:after="30"/>
              <w:ind w:left="60"/>
            </w:pPr>
            <w:r>
              <w:rPr>
                <w:color w:val="4A5568"/>
                <w:sz w:val="20"/>
              </w:rPr>
              <w:t>$9,820,800</w:t>
            </w:r>
          </w:p>
        </w:tc>
        <w:tc>
          <w:tcPr>
            <w:tcW w:w="35" w:type="pct"/>
          </w:tcPr>
          <w:p>
            <w:pPr>
              <w:spacing w:before="30" w:after="30"/>
              <w:ind w:left="60"/>
            </w:pPr>
            <w:r>
              <w:rPr>
                <w:color w:val="4A5568"/>
                <w:sz w:val="20"/>
              </w:rPr>
              <w:t>MDA</w:t>
            </w:r>
          </w:p>
        </w:tc>
      </w:tr>
      <w:tr>
        <w:tc>
          <w:tcPr>
            <w:tcW w:w="35" w:type="pct"/>
          </w:tcPr>
          <w:p>
            <w:pPr>
              <w:spacing w:before="30" w:after="30"/>
              <w:ind w:left="60"/>
            </w:pPr>
            <w:r>
              <w:rPr>
                <w:color w:val="4A5568"/>
                <w:sz w:val="20"/>
              </w:rPr>
              <w:t>E. Communications and Datalink</w:t>
            </w:r>
          </w:p>
        </w:tc>
        <w:tc>
          <w:tcPr>
            <w:tcW w:w="15" w:type="pct"/>
          </w:tcPr>
          <w:p>
            <w:pPr>
              <w:spacing w:before="30" w:after="30"/>
              <w:ind w:left="60"/>
            </w:pPr>
            <w:r>
              <w:rPr>
                <w:color w:val="4A5568"/>
                <w:sz w:val="20"/>
              </w:rPr>
              <w:t>10 items</w:t>
            </w:r>
          </w:p>
        </w:tc>
        <w:tc>
          <w:tcPr>
            <w:tcW w:w="15" w:type="pct"/>
          </w:tcPr>
          <w:p>
            <w:pPr>
              <w:spacing w:before="30" w:after="30"/>
              <w:ind w:left="60"/>
            </w:pPr>
            <w:r>
              <w:rPr>
                <w:color w:val="4A5568"/>
                <w:sz w:val="20"/>
              </w:rPr>
              <w:t>$4,654,000</w:t>
            </w:r>
          </w:p>
        </w:tc>
        <w:tc>
          <w:tcPr>
            <w:tcW w:w="35" w:type="pct"/>
          </w:tcPr>
          <w:p>
            <w:pPr>
              <w:spacing w:before="30" w:after="30"/>
              <w:ind w:left="60"/>
            </w:pPr>
            <w:r>
              <w:rPr>
                <w:color w:val="4A5568"/>
                <w:sz w:val="20"/>
              </w:rPr>
              <w:t>MDA, CAE</w:t>
            </w:r>
          </w:p>
        </w:tc>
      </w:tr>
      <w:tr>
        <w:tc>
          <w:tcPr>
            <w:tcW w:w="35" w:type="pct"/>
          </w:tcPr>
          <w:p>
            <w:pPr>
              <w:spacing w:before="30" w:after="30"/>
              <w:ind w:left="60"/>
            </w:pPr>
            <w:r>
              <w:rPr>
                <w:color w:val="4A5568"/>
                <w:sz w:val="20"/>
              </w:rPr>
              <w:t>F. Weapons Bay Modules</w:t>
            </w:r>
          </w:p>
        </w:tc>
        <w:tc>
          <w:tcPr>
            <w:tcW w:w="15" w:type="pct"/>
          </w:tcPr>
          <w:p>
            <w:pPr>
              <w:spacing w:before="30" w:after="30"/>
              <w:ind w:left="60"/>
            </w:pPr>
            <w:r>
              <w:rPr>
                <w:color w:val="4A5568"/>
                <w:sz w:val="20"/>
              </w:rPr>
              <w:t>12 items</w:t>
            </w:r>
          </w:p>
        </w:tc>
        <w:tc>
          <w:tcPr>
            <w:tcW w:w="15" w:type="pct"/>
          </w:tcPr>
          <w:p>
            <w:pPr>
              <w:spacing w:before="30" w:after="30"/>
              <w:ind w:left="60"/>
            </w:pPr>
            <w:r>
              <w:rPr>
                <w:color w:val="4A5568"/>
                <w:sz w:val="20"/>
              </w:rPr>
              <w:t>$9,787,800</w:t>
            </w:r>
          </w:p>
        </w:tc>
        <w:tc>
          <w:tcPr>
            <w:tcW w:w="35" w:type="pct"/>
          </w:tcPr>
          <w:p>
            <w:pPr>
              <w:spacing w:before="30" w:after="30"/>
              <w:ind w:left="60"/>
            </w:pPr>
            <w:r>
              <w:rPr>
                <w:color w:val="4A5568"/>
                <w:sz w:val="20"/>
              </w:rPr>
              <w:t>Boeing</w:t>
            </w:r>
          </w:p>
        </w:tc>
      </w:tr>
      <w:tr>
        <w:tc>
          <w:tcPr>
            <w:tcW w:w="35" w:type="pct"/>
          </w:tcPr>
          <w:p>
            <w:pPr>
              <w:spacing w:before="30" w:after="30"/>
              <w:ind w:left="60"/>
            </w:pPr>
            <w:r>
              <w:rPr>
                <w:color w:val="4A5568"/>
                <w:sz w:val="20"/>
              </w:rPr>
              <w:t>G. Electrical and Environmental</w:t>
            </w:r>
          </w:p>
        </w:tc>
        <w:tc>
          <w:tcPr>
            <w:tcW w:w="15" w:type="pct"/>
          </w:tcPr>
          <w:p>
            <w:pPr>
              <w:spacing w:before="30" w:after="30"/>
              <w:ind w:left="60"/>
            </w:pPr>
            <w:r>
              <w:rPr>
                <w:color w:val="4A5568"/>
                <w:sz w:val="20"/>
              </w:rPr>
              <w:t>10 items</w:t>
            </w:r>
          </w:p>
        </w:tc>
        <w:tc>
          <w:tcPr>
            <w:tcW w:w="15" w:type="pct"/>
          </w:tcPr>
          <w:p>
            <w:pPr>
              <w:spacing w:before="30" w:after="30"/>
              <w:ind w:left="60"/>
            </w:pPr>
            <w:r>
              <w:rPr>
                <w:color w:val="4A5568"/>
                <w:sz w:val="20"/>
              </w:rPr>
              <w:t>$1,347,050</w:t>
            </w:r>
          </w:p>
        </w:tc>
        <w:tc>
          <w:tcPr>
            <w:tcW w:w="35" w:type="pct"/>
          </w:tcPr>
          <w:p>
            <w:pPr>
              <w:spacing w:before="30" w:after="30"/>
              <w:ind w:left="60"/>
            </w:pPr>
            <w:r>
              <w:rPr>
                <w:color w:val="4A5568"/>
                <w:sz w:val="20"/>
              </w:rPr>
              <w:t>Various</w:t>
            </w:r>
          </w:p>
        </w:tc>
      </w:tr>
      <w:tr>
        <w:tc>
          <w:tcPr>
            <w:tcW w:w="35" w:type="pct"/>
          </w:tcPr>
          <w:p>
            <w:pPr>
              <w:spacing w:before="30" w:after="30"/>
              <w:ind w:left="60"/>
            </w:pPr>
            <w:r>
              <w:rPr>
                <w:color w:val="4A5568"/>
                <w:sz w:val="20"/>
              </w:rPr>
              <w:t>H. Consumables (30-day campaign)</w:t>
            </w:r>
          </w:p>
        </w:tc>
        <w:tc>
          <w:tcPr>
            <w:tcW w:w="15" w:type="pct"/>
          </w:tcPr>
          <w:p>
            <w:pPr>
              <w:spacing w:before="30" w:after="30"/>
              <w:ind w:left="60"/>
            </w:pPr>
            <w:r>
              <w:rPr>
                <w:color w:val="4A5568"/>
                <w:sz w:val="20"/>
              </w:rPr>
              <w:t>—</w:t>
            </w:r>
          </w:p>
        </w:tc>
        <w:tc>
          <w:tcPr>
            <w:tcW w:w="15" w:type="pct"/>
          </w:tcPr>
          <w:p>
            <w:pPr>
              <w:spacing w:before="30" w:after="30"/>
              <w:ind w:left="60"/>
            </w:pPr>
            <w:r>
              <w:rPr>
                <w:color w:val="4A5568"/>
                <w:sz w:val="20"/>
              </w:rPr>
              <w:t>$27,724,023</w:t>
            </w:r>
          </w:p>
        </w:tc>
        <w:tc>
          <w:tcPr>
            <w:tcW w:w="35" w:type="pct"/>
          </w:tcPr>
          <w:p>
            <w:pPr>
              <w:spacing w:before="30" w:after="30"/>
              <w:ind w:left="60"/>
            </w:pPr>
            <w:r>
              <w:rPr>
                <w:color w:val="4A5568"/>
                <w:sz w:val="20"/>
              </w:rPr>
              <w:t>Various</w:t>
            </w:r>
          </w:p>
        </w:tc>
      </w:tr>
      <w:tr>
        <w:tc>
          <w:tcPr>
            <w:tcW w:w="35" w:type="pct"/>
          </w:tcPr>
          <w:p>
            <w:pPr>
              <w:spacing w:before="30" w:after="30"/>
              <w:ind w:left="60"/>
            </w:pPr>
            <w:r>
              <w:rPr>
                <w:color w:val="4A5568"/>
                <w:sz w:val="20"/>
              </w:rPr>
              <w:t>TOTAL SPARES</w:t>
            </w:r>
          </w:p>
        </w:tc>
        <w:tc>
          <w:tcPr>
            <w:tcW w:w="15" w:type="pct"/>
          </w:tcPr>
          <w:p>
            <w:pPr>
              <w:spacing w:before="30" w:after="30"/>
              <w:ind w:left="60"/>
            </w:pPr>
            <w:r>
              <w:rPr>
                <w:color w:val="4A5568"/>
                <w:sz w:val="20"/>
              </w:rPr>
              <w:t>—</w:t>
            </w:r>
          </w:p>
        </w:tc>
        <w:tc>
          <w:tcPr>
            <w:tcW w:w="15" w:type="pct"/>
          </w:tcPr>
          <w:p>
            <w:pPr>
              <w:spacing w:before="30" w:after="30"/>
              <w:ind w:left="60"/>
            </w:pPr>
            <w:r>
              <w:rPr>
                <w:color w:val="4A5568"/>
                <w:sz w:val="20"/>
              </w:rPr>
              <w:t>$339,400,000</w:t>
            </w:r>
          </w:p>
        </w:tc>
        <w:tc>
          <w:tcPr>
            <w:tcW w:w="35" w:type="pct"/>
          </w:tcPr>
          <w:p>
            <w:pPr>
              <w:spacing w:before="30" w:after="30"/>
              <w:ind w:left="60"/>
            </w:pPr>
            <w:r>
              <w:rPr>
                <w:color w:val="4A5568"/>
                <w:sz w:val="20"/>
              </w:rPr>
              <w:t>—</w:t>
            </w:r>
          </w:p>
        </w:tc>
      </w:tr>
    </w:tbl>
    <w:p>
      <w:pPr>
        <w:spacing w:after="120"/>
      </w:pPr>
    </w:p>
    <w:p>
      <w:pPr>
        <w:pStyle w:val="Heading2"/>
      </w:pPr>
      <w:r>
        <w:t>Key Risk Areas</w:t>
      </w:r>
    </w:p>
    <w:p>
      <w:pPr>
        <w:spacing w:after="80"/>
        <w:ind w:left="720" w:hanging="360"/>
      </w:pPr>
      <w:r>
        <w:t>•  Single-source engine supplier (Pratt &amp; Whitney): Strategic spares stockpile; dual-source qualification for Lot 10+</w:t>
      </w:r>
    </w:p>
    <w:p>
      <w:pPr>
        <w:spacing w:after="80"/>
        <w:ind w:left="720" w:hanging="360"/>
      </w:pPr>
      <w:r>
        <w:t>•  RAM material availability: 24-month forward buy for proprietary dual-layer formulation</w:t>
      </w:r>
    </w:p>
    <w:p>
      <w:pPr>
        <w:spacing w:after="80"/>
        <w:ind w:left="720" w:hanging="360"/>
      </w:pPr>
      <w:r>
        <w:t>•  Long lead times for composite structures (20-28 weeks): Pre-positioned spares and production slot reservations</w:t>
      </w:r>
    </w:p>
    <w:p>
      <w:pPr>
        <w:spacing w:after="80"/>
        <w:ind w:left="720" w:hanging="360"/>
      </w:pPr>
      <w:r>
        <w:t>•  Arctic cold-weather impact: Heated storage, CS-RAM qualification, shelf-life monitoring</w:t>
      </w:r>
    </w:p>
    <w:p>
      <w:pPr>
        <w:spacing w:after="80"/>
        <w:ind w:left="720" w:hanging="360"/>
      </w:pPr>
      <w:r>
        <w:t>•  2-4% per-sortie attrition: 25% attrition reserve (12 airframes), production surge capacity</w:t>
      </w:r>
    </w:p>
    <w:p>
      <w:pPr>
        <w:spacing w:after="80"/>
        <w:ind w:left="720" w:hanging="360"/>
      </w:pPr>
      <w:r>
        <w:t>•  Collaborative Combat AI integration: Boeing CLS agreement, software escrow, phased autonomy rollout</w:t>
      </w:r>
    </w:p>
    <w:p>
      <w:pPr>
        <w:pStyle w:val="Heading2"/>
      </w:pPr>
      <w:r>
        <w:t>Program Milestones</w:t>
      </w:r>
    </w:p>
    <w:tbl>
      <w:tblPr>
        <w:tblW w:w="5000" w:type="pct"/>
        <w:tblBorders>
          <w:top w:val="single" w:color="3D5A80" w:sz="12"/>
          <w:left w:val="nil"/>
          <w:bottom w:val="single" w:color="3D5A80" w:sz="12"/>
          <w:right w:val="nil"/>
          <w:insideH w:val="single" w:color="C8D5E0" w:sz="4"/>
          <w:insideV w:val="nil"/>
        </w:tblBorders>
      </w:tblPr>
      <w:tblGrid>
        <w:gridCol w:w="35"/>
        <w:gridCol w:w="20"/>
        <w:gridCol w:w="45"/>
      </w:tblGrid>
      <w:tr>
        <w:trPr>
          <w:tblHeader/>
        </w:trPr>
        <w:tc>
          <w:tcPr>
            <w:tcW w:w="35" w:type="pct"/>
            <w:shd w:val="clear" w:fill="E8EDF2"/>
          </w:tcPr>
          <w:p>
            <w:pPr>
              <w:spacing w:before="40" w:after="40"/>
              <w:jc w:val="center"/>
            </w:pPr>
            <w:r>
              <w:rPr>
                <w:b/>
                <w:color w:val="1D2D3D"/>
                <w:sz w:val="20"/>
              </w:rPr>
              <w:t>Milestone</w:t>
            </w:r>
          </w:p>
        </w:tc>
        <w:tc>
          <w:tcPr>
            <w:tcW w:w="20" w:type="pct"/>
            <w:shd w:val="clear" w:fill="E8EDF2"/>
          </w:tcPr>
          <w:p>
            <w:pPr>
              <w:spacing w:before="40" w:after="40"/>
              <w:jc w:val="center"/>
            </w:pPr>
            <w:r>
              <w:rPr>
                <w:b/>
                <w:color w:val="1D2D3D"/>
                <w:sz w:val="20"/>
              </w:rPr>
              <w:t>Date</w:t>
            </w:r>
          </w:p>
        </w:tc>
        <w:tc>
          <w:tcPr>
            <w:tcW w:w="45" w:type="pct"/>
            <w:shd w:val="clear" w:fill="E8EDF2"/>
          </w:tcPr>
          <w:p>
            <w:pPr>
              <w:spacing w:before="40" w:after="40"/>
              <w:jc w:val="center"/>
            </w:pPr>
            <w:r>
              <w:rPr>
                <w:b/>
                <w:color w:val="1D2D3D"/>
                <w:sz w:val="20"/>
              </w:rPr>
              <w:t>Criteria</w:t>
            </w:r>
          </w:p>
        </w:tc>
      </w:tr>
      <w:tr>
        <w:tc>
          <w:tcPr>
            <w:tcW w:w="35" w:type="pct"/>
          </w:tcPr>
          <w:p>
            <w:pPr>
              <w:spacing w:before="30" w:after="30"/>
              <w:ind w:left="60"/>
            </w:pPr>
            <w:r>
              <w:rPr>
                <w:color w:val="4A5568"/>
                <w:sz w:val="20"/>
              </w:rPr>
              <w:t>CDR Complete</w:t>
            </w:r>
          </w:p>
        </w:tc>
        <w:tc>
          <w:tcPr>
            <w:tcW w:w="20" w:type="pct"/>
          </w:tcPr>
          <w:p>
            <w:pPr>
              <w:spacing w:before="30" w:after="30"/>
              <w:ind w:left="60"/>
            </w:pPr>
            <w:r>
              <w:rPr>
                <w:color w:val="4A5568"/>
                <w:sz w:val="20"/>
              </w:rPr>
              <w:t>June 2026</w:t>
            </w:r>
          </w:p>
        </w:tc>
        <w:tc>
          <w:tcPr>
            <w:tcW w:w="45" w:type="pct"/>
          </w:tcPr>
          <w:p>
            <w:pPr>
              <w:spacing w:before="30" w:after="30"/>
              <w:ind w:left="60"/>
            </w:pPr>
            <w:r>
              <w:rPr>
                <w:color w:val="4A5568"/>
                <w:sz w:val="20"/>
              </w:rPr>
              <w:t>Technical baseline approved</w:t>
            </w:r>
          </w:p>
        </w:tc>
      </w:tr>
      <w:tr>
        <w:tc>
          <w:tcPr>
            <w:tcW w:w="35" w:type="pct"/>
          </w:tcPr>
          <w:p>
            <w:pPr>
              <w:spacing w:before="30" w:after="30"/>
              <w:ind w:left="60"/>
            </w:pPr>
            <w:r>
              <w:rPr>
                <w:color w:val="4A5568"/>
                <w:sz w:val="20"/>
              </w:rPr>
              <w:t>First Flight</w:t>
            </w:r>
          </w:p>
        </w:tc>
        <w:tc>
          <w:tcPr>
            <w:tcW w:w="20" w:type="pct"/>
          </w:tcPr>
          <w:p>
            <w:pPr>
              <w:spacing w:before="30" w:after="30"/>
              <w:ind w:left="60"/>
            </w:pPr>
            <w:r>
              <w:rPr>
                <w:color w:val="4A5568"/>
                <w:sz w:val="20"/>
              </w:rPr>
              <w:t>March 2027</w:t>
            </w:r>
          </w:p>
        </w:tc>
        <w:tc>
          <w:tcPr>
            <w:tcW w:w="45" w:type="pct"/>
          </w:tcPr>
          <w:p>
            <w:pPr>
              <w:spacing w:before="30" w:after="30"/>
              <w:ind w:left="60"/>
            </w:pPr>
            <w:r>
              <w:rPr>
                <w:color w:val="4A5568"/>
                <w:sz w:val="20"/>
              </w:rPr>
              <w:t>5 flight test aircraft</w:t>
            </w:r>
          </w:p>
        </w:tc>
      </w:tr>
      <w:tr>
        <w:tc>
          <w:tcPr>
            <w:tcW w:w="35" w:type="pct"/>
          </w:tcPr>
          <w:p>
            <w:pPr>
              <w:spacing w:before="30" w:after="30"/>
              <w:ind w:left="60"/>
            </w:pPr>
            <w:r>
              <w:rPr>
                <w:color w:val="4A5568"/>
                <w:sz w:val="20"/>
              </w:rPr>
              <w:t>IOC</w:t>
            </w:r>
          </w:p>
        </w:tc>
        <w:tc>
          <w:tcPr>
            <w:tcW w:w="20" w:type="pct"/>
          </w:tcPr>
          <w:p>
            <w:pPr>
              <w:spacing w:before="30" w:after="30"/>
              <w:ind w:left="60"/>
            </w:pPr>
            <w:r>
              <w:rPr>
                <w:color w:val="4A5568"/>
                <w:sz w:val="20"/>
              </w:rPr>
              <w:t>December 2027</w:t>
            </w:r>
          </w:p>
        </w:tc>
        <w:tc>
          <w:tcPr>
            <w:tcW w:w="45" w:type="pct"/>
          </w:tcPr>
          <w:p>
            <w:pPr>
              <w:spacing w:before="30" w:after="30"/>
              <w:ind w:left="60"/>
            </w:pPr>
            <w:r>
              <w:rPr>
                <w:color w:val="4A5568"/>
                <w:sz w:val="20"/>
              </w:rPr>
              <w:t>16 aircraft, 2 MOBs, basic MUM-T</w:t>
            </w:r>
          </w:p>
        </w:tc>
      </w:tr>
      <w:tr>
        <w:tc>
          <w:tcPr>
            <w:tcW w:w="35" w:type="pct"/>
          </w:tcPr>
          <w:p>
            <w:pPr>
              <w:spacing w:before="30" w:after="30"/>
              <w:ind w:left="60"/>
            </w:pPr>
            <w:r>
              <w:rPr>
                <w:color w:val="4A5568"/>
                <w:sz w:val="20"/>
              </w:rPr>
              <w:t>FOT&amp;E Complete</w:t>
            </w:r>
          </w:p>
        </w:tc>
        <w:tc>
          <w:tcPr>
            <w:tcW w:w="20" w:type="pct"/>
          </w:tcPr>
          <w:p>
            <w:pPr>
              <w:spacing w:before="30" w:after="30"/>
              <w:ind w:left="60"/>
            </w:pPr>
            <w:r>
              <w:rPr>
                <w:color w:val="4A5568"/>
                <w:sz w:val="20"/>
              </w:rPr>
              <w:t>June 2029</w:t>
            </w:r>
          </w:p>
        </w:tc>
        <w:tc>
          <w:tcPr>
            <w:tcW w:w="45" w:type="pct"/>
          </w:tcPr>
          <w:p>
            <w:pPr>
              <w:spacing w:before="30" w:after="30"/>
              <w:ind w:left="60"/>
            </w:pPr>
            <w:r>
              <w:rPr>
                <w:color w:val="4A5568"/>
                <w:sz w:val="20"/>
              </w:rPr>
              <w:t>All weapons qualified</w:t>
            </w:r>
          </w:p>
        </w:tc>
      </w:tr>
      <w:tr>
        <w:tc>
          <w:tcPr>
            <w:tcW w:w="35" w:type="pct"/>
          </w:tcPr>
          <w:p>
            <w:pPr>
              <w:spacing w:before="30" w:after="30"/>
              <w:ind w:left="60"/>
            </w:pPr>
            <w:r>
              <w:rPr>
                <w:color w:val="4A5568"/>
                <w:sz w:val="20"/>
              </w:rPr>
              <w:t>FOC</w:t>
            </w:r>
          </w:p>
        </w:tc>
        <w:tc>
          <w:tcPr>
            <w:tcW w:w="20" w:type="pct"/>
          </w:tcPr>
          <w:p>
            <w:pPr>
              <w:spacing w:before="30" w:after="30"/>
              <w:ind w:left="60"/>
            </w:pPr>
            <w:r>
              <w:rPr>
                <w:color w:val="4A5568"/>
                <w:sz w:val="20"/>
              </w:rPr>
              <w:t>September 2029</w:t>
            </w:r>
          </w:p>
        </w:tc>
        <w:tc>
          <w:tcPr>
            <w:tcW w:w="45" w:type="pct"/>
          </w:tcPr>
          <w:p>
            <w:pPr>
              <w:spacing w:before="30" w:after="30"/>
              <w:ind w:left="60"/>
            </w:pPr>
            <w:r>
              <w:rPr>
                <w:color w:val="4A5568"/>
                <w:sz w:val="20"/>
              </w:rPr>
              <w:t>48 aircraft, 4 MOBs, full capability</w:t>
            </w:r>
          </w:p>
        </w:tc>
      </w:tr>
      <w:tr>
        <w:tc>
          <w:tcPr>
            <w:tcW w:w="35" w:type="pct"/>
          </w:tcPr>
          <w:p>
            <w:pPr>
              <w:spacing w:before="30" w:after="30"/>
              <w:ind w:left="60"/>
            </w:pPr>
            <w:r>
              <w:rPr>
                <w:color w:val="4A5568"/>
                <w:sz w:val="20"/>
              </w:rPr>
              <w:t>30-Day Campaign Ready</w:t>
            </w:r>
          </w:p>
        </w:tc>
        <w:tc>
          <w:tcPr>
            <w:tcW w:w="20" w:type="pct"/>
          </w:tcPr>
          <w:p>
            <w:pPr>
              <w:spacing w:before="30" w:after="30"/>
              <w:ind w:left="60"/>
            </w:pPr>
            <w:r>
              <w:rPr>
                <w:color w:val="4A5568"/>
                <w:sz w:val="20"/>
              </w:rPr>
              <w:t>January 2030</w:t>
            </w:r>
          </w:p>
        </w:tc>
        <w:tc>
          <w:tcPr>
            <w:tcW w:w="45" w:type="pct"/>
          </w:tcPr>
          <w:p>
            <w:pPr>
              <w:spacing w:before="30" w:after="30"/>
              <w:ind w:left="60"/>
            </w:pPr>
            <w:r>
              <w:rPr>
                <w:color w:val="4A5568"/>
                <w:sz w:val="20"/>
              </w:rPr>
              <w:t>Validated surge ops, 96 sorties/day</w:t>
            </w:r>
          </w:p>
        </w:tc>
      </w:tr>
    </w:tbl>
    <w:p>
      <w:pPr>
        <w:spacing w:after="120"/>
      </w:pPr>
    </w:p>
    <w:p>
      <w:pPr>
        <w:sectPr>
          <w:type w:val="nextPage"/>
          <w:pgSz w:w="11906" w:h="16838"/>
          <w:pgMar w:top="1440" w:right="1440" w:bottom="1440" w:left="1440" w:header="720" w:footer="720"/>
        </w:sectPr>
      </w:pPr>
    </w:p>
    <w:p>
      <w:pPr>
        <w:pStyle w:val="Heading1"/>
      </w:pPr>
      <w:r>
        <w:t>Document 6: Arctic Augmented Gripen Procurement Package</w:t>
      </w:r>
      <w:bookmarkStart w:name="_Doc06" w:id="7"/>
      <w:bookmarkEnd w:id="7"/>
    </w:p>
    <w:p>
      <w:r>
        <w:t>Parts Procurement Package | Document No.: CDR-GRIPEN-PPP-001 | June 2026</w:t>
      </w:r>
    </w:p>
    <w:p>
      <w:pPr>
        <w:spacing w:after="240"/>
      </w:pPr>
    </w:p>
    <w:p>
      <w:pPr>
        <w:pStyle w:val="Heading2"/>
      </w:pPr>
      <w:r>
        <w:t>Executive Summary</w:t>
      </w:r>
    </w:p>
    <w:p>
      <w:r>
        <w:t>This Parts Procurement Package defines the complete logistics and sustainment baseline for the Arctic Augmented Gripen E. Total procurement cost: USD $7,847.5 million (CAD $10,594.1 million). Annual sustainment: USD $425.8 million (CAD $574.8 million). The 20-year lifecycle cost totals USD $16,363.5 million (CAD $22,090.7 million).</w:t>
      </w:r>
    </w:p>
    <w:p>
      <w:r>
        <w:t>This is a manned fighter with a 20-year design life versus 500-800 hours for drones. Key differences: comprehensive fatigue tracking, depot structural inspections at 1,200-flight-hour intervals, 26+ week pilot training, and unique Arctic systems (CS-RAM, CNT de-ice, CFTs, SIWP-39, IRIS-M2).</w:t>
      </w:r>
    </w:p>
    <w:p>
      <w:pPr>
        <w:pStyle w:val="Heading3"/>
      </w:pPr>
      <w:r>
        <w:t>Cost Summary</w:t>
      </w:r>
    </w:p>
    <w:tbl>
      <w:tblPr>
        <w:tblW w:w="5000" w:type="pct"/>
        <w:tblBorders>
          <w:top w:val="single" w:color="3D5A80" w:sz="12"/>
          <w:left w:val="nil"/>
          <w:bottom w:val="single" w:color="3D5A80" w:sz="12"/>
          <w:right w:val="nil"/>
          <w:insideH w:val="single" w:color="C8D5E0" w:sz="4"/>
          <w:insideV w:val="nil"/>
        </w:tblBorders>
      </w:tblPr>
      <w:tblGrid>
        <w:gridCol w:w="40"/>
        <w:gridCol w:w="20"/>
        <w:gridCol w:w="20"/>
        <w:gridCol w:w="20"/>
      </w:tblGrid>
      <w:tr>
        <w:trPr>
          <w:tblHeader/>
        </w:trPr>
        <w:tc>
          <w:tcPr>
            <w:tcW w:w="40" w:type="pct"/>
            <w:shd w:val="clear" w:fill="E8EDF2"/>
          </w:tcPr>
          <w:p>
            <w:pPr>
              <w:spacing w:before="40" w:after="40"/>
              <w:jc w:val="center"/>
            </w:pPr>
            <w:r>
              <w:rPr>
                <w:b/>
                <w:color w:val="1D2D3D"/>
                <w:sz w:val="20"/>
              </w:rPr>
              <w:t>Category</w:t>
            </w:r>
          </w:p>
        </w:tc>
        <w:tc>
          <w:tcPr>
            <w:tcW w:w="20" w:type="pct"/>
            <w:shd w:val="clear" w:fill="E8EDF2"/>
          </w:tcPr>
          <w:p>
            <w:pPr>
              <w:spacing w:before="40" w:after="40"/>
              <w:jc w:val="center"/>
            </w:pPr>
            <w:r>
              <w:rPr>
                <w:b/>
                <w:color w:val="1D2D3D"/>
                <w:sz w:val="20"/>
              </w:rPr>
              <w:t>USD M</w:t>
            </w:r>
          </w:p>
        </w:tc>
        <w:tc>
          <w:tcPr>
            <w:tcW w:w="20" w:type="pct"/>
            <w:shd w:val="clear" w:fill="E8EDF2"/>
          </w:tcPr>
          <w:p>
            <w:pPr>
              <w:spacing w:before="40" w:after="40"/>
              <w:jc w:val="center"/>
            </w:pPr>
            <w:r>
              <w:rPr>
                <w:b/>
                <w:color w:val="1D2D3D"/>
                <w:sz w:val="20"/>
              </w:rPr>
              <w:t>CAD M</w:t>
            </w:r>
          </w:p>
        </w:tc>
        <w:tc>
          <w:tcPr>
            <w:tcW w:w="20" w:type="pct"/>
            <w:shd w:val="clear" w:fill="E8EDF2"/>
          </w:tcPr>
          <w:p>
            <w:pPr>
              <w:spacing w:before="40" w:after="40"/>
              <w:jc w:val="center"/>
            </w:pPr>
            <w:r>
              <w:rPr>
                <w:b/>
                <w:color w:val="1D2D3D"/>
                <w:sz w:val="20"/>
              </w:rPr>
              <w:t>% of Total</w:t>
            </w:r>
          </w:p>
        </w:tc>
      </w:tr>
      <w:tr>
        <w:tc>
          <w:tcPr>
            <w:tcW w:w="40" w:type="pct"/>
          </w:tcPr>
          <w:p>
            <w:pPr>
              <w:spacing w:before="30" w:after="30"/>
              <w:ind w:left="60"/>
            </w:pPr>
            <w:r>
              <w:rPr>
                <w:color w:val="4A5568"/>
                <w:sz w:val="20"/>
              </w:rPr>
              <w:t>Gripen Airframes (76 total)</w:t>
            </w:r>
          </w:p>
        </w:tc>
        <w:tc>
          <w:tcPr>
            <w:tcW w:w="20" w:type="pct"/>
          </w:tcPr>
          <w:p>
            <w:pPr>
              <w:spacing w:before="30" w:after="30"/>
              <w:ind w:left="60"/>
            </w:pPr>
            <w:r>
              <w:rPr>
                <w:color w:val="4A5568"/>
                <w:sz w:val="20"/>
              </w:rPr>
              <w:t>6,828.6</w:t>
            </w:r>
          </w:p>
        </w:tc>
        <w:tc>
          <w:tcPr>
            <w:tcW w:w="20" w:type="pct"/>
          </w:tcPr>
          <w:p>
            <w:pPr>
              <w:spacing w:before="30" w:after="30"/>
              <w:ind w:left="60"/>
            </w:pPr>
            <w:r>
              <w:rPr>
                <w:color w:val="4A5568"/>
                <w:sz w:val="20"/>
              </w:rPr>
              <w:t>9,218.6</w:t>
            </w:r>
          </w:p>
        </w:tc>
        <w:tc>
          <w:tcPr>
            <w:tcW w:w="20" w:type="pct"/>
          </w:tcPr>
          <w:p>
            <w:pPr>
              <w:spacing w:before="30" w:after="30"/>
              <w:ind w:left="60"/>
            </w:pPr>
            <w:r>
              <w:rPr>
                <w:color w:val="4A5568"/>
                <w:sz w:val="20"/>
              </w:rPr>
              <w:t>87.1%</w:t>
            </w:r>
          </w:p>
        </w:tc>
      </w:tr>
      <w:tr>
        <w:tc>
          <w:tcPr>
            <w:tcW w:w="40" w:type="pct"/>
          </w:tcPr>
          <w:p>
            <w:pPr>
              <w:spacing w:before="30" w:after="30"/>
              <w:ind w:left="60"/>
            </w:pPr>
            <w:r>
              <w:rPr>
                <w:color w:val="4A5568"/>
                <w:sz w:val="20"/>
              </w:rPr>
              <w:t>Arctic Augmentation Kit (48 AC)</w:t>
            </w:r>
          </w:p>
        </w:tc>
        <w:tc>
          <w:tcPr>
            <w:tcW w:w="20" w:type="pct"/>
          </w:tcPr>
          <w:p>
            <w:pPr>
              <w:spacing w:before="30" w:after="30"/>
              <w:ind w:left="60"/>
            </w:pPr>
            <w:r>
              <w:rPr>
                <w:color w:val="4A5568"/>
                <w:sz w:val="20"/>
              </w:rPr>
              <w:t>232.8</w:t>
            </w:r>
          </w:p>
        </w:tc>
        <w:tc>
          <w:tcPr>
            <w:tcW w:w="20" w:type="pct"/>
          </w:tcPr>
          <w:p>
            <w:pPr>
              <w:spacing w:before="30" w:after="30"/>
              <w:ind w:left="60"/>
            </w:pPr>
            <w:r>
              <w:rPr>
                <w:color w:val="4A5568"/>
                <w:sz w:val="20"/>
              </w:rPr>
              <w:t>314.3</w:t>
            </w:r>
          </w:p>
        </w:tc>
        <w:tc>
          <w:tcPr>
            <w:tcW w:w="20" w:type="pct"/>
          </w:tcPr>
          <w:p>
            <w:pPr>
              <w:spacing w:before="30" w:after="30"/>
              <w:ind w:left="60"/>
            </w:pPr>
            <w:r>
              <w:rPr>
                <w:color w:val="4A5568"/>
                <w:sz w:val="20"/>
              </w:rPr>
              <w:t>3.0%</w:t>
            </w:r>
          </w:p>
        </w:tc>
      </w:tr>
      <w:tr>
        <w:tc>
          <w:tcPr>
            <w:tcW w:w="40" w:type="pct"/>
          </w:tcPr>
          <w:p>
            <w:pPr>
              <w:spacing w:before="30" w:after="30"/>
              <w:ind w:left="60"/>
            </w:pPr>
            <w:r>
              <w:rPr>
                <w:color w:val="4A5568"/>
                <w:sz w:val="20"/>
              </w:rPr>
              <w:t>Spare Parts and Consumables</w:t>
            </w:r>
          </w:p>
        </w:tc>
        <w:tc>
          <w:tcPr>
            <w:tcW w:w="20" w:type="pct"/>
          </w:tcPr>
          <w:p>
            <w:pPr>
              <w:spacing w:before="30" w:after="30"/>
              <w:ind w:left="60"/>
            </w:pPr>
            <w:r>
              <w:rPr>
                <w:color w:val="4A5568"/>
                <w:sz w:val="20"/>
              </w:rPr>
              <w:t>285.4</w:t>
            </w:r>
          </w:p>
        </w:tc>
        <w:tc>
          <w:tcPr>
            <w:tcW w:w="20" w:type="pct"/>
          </w:tcPr>
          <w:p>
            <w:pPr>
              <w:spacing w:before="30" w:after="30"/>
              <w:ind w:left="60"/>
            </w:pPr>
            <w:r>
              <w:rPr>
                <w:color w:val="4A5568"/>
                <w:sz w:val="20"/>
              </w:rPr>
              <w:t>385.3</w:t>
            </w:r>
          </w:p>
        </w:tc>
        <w:tc>
          <w:tcPr>
            <w:tcW w:w="20" w:type="pct"/>
          </w:tcPr>
          <w:p>
            <w:pPr>
              <w:spacing w:before="30" w:after="30"/>
              <w:ind w:left="60"/>
            </w:pPr>
            <w:r>
              <w:rPr>
                <w:color w:val="4A5568"/>
                <w:sz w:val="20"/>
              </w:rPr>
              <w:t>3.6%</w:t>
            </w:r>
          </w:p>
        </w:tc>
      </w:tr>
      <w:tr>
        <w:tc>
          <w:tcPr>
            <w:tcW w:w="40" w:type="pct"/>
          </w:tcPr>
          <w:p>
            <w:pPr>
              <w:spacing w:before="30" w:after="30"/>
              <w:ind w:left="60"/>
            </w:pPr>
            <w:r>
              <w:rPr>
                <w:color w:val="4A5568"/>
                <w:sz w:val="20"/>
              </w:rPr>
              <w:t>Ground Support Equipment</w:t>
            </w:r>
          </w:p>
        </w:tc>
        <w:tc>
          <w:tcPr>
            <w:tcW w:w="20" w:type="pct"/>
          </w:tcPr>
          <w:p>
            <w:pPr>
              <w:spacing w:before="30" w:after="30"/>
              <w:ind w:left="60"/>
            </w:pPr>
            <w:r>
              <w:rPr>
                <w:color w:val="4A5568"/>
                <w:sz w:val="20"/>
              </w:rPr>
              <w:t>142.6</w:t>
            </w:r>
          </w:p>
        </w:tc>
        <w:tc>
          <w:tcPr>
            <w:tcW w:w="20" w:type="pct"/>
          </w:tcPr>
          <w:p>
            <w:pPr>
              <w:spacing w:before="30" w:after="30"/>
              <w:ind w:left="60"/>
            </w:pPr>
            <w:r>
              <w:rPr>
                <w:color w:val="4A5568"/>
                <w:sz w:val="20"/>
              </w:rPr>
              <w:t>192.5</w:t>
            </w:r>
          </w:p>
        </w:tc>
        <w:tc>
          <w:tcPr>
            <w:tcW w:w="20" w:type="pct"/>
          </w:tcPr>
          <w:p>
            <w:pPr>
              <w:spacing w:before="30" w:after="30"/>
              <w:ind w:left="60"/>
            </w:pPr>
            <w:r>
              <w:rPr>
                <w:color w:val="4A5568"/>
                <w:sz w:val="20"/>
              </w:rPr>
              <w:t>1.8%</w:t>
            </w:r>
          </w:p>
        </w:tc>
      </w:tr>
      <w:tr>
        <w:tc>
          <w:tcPr>
            <w:tcW w:w="40" w:type="pct"/>
          </w:tcPr>
          <w:p>
            <w:pPr>
              <w:spacing w:before="30" w:after="30"/>
              <w:ind w:left="60"/>
            </w:pPr>
            <w:r>
              <w:rPr>
                <w:color w:val="4A5568"/>
                <w:sz w:val="20"/>
              </w:rPr>
              <w:t>Training Systems</w:t>
            </w:r>
          </w:p>
        </w:tc>
        <w:tc>
          <w:tcPr>
            <w:tcW w:w="20" w:type="pct"/>
          </w:tcPr>
          <w:p>
            <w:pPr>
              <w:spacing w:before="30" w:after="30"/>
              <w:ind w:left="60"/>
            </w:pPr>
            <w:r>
              <w:rPr>
                <w:color w:val="4A5568"/>
                <w:sz w:val="20"/>
              </w:rPr>
              <w:t>118.4</w:t>
            </w:r>
          </w:p>
        </w:tc>
        <w:tc>
          <w:tcPr>
            <w:tcW w:w="20" w:type="pct"/>
          </w:tcPr>
          <w:p>
            <w:pPr>
              <w:spacing w:before="30" w:after="30"/>
              <w:ind w:left="60"/>
            </w:pPr>
            <w:r>
              <w:rPr>
                <w:color w:val="4A5568"/>
                <w:sz w:val="20"/>
              </w:rPr>
              <w:t>159.8</w:t>
            </w:r>
          </w:p>
        </w:tc>
        <w:tc>
          <w:tcPr>
            <w:tcW w:w="20" w:type="pct"/>
          </w:tcPr>
          <w:p>
            <w:pPr>
              <w:spacing w:before="30" w:after="30"/>
              <w:ind w:left="60"/>
            </w:pPr>
            <w:r>
              <w:rPr>
                <w:color w:val="4A5568"/>
                <w:sz w:val="20"/>
              </w:rPr>
              <w:t>1.5%</w:t>
            </w:r>
          </w:p>
        </w:tc>
      </w:tr>
      <w:tr>
        <w:tc>
          <w:tcPr>
            <w:tcW w:w="40" w:type="pct"/>
          </w:tcPr>
          <w:p>
            <w:pPr>
              <w:spacing w:before="30" w:after="30"/>
              <w:ind w:left="60"/>
            </w:pPr>
            <w:r>
              <w:rPr>
                <w:color w:val="4A5568"/>
                <w:sz w:val="20"/>
              </w:rPr>
              <w:t>Weapons and Munitions</w:t>
            </w:r>
          </w:p>
        </w:tc>
        <w:tc>
          <w:tcPr>
            <w:tcW w:w="20" w:type="pct"/>
          </w:tcPr>
          <w:p>
            <w:pPr>
              <w:spacing w:before="30" w:after="30"/>
              <w:ind w:left="60"/>
            </w:pPr>
            <w:r>
              <w:rPr>
                <w:color w:val="4A5568"/>
                <w:sz w:val="20"/>
              </w:rPr>
              <w:t>98.7</w:t>
            </w:r>
          </w:p>
        </w:tc>
        <w:tc>
          <w:tcPr>
            <w:tcW w:w="20" w:type="pct"/>
          </w:tcPr>
          <w:p>
            <w:pPr>
              <w:spacing w:before="30" w:after="30"/>
              <w:ind w:left="60"/>
            </w:pPr>
            <w:r>
              <w:rPr>
                <w:color w:val="4A5568"/>
                <w:sz w:val="20"/>
              </w:rPr>
              <w:t>133.2</w:t>
            </w:r>
          </w:p>
        </w:tc>
        <w:tc>
          <w:tcPr>
            <w:tcW w:w="20" w:type="pct"/>
          </w:tcPr>
          <w:p>
            <w:pPr>
              <w:spacing w:before="30" w:after="30"/>
              <w:ind w:left="60"/>
            </w:pPr>
            <w:r>
              <w:rPr>
                <w:color w:val="4A5568"/>
                <w:sz w:val="20"/>
              </w:rPr>
              <w:t>1.3%</w:t>
            </w:r>
          </w:p>
        </w:tc>
      </w:tr>
      <w:tr>
        <w:tc>
          <w:tcPr>
            <w:tcW w:w="40" w:type="pct"/>
          </w:tcPr>
          <w:p>
            <w:pPr>
              <w:spacing w:before="30" w:after="30"/>
              <w:ind w:left="60"/>
            </w:pPr>
            <w:r>
              <w:rPr>
                <w:color w:val="4A5568"/>
                <w:sz w:val="20"/>
              </w:rPr>
              <w:t>Pilot Survival Equipment</w:t>
            </w:r>
          </w:p>
        </w:tc>
        <w:tc>
          <w:tcPr>
            <w:tcW w:w="20" w:type="pct"/>
          </w:tcPr>
          <w:p>
            <w:pPr>
              <w:spacing w:before="30" w:after="30"/>
              <w:ind w:left="60"/>
            </w:pPr>
            <w:r>
              <w:rPr>
                <w:color w:val="4A5568"/>
                <w:sz w:val="20"/>
              </w:rPr>
              <w:t>28.6</w:t>
            </w:r>
          </w:p>
        </w:tc>
        <w:tc>
          <w:tcPr>
            <w:tcW w:w="20" w:type="pct"/>
          </w:tcPr>
          <w:p>
            <w:pPr>
              <w:spacing w:before="30" w:after="30"/>
              <w:ind w:left="60"/>
            </w:pPr>
            <w:r>
              <w:rPr>
                <w:color w:val="4A5568"/>
                <w:sz w:val="20"/>
              </w:rPr>
              <w:t>38.6</w:t>
            </w:r>
          </w:p>
        </w:tc>
        <w:tc>
          <w:tcPr>
            <w:tcW w:w="20" w:type="pct"/>
          </w:tcPr>
          <w:p>
            <w:pPr>
              <w:spacing w:before="30" w:after="30"/>
              <w:ind w:left="60"/>
            </w:pPr>
            <w:r>
              <w:rPr>
                <w:color w:val="4A5568"/>
                <w:sz w:val="20"/>
              </w:rPr>
              <w:t>0.4%</w:t>
            </w:r>
          </w:p>
        </w:tc>
      </w:tr>
      <w:tr>
        <w:tc>
          <w:tcPr>
            <w:tcW w:w="40" w:type="pct"/>
          </w:tcPr>
          <w:p>
            <w:pPr>
              <w:spacing w:before="30" w:after="30"/>
              <w:ind w:left="60"/>
            </w:pPr>
            <w:r>
              <w:rPr>
                <w:color w:val="4A5568"/>
                <w:sz w:val="20"/>
              </w:rPr>
              <w:t>Facilities (Depot + 4 MOBs)</w:t>
            </w:r>
          </w:p>
        </w:tc>
        <w:tc>
          <w:tcPr>
            <w:tcW w:w="20" w:type="pct"/>
          </w:tcPr>
          <w:p>
            <w:pPr>
              <w:spacing w:before="30" w:after="30"/>
              <w:ind w:left="60"/>
            </w:pPr>
            <w:r>
              <w:rPr>
                <w:color w:val="4A5568"/>
                <w:sz w:val="20"/>
              </w:rPr>
              <w:t>162.8</w:t>
            </w:r>
          </w:p>
        </w:tc>
        <w:tc>
          <w:tcPr>
            <w:tcW w:w="20" w:type="pct"/>
          </w:tcPr>
          <w:p>
            <w:pPr>
              <w:spacing w:before="30" w:after="30"/>
              <w:ind w:left="60"/>
            </w:pPr>
            <w:r>
              <w:rPr>
                <w:color w:val="4A5568"/>
                <w:sz w:val="20"/>
              </w:rPr>
              <w:t>219.8</w:t>
            </w:r>
          </w:p>
        </w:tc>
        <w:tc>
          <w:tcPr>
            <w:tcW w:w="20" w:type="pct"/>
          </w:tcPr>
          <w:p>
            <w:pPr>
              <w:spacing w:before="30" w:after="30"/>
              <w:ind w:left="60"/>
            </w:pPr>
            <w:r>
              <w:rPr>
                <w:color w:val="4A5568"/>
                <w:sz w:val="20"/>
              </w:rPr>
              <w:t>2.1%</w:t>
            </w:r>
          </w:p>
        </w:tc>
      </w:tr>
      <w:tr>
        <w:tc>
          <w:tcPr>
            <w:tcW w:w="40" w:type="pct"/>
          </w:tcPr>
          <w:p>
            <w:pPr>
              <w:spacing w:before="30" w:after="30"/>
              <w:ind w:left="60"/>
            </w:pPr>
            <w:r>
              <w:rPr>
                <w:color w:val="4A5568"/>
                <w:sz w:val="20"/>
              </w:rPr>
              <w:t>Initial Support / CLS</w:t>
            </w:r>
          </w:p>
        </w:tc>
        <w:tc>
          <w:tcPr>
            <w:tcW w:w="20" w:type="pct"/>
          </w:tcPr>
          <w:p>
            <w:pPr>
              <w:spacing w:before="30" w:after="30"/>
              <w:ind w:left="60"/>
            </w:pPr>
            <w:r>
              <w:rPr>
                <w:color w:val="4A5568"/>
                <w:sz w:val="20"/>
              </w:rPr>
              <w:t>48.6</w:t>
            </w:r>
          </w:p>
        </w:tc>
        <w:tc>
          <w:tcPr>
            <w:tcW w:w="20" w:type="pct"/>
          </w:tcPr>
          <w:p>
            <w:pPr>
              <w:spacing w:before="30" w:after="30"/>
              <w:ind w:left="60"/>
            </w:pPr>
            <w:r>
              <w:rPr>
                <w:color w:val="4A5568"/>
                <w:sz w:val="20"/>
              </w:rPr>
              <w:t>65.6</w:t>
            </w:r>
          </w:p>
        </w:tc>
        <w:tc>
          <w:tcPr>
            <w:tcW w:w="20" w:type="pct"/>
          </w:tcPr>
          <w:p>
            <w:pPr>
              <w:spacing w:before="30" w:after="30"/>
              <w:ind w:left="60"/>
            </w:pPr>
            <w:r>
              <w:rPr>
                <w:color w:val="4A5568"/>
                <w:sz w:val="20"/>
              </w:rPr>
              <w:t>0.6%</w:t>
            </w:r>
          </w:p>
        </w:tc>
      </w:tr>
      <w:tr>
        <w:tc>
          <w:tcPr>
            <w:tcW w:w="40" w:type="pct"/>
          </w:tcPr>
          <w:p>
            <w:pPr>
              <w:spacing w:before="30" w:after="30"/>
              <w:ind w:left="60"/>
            </w:pPr>
            <w:r>
              <w:rPr>
                <w:color w:val="4A5568"/>
                <w:sz w:val="20"/>
              </w:rPr>
              <w:t>TOTAL PROCUREMENT</w:t>
            </w:r>
          </w:p>
        </w:tc>
        <w:tc>
          <w:tcPr>
            <w:tcW w:w="20" w:type="pct"/>
          </w:tcPr>
          <w:p>
            <w:pPr>
              <w:spacing w:before="30" w:after="30"/>
              <w:ind w:left="60"/>
            </w:pPr>
            <w:r>
              <w:rPr>
                <w:color w:val="4A5568"/>
                <w:sz w:val="20"/>
              </w:rPr>
              <w:t>7,847.5</w:t>
            </w:r>
          </w:p>
        </w:tc>
        <w:tc>
          <w:tcPr>
            <w:tcW w:w="20" w:type="pct"/>
          </w:tcPr>
          <w:p>
            <w:pPr>
              <w:spacing w:before="30" w:after="30"/>
              <w:ind w:left="60"/>
            </w:pPr>
            <w:r>
              <w:rPr>
                <w:color w:val="4A5568"/>
                <w:sz w:val="20"/>
              </w:rPr>
              <w:t>10,594.1</w:t>
            </w:r>
          </w:p>
        </w:tc>
        <w:tc>
          <w:tcPr>
            <w:tcW w:w="20" w:type="pct"/>
          </w:tcPr>
          <w:p>
            <w:pPr>
              <w:spacing w:before="30" w:after="30"/>
              <w:ind w:left="60"/>
            </w:pPr>
            <w:r>
              <w:rPr>
                <w:color w:val="4A5568"/>
                <w:sz w:val="20"/>
              </w:rPr>
              <w:t>100.0%</w:t>
            </w:r>
          </w:p>
        </w:tc>
      </w:tr>
    </w:tbl>
    <w:p>
      <w:pPr>
        <w:spacing w:after="120"/>
      </w:pPr>
    </w:p>
    <w:p>
      <w:pPr>
        <w:pStyle w:val="Heading3"/>
      </w:pPr>
      <w:r>
        <w:t>Force Structure</w:t>
      </w:r>
    </w:p>
    <w:tbl>
      <w:tblPr>
        <w:tblW w:w="5000" w:type="pct"/>
        <w:tblBorders>
          <w:top w:val="single" w:color="3D5A80" w:sz="12"/>
          <w:left w:val="nil"/>
          <w:bottom w:val="single" w:color="3D5A80" w:sz="12"/>
          <w:right w:val="nil"/>
          <w:insideH w:val="single" w:color="C8D5E0" w:sz="4"/>
          <w:insideV w:val="nil"/>
        </w:tblBorders>
      </w:tblPr>
      <w:tblGrid>
        <w:gridCol w:w="40"/>
        <w:gridCol w:w="60"/>
      </w:tblGrid>
      <w:tr>
        <w:trPr>
          <w:tblHeader/>
        </w:trPr>
        <w:tc>
          <w:tcPr>
            <w:tcW w:w="40" w:type="pct"/>
            <w:shd w:val="clear" w:fill="E8EDF2"/>
          </w:tcPr>
          <w:p>
            <w:pPr>
              <w:spacing w:before="40" w:after="40"/>
              <w:jc w:val="center"/>
            </w:pPr>
            <w:r>
              <w:rPr>
                <w:b/>
                <w:color w:val="1D2D3D"/>
                <w:sz w:val="20"/>
              </w:rPr>
              <w:t>Category</w:t>
            </w:r>
          </w:p>
        </w:tc>
        <w:tc>
          <w:tcPr>
            <w:tcW w:w="60" w:type="pct"/>
            <w:shd w:val="clear" w:fill="E8EDF2"/>
          </w:tcPr>
          <w:p>
            <w:pPr>
              <w:spacing w:before="40" w:after="40"/>
              <w:jc w:val="center"/>
            </w:pPr>
            <w:r>
              <w:rPr>
                <w:b/>
                <w:color w:val="1D2D3D"/>
                <w:sz w:val="20"/>
              </w:rPr>
              <w:t>Quantity</w:t>
            </w:r>
          </w:p>
        </w:tc>
      </w:tr>
      <w:tr>
        <w:tc>
          <w:tcPr>
            <w:tcW w:w="40" w:type="pct"/>
          </w:tcPr>
          <w:p>
            <w:pPr>
              <w:spacing w:before="30" w:after="30"/>
              <w:ind w:left="60"/>
            </w:pPr>
            <w:r>
              <w:rPr>
                <w:color w:val="4A5568"/>
                <w:sz w:val="20"/>
              </w:rPr>
              <w:t>Operational Fleet</w:t>
            </w:r>
          </w:p>
        </w:tc>
        <w:tc>
          <w:tcPr>
            <w:tcW w:w="60" w:type="pct"/>
          </w:tcPr>
          <w:p>
            <w:pPr>
              <w:spacing w:before="30" w:after="30"/>
              <w:ind w:left="60"/>
            </w:pPr>
            <w:r>
              <w:rPr>
                <w:color w:val="4A5568"/>
                <w:sz w:val="20"/>
              </w:rPr>
              <w:t>48 (12 per MOB)</w:t>
            </w:r>
          </w:p>
        </w:tc>
      </w:tr>
      <w:tr>
        <w:tc>
          <w:tcPr>
            <w:tcW w:w="40" w:type="pct"/>
          </w:tcPr>
          <w:p>
            <w:pPr>
              <w:spacing w:before="30" w:after="30"/>
              <w:ind w:left="60"/>
            </w:pPr>
            <w:r>
              <w:rPr>
                <w:color w:val="4A5568"/>
                <w:sz w:val="20"/>
              </w:rPr>
              <w:t>Training Aircraft</w:t>
            </w:r>
          </w:p>
        </w:tc>
        <w:tc>
          <w:tcPr>
            <w:tcW w:w="60" w:type="pct"/>
          </w:tcPr>
          <w:p>
            <w:pPr>
              <w:spacing w:before="30" w:after="30"/>
              <w:ind w:left="60"/>
            </w:pPr>
            <w:r>
              <w:rPr>
                <w:color w:val="4A5568"/>
                <w:sz w:val="20"/>
              </w:rPr>
              <w:t>6</w:t>
            </w:r>
          </w:p>
        </w:tc>
      </w:tr>
      <w:tr>
        <w:tc>
          <w:tcPr>
            <w:tcW w:w="40" w:type="pct"/>
          </w:tcPr>
          <w:p>
            <w:pPr>
              <w:spacing w:before="30" w:after="30"/>
              <w:ind w:left="60"/>
            </w:pPr>
            <w:r>
              <w:rPr>
                <w:color w:val="4A5568"/>
                <w:sz w:val="20"/>
              </w:rPr>
              <w:t>Depot Maintenance</w:t>
            </w:r>
          </w:p>
        </w:tc>
        <w:tc>
          <w:tcPr>
            <w:tcW w:w="60" w:type="pct"/>
          </w:tcPr>
          <w:p>
            <w:pPr>
              <w:spacing w:before="30" w:after="30"/>
              <w:ind w:left="60"/>
            </w:pPr>
            <w:r>
              <w:rPr>
                <w:color w:val="4A5568"/>
                <w:sz w:val="20"/>
              </w:rPr>
              <w:t>4</w:t>
            </w:r>
          </w:p>
        </w:tc>
      </w:tr>
      <w:tr>
        <w:tc>
          <w:tcPr>
            <w:tcW w:w="40" w:type="pct"/>
          </w:tcPr>
          <w:p>
            <w:pPr>
              <w:spacing w:before="30" w:after="30"/>
              <w:ind w:left="60"/>
            </w:pPr>
            <w:r>
              <w:rPr>
                <w:color w:val="4A5568"/>
                <w:sz w:val="20"/>
              </w:rPr>
              <w:t>Attrition Reserve</w:t>
            </w:r>
          </w:p>
        </w:tc>
        <w:tc>
          <w:tcPr>
            <w:tcW w:w="60" w:type="pct"/>
          </w:tcPr>
          <w:p>
            <w:pPr>
              <w:spacing w:before="30" w:after="30"/>
              <w:ind w:left="60"/>
            </w:pPr>
            <w:r>
              <w:rPr>
                <w:color w:val="4A5568"/>
                <w:sz w:val="20"/>
              </w:rPr>
              <w:t>12 (25% buffer)</w:t>
            </w:r>
          </w:p>
        </w:tc>
      </w:tr>
      <w:tr>
        <w:tc>
          <w:tcPr>
            <w:tcW w:w="40" w:type="pct"/>
          </w:tcPr>
          <w:p>
            <w:pPr>
              <w:spacing w:before="30" w:after="30"/>
              <w:ind w:left="60"/>
            </w:pPr>
            <w:r>
              <w:rPr>
                <w:color w:val="4A5568"/>
                <w:sz w:val="20"/>
              </w:rPr>
              <w:t>War Reserve</w:t>
            </w:r>
          </w:p>
        </w:tc>
        <w:tc>
          <w:tcPr>
            <w:tcW w:w="60" w:type="pct"/>
          </w:tcPr>
          <w:p>
            <w:pPr>
              <w:spacing w:before="30" w:after="30"/>
              <w:ind w:left="60"/>
            </w:pPr>
            <w:r>
              <w:rPr>
                <w:color w:val="4A5568"/>
                <w:sz w:val="20"/>
              </w:rPr>
              <w:t>6</w:t>
            </w:r>
          </w:p>
        </w:tc>
      </w:tr>
      <w:tr>
        <w:tc>
          <w:tcPr>
            <w:tcW w:w="40" w:type="pct"/>
          </w:tcPr>
          <w:p>
            <w:pPr>
              <w:spacing w:before="30" w:after="30"/>
              <w:ind w:left="60"/>
            </w:pPr>
            <w:r>
              <w:rPr>
                <w:color w:val="4A5568"/>
                <w:sz w:val="20"/>
              </w:rPr>
              <w:t>TOTAL PROCUREMENT</w:t>
            </w:r>
          </w:p>
        </w:tc>
        <w:tc>
          <w:tcPr>
            <w:tcW w:w="60" w:type="pct"/>
          </w:tcPr>
          <w:p>
            <w:pPr>
              <w:spacing w:before="30" w:after="30"/>
              <w:ind w:left="60"/>
            </w:pPr>
            <w:r>
              <w:rPr>
                <w:color w:val="4A5568"/>
                <w:sz w:val="20"/>
              </w:rPr>
              <w:t>76</w:t>
            </w:r>
          </w:p>
        </w:tc>
      </w:tr>
    </w:tbl>
    <w:p>
      <w:pPr>
        <w:spacing w:after="120"/>
      </w:pPr>
    </w:p>
    <w:p>
      <w:pPr>
        <w:pStyle w:val="Heading2"/>
      </w:pPr>
      <w:r>
        <w:t>Sustainment Concept</w:t>
      </w:r>
    </w:p>
    <w:p>
      <w:r>
        <w:t>The Gripen's 20-year / 6,000-flight-hour life requires comprehensive fatigue tracking, depot-level structural inspections at 1,200-flight-hour intervals, and life-limited part management. Two-level maintenance with 12-person field crew per shift. Operational availability: 85%.</w:t>
      </w:r>
    </w:p>
    <w:p>
      <w:pPr>
        <w:pStyle w:val="Heading2"/>
      </w:pPr>
      <w:r>
        <w:t>Arctic Augmentation Sustainment</w:t>
      </w:r>
    </w:p>
    <w:p>
      <w:pPr>
        <w:spacing w:after="80"/>
        <w:ind w:left="720" w:hanging="360"/>
      </w:pPr>
      <w:r>
        <w:t>•  CS-RAM tiles: Class 7 cleanroom for application/repair, hydrophobic topcoat renewal every 18 months</w:t>
      </w:r>
    </w:p>
    <w:p>
      <w:pPr>
        <w:spacing w:after="80"/>
        <w:ind w:left="720" w:hanging="360"/>
      </w:pPr>
      <w:r>
        <w:t>•  CNT de-ice systems: Specialized testing equipment and trained technicians</w:t>
      </w:r>
    </w:p>
    <w:p>
      <w:pPr>
        <w:spacing w:after="80"/>
        <w:ind w:left="720" w:hanging="360"/>
      </w:pPr>
      <w:r>
        <w:t>•  CFTs: Composite repair capability and jettison system overhaul</w:t>
      </w:r>
    </w:p>
    <w:p>
      <w:pPr>
        <w:spacing w:after="80"/>
        <w:ind w:left="720" w:hanging="360"/>
      </w:pPr>
      <w:r>
        <w:t>•  SIWP-39 pod: Missile cavity heating system maintenance, door actuator testing</w:t>
      </w:r>
    </w:p>
    <w:p>
      <w:pPr>
        <w:spacing w:after="80"/>
        <w:ind w:left="720" w:hanging="360"/>
      </w:pPr>
      <w:r>
        <w:t>•  IRIS-M2 nozzle: CMC topcoat inspection, mixer tab mechanism overhaul</w:t>
      </w:r>
    </w:p>
    <w:p>
      <w:pPr>
        <w:spacing w:after="80"/>
        <w:ind w:left="720" w:hanging="360"/>
      </w:pPr>
      <w:r>
        <w:t>•  Multi-constellation NAV: CRPA antenna calibration, celestial navigation alignment</w:t>
      </w:r>
    </w:p>
    <w:p>
      <w:pPr>
        <w:pStyle w:val="Heading2"/>
      </w:pPr>
      <w:r>
        <w:t>Spare Parts Summary by Subsystem</w:t>
      </w:r>
    </w:p>
    <w:tbl>
      <w:tblPr>
        <w:tblW w:w="5000" w:type="pct"/>
        <w:tblBorders>
          <w:top w:val="single" w:color="3D5A80" w:sz="12"/>
          <w:left w:val="nil"/>
          <w:bottom w:val="single" w:color="3D5A80" w:sz="12"/>
          <w:right w:val="nil"/>
          <w:insideH w:val="single" w:color="C8D5E0" w:sz="4"/>
          <w:insideV w:val="nil"/>
        </w:tblBorders>
      </w:tblPr>
      <w:tblGrid>
        <w:gridCol w:w="35"/>
        <w:gridCol w:w="15"/>
        <w:gridCol w:w="15"/>
        <w:gridCol w:w="35"/>
      </w:tblGrid>
      <w:tr>
        <w:trPr>
          <w:tblHeader/>
        </w:trPr>
        <w:tc>
          <w:tcPr>
            <w:tcW w:w="35" w:type="pct"/>
            <w:shd w:val="clear" w:fill="E8EDF2"/>
          </w:tcPr>
          <w:p>
            <w:pPr>
              <w:spacing w:before="40" w:after="40"/>
              <w:jc w:val="center"/>
            </w:pPr>
            <w:r>
              <w:rPr>
                <w:b/>
                <w:color w:val="1D2D3D"/>
                <w:sz w:val="20"/>
              </w:rPr>
              <w:t>Subsystem</w:t>
            </w:r>
          </w:p>
        </w:tc>
        <w:tc>
          <w:tcPr>
            <w:tcW w:w="15" w:type="pct"/>
            <w:shd w:val="clear" w:fill="E8EDF2"/>
          </w:tcPr>
          <w:p>
            <w:pPr>
              <w:spacing w:before="40" w:after="40"/>
              <w:jc w:val="center"/>
            </w:pPr>
            <w:r>
              <w:rPr>
                <w:b/>
                <w:color w:val="1D2D3D"/>
                <w:sz w:val="20"/>
              </w:rPr>
              <w:t>Line Items</w:t>
            </w:r>
          </w:p>
        </w:tc>
        <w:tc>
          <w:tcPr>
            <w:tcW w:w="15" w:type="pct"/>
            <w:shd w:val="clear" w:fill="E8EDF2"/>
          </w:tcPr>
          <w:p>
            <w:pPr>
              <w:spacing w:before="40" w:after="40"/>
              <w:jc w:val="center"/>
            </w:pPr>
            <w:r>
              <w:rPr>
                <w:b/>
                <w:color w:val="1D2D3D"/>
                <w:sz w:val="20"/>
              </w:rPr>
              <w:t>Spares Cost (USD)</w:t>
            </w:r>
          </w:p>
        </w:tc>
        <w:tc>
          <w:tcPr>
            <w:tcW w:w="35" w:type="pct"/>
            <w:shd w:val="clear" w:fill="E8EDF2"/>
          </w:tcPr>
          <w:p>
            <w:pPr>
              <w:spacing w:before="40" w:after="40"/>
              <w:jc w:val="center"/>
            </w:pPr>
            <w:r>
              <w:rPr>
                <w:b/>
                <w:color w:val="1D2D3D"/>
                <w:sz w:val="20"/>
              </w:rPr>
              <w:t>Key Suppliers</w:t>
            </w:r>
          </w:p>
        </w:tc>
      </w:tr>
      <w:tr>
        <w:tc>
          <w:tcPr>
            <w:tcW w:w="35" w:type="pct"/>
          </w:tcPr>
          <w:p>
            <w:pPr>
              <w:spacing w:before="30" w:after="30"/>
              <w:ind w:left="60"/>
            </w:pPr>
            <w:r>
              <w:rPr>
                <w:color w:val="4A5568"/>
                <w:sz w:val="20"/>
              </w:rPr>
              <w:t>A. Airframe and Structure</w:t>
            </w:r>
          </w:p>
        </w:tc>
        <w:tc>
          <w:tcPr>
            <w:tcW w:w="15" w:type="pct"/>
          </w:tcPr>
          <w:p>
            <w:pPr>
              <w:spacing w:before="30" w:after="30"/>
              <w:ind w:left="60"/>
            </w:pPr>
            <w:r>
              <w:rPr>
                <w:color w:val="4A5568"/>
                <w:sz w:val="20"/>
              </w:rPr>
              <w:t>26 items</w:t>
            </w:r>
          </w:p>
        </w:tc>
        <w:tc>
          <w:tcPr>
            <w:tcW w:w="15" w:type="pct"/>
          </w:tcPr>
          <w:p>
            <w:pPr>
              <w:spacing w:before="30" w:after="30"/>
              <w:ind w:left="60"/>
            </w:pPr>
            <w:r>
              <w:rPr>
                <w:color w:val="4A5568"/>
                <w:sz w:val="20"/>
              </w:rPr>
              <w:t>$25,872,900</w:t>
            </w:r>
          </w:p>
        </w:tc>
        <w:tc>
          <w:tcPr>
            <w:tcW w:w="35" w:type="pct"/>
          </w:tcPr>
          <w:p>
            <w:pPr>
              <w:spacing w:before="30" w:after="30"/>
              <w:ind w:left="60"/>
            </w:pPr>
            <w:r>
              <w:rPr>
                <w:color w:val="4A5568"/>
                <w:sz w:val="20"/>
              </w:rPr>
              <w:t>Saab</w:t>
            </w:r>
          </w:p>
        </w:tc>
      </w:tr>
      <w:tr>
        <w:tc>
          <w:tcPr>
            <w:tcW w:w="35" w:type="pct"/>
          </w:tcPr>
          <w:p>
            <w:pPr>
              <w:spacing w:before="30" w:after="30"/>
              <w:ind w:left="60"/>
            </w:pPr>
            <w:r>
              <w:rPr>
                <w:color w:val="4A5568"/>
                <w:sz w:val="20"/>
              </w:rPr>
              <w:t>B. Propulsion (F414-GE-39E)</w:t>
            </w:r>
          </w:p>
        </w:tc>
        <w:tc>
          <w:tcPr>
            <w:tcW w:w="15" w:type="pct"/>
          </w:tcPr>
          <w:p>
            <w:pPr>
              <w:spacing w:before="30" w:after="30"/>
              <w:ind w:left="60"/>
            </w:pPr>
            <w:r>
              <w:rPr>
                <w:color w:val="4A5568"/>
                <w:sz w:val="20"/>
              </w:rPr>
              <w:t>24 items</w:t>
            </w:r>
          </w:p>
        </w:tc>
        <w:tc>
          <w:tcPr>
            <w:tcW w:w="15" w:type="pct"/>
          </w:tcPr>
          <w:p>
            <w:pPr>
              <w:spacing w:before="30" w:after="30"/>
              <w:ind w:left="60"/>
            </w:pPr>
            <w:r>
              <w:rPr>
                <w:color w:val="4A5568"/>
                <w:sz w:val="20"/>
              </w:rPr>
              <w:t>$66,165,000</w:t>
            </w:r>
          </w:p>
        </w:tc>
        <w:tc>
          <w:tcPr>
            <w:tcW w:w="35" w:type="pct"/>
          </w:tcPr>
          <w:p>
            <w:pPr>
              <w:spacing w:before="30" w:after="30"/>
              <w:ind w:left="60"/>
            </w:pPr>
            <w:r>
              <w:rPr>
                <w:color w:val="4A5568"/>
                <w:sz w:val="20"/>
              </w:rPr>
              <w:t>GE Aerospace</w:t>
            </w:r>
          </w:p>
        </w:tc>
      </w:tr>
      <w:tr>
        <w:tc>
          <w:tcPr>
            <w:tcW w:w="35" w:type="pct"/>
          </w:tcPr>
          <w:p>
            <w:pPr>
              <w:spacing w:before="30" w:after="30"/>
              <w:ind w:left="60"/>
            </w:pPr>
            <w:r>
              <w:rPr>
                <w:color w:val="4A5568"/>
                <w:sz w:val="20"/>
              </w:rPr>
              <w:t>C. Inlet System</w:t>
            </w:r>
          </w:p>
        </w:tc>
        <w:tc>
          <w:tcPr>
            <w:tcW w:w="15" w:type="pct"/>
          </w:tcPr>
          <w:p>
            <w:pPr>
              <w:spacing w:before="30" w:after="30"/>
              <w:ind w:left="60"/>
            </w:pPr>
            <w:r>
              <w:rPr>
                <w:color w:val="4A5568"/>
                <w:sz w:val="20"/>
              </w:rPr>
              <w:t>6 items</w:t>
            </w:r>
          </w:p>
        </w:tc>
        <w:tc>
          <w:tcPr>
            <w:tcW w:w="15" w:type="pct"/>
          </w:tcPr>
          <w:p>
            <w:pPr>
              <w:spacing w:before="30" w:after="30"/>
              <w:ind w:left="60"/>
            </w:pPr>
            <w:r>
              <w:rPr>
                <w:color w:val="4A5568"/>
                <w:sz w:val="20"/>
              </w:rPr>
              <w:t>$1,513,000</w:t>
            </w:r>
          </w:p>
        </w:tc>
        <w:tc>
          <w:tcPr>
            <w:tcW w:w="35" w:type="pct"/>
          </w:tcPr>
          <w:p>
            <w:pPr>
              <w:spacing w:before="30" w:after="30"/>
              <w:ind w:left="60"/>
            </w:pPr>
            <w:r>
              <w:rPr>
                <w:color w:val="4A5568"/>
                <w:sz w:val="20"/>
              </w:rPr>
              <w:t>Saab</w:t>
            </w:r>
          </w:p>
        </w:tc>
      </w:tr>
      <w:tr>
        <w:tc>
          <w:tcPr>
            <w:tcW w:w="35" w:type="pct"/>
          </w:tcPr>
          <w:p>
            <w:pPr>
              <w:spacing w:before="30" w:after="30"/>
              <w:ind w:left="60"/>
            </w:pPr>
            <w:r>
              <w:rPr>
                <w:color w:val="4A5568"/>
                <w:sz w:val="20"/>
              </w:rPr>
              <w:t>D. Avionics and Flight Control</w:t>
            </w:r>
          </w:p>
        </w:tc>
        <w:tc>
          <w:tcPr>
            <w:tcW w:w="15" w:type="pct"/>
          </w:tcPr>
          <w:p>
            <w:pPr>
              <w:spacing w:before="30" w:after="30"/>
              <w:ind w:left="60"/>
            </w:pPr>
            <w:r>
              <w:rPr>
                <w:color w:val="4A5568"/>
                <w:sz w:val="20"/>
              </w:rPr>
              <w:t>14 items</w:t>
            </w:r>
          </w:p>
        </w:tc>
        <w:tc>
          <w:tcPr>
            <w:tcW w:w="15" w:type="pct"/>
          </w:tcPr>
          <w:p>
            <w:pPr>
              <w:spacing w:before="30" w:after="30"/>
              <w:ind w:left="60"/>
            </w:pPr>
            <w:r>
              <w:rPr>
                <w:color w:val="4A5568"/>
                <w:sz w:val="20"/>
              </w:rPr>
              <w:t>$19,526,000</w:t>
            </w:r>
          </w:p>
        </w:tc>
        <w:tc>
          <w:tcPr>
            <w:tcW w:w="35" w:type="pct"/>
          </w:tcPr>
          <w:p>
            <w:pPr>
              <w:spacing w:before="30" w:after="30"/>
              <w:ind w:left="60"/>
            </w:pPr>
            <w:r>
              <w:rPr>
                <w:color w:val="4A5568"/>
                <w:sz w:val="20"/>
              </w:rPr>
              <w:t>Saab, Nvidia</w:t>
            </w:r>
          </w:p>
        </w:tc>
      </w:tr>
      <w:tr>
        <w:tc>
          <w:tcPr>
            <w:tcW w:w="35" w:type="pct"/>
          </w:tcPr>
          <w:p>
            <w:pPr>
              <w:spacing w:before="30" w:after="30"/>
              <w:ind w:left="60"/>
            </w:pPr>
            <w:r>
              <w:rPr>
                <w:color w:val="4A5568"/>
                <w:sz w:val="20"/>
              </w:rPr>
              <w:t>E. Sensors (Arctic-Optimized)</w:t>
            </w:r>
          </w:p>
        </w:tc>
        <w:tc>
          <w:tcPr>
            <w:tcW w:w="15" w:type="pct"/>
          </w:tcPr>
          <w:p>
            <w:pPr>
              <w:spacing w:before="30" w:after="30"/>
              <w:ind w:left="60"/>
            </w:pPr>
            <w:r>
              <w:rPr>
                <w:color w:val="4A5568"/>
                <w:sz w:val="20"/>
              </w:rPr>
              <w:t>10 items</w:t>
            </w:r>
          </w:p>
        </w:tc>
        <w:tc>
          <w:tcPr>
            <w:tcW w:w="15" w:type="pct"/>
          </w:tcPr>
          <w:p>
            <w:pPr>
              <w:spacing w:before="30" w:after="30"/>
              <w:ind w:left="60"/>
            </w:pPr>
            <w:r>
              <w:rPr>
                <w:color w:val="4A5568"/>
                <w:sz w:val="20"/>
              </w:rPr>
              <w:t>$48,585,000</w:t>
            </w:r>
          </w:p>
        </w:tc>
        <w:tc>
          <w:tcPr>
            <w:tcW w:w="35" w:type="pct"/>
          </w:tcPr>
          <w:p>
            <w:pPr>
              <w:spacing w:before="30" w:after="30"/>
              <w:ind w:left="60"/>
            </w:pPr>
            <w:r>
              <w:rPr>
                <w:color w:val="4A5568"/>
                <w:sz w:val="20"/>
              </w:rPr>
              <w:t>Leonardo, Saab</w:t>
            </w:r>
          </w:p>
        </w:tc>
      </w:tr>
      <w:tr>
        <w:tc>
          <w:tcPr>
            <w:tcW w:w="35" w:type="pct"/>
          </w:tcPr>
          <w:p>
            <w:pPr>
              <w:spacing w:before="30" w:after="30"/>
              <w:ind w:left="60"/>
            </w:pPr>
            <w:r>
              <w:rPr>
                <w:color w:val="4A5568"/>
                <w:sz w:val="20"/>
              </w:rPr>
              <w:t>F. Communications and Datalink</w:t>
            </w:r>
          </w:p>
        </w:tc>
        <w:tc>
          <w:tcPr>
            <w:tcW w:w="15" w:type="pct"/>
          </w:tcPr>
          <w:p>
            <w:pPr>
              <w:spacing w:before="30" w:after="30"/>
              <w:ind w:left="60"/>
            </w:pPr>
            <w:r>
              <w:rPr>
                <w:color w:val="4A5568"/>
                <w:sz w:val="20"/>
              </w:rPr>
              <w:t>9 items</w:t>
            </w:r>
          </w:p>
        </w:tc>
        <w:tc>
          <w:tcPr>
            <w:tcW w:w="15" w:type="pct"/>
          </w:tcPr>
          <w:p>
            <w:pPr>
              <w:spacing w:before="30" w:after="30"/>
              <w:ind w:left="60"/>
            </w:pPr>
            <w:r>
              <w:rPr>
                <w:color w:val="4A5568"/>
                <w:sz w:val="20"/>
              </w:rPr>
              <w:t>$11,740,000</w:t>
            </w:r>
          </w:p>
        </w:tc>
        <w:tc>
          <w:tcPr>
            <w:tcW w:w="35" w:type="pct"/>
          </w:tcPr>
          <w:p>
            <w:pPr>
              <w:spacing w:before="30" w:after="30"/>
              <w:ind w:left="60"/>
            </w:pPr>
            <w:r>
              <w:rPr>
                <w:color w:val="4A5568"/>
                <w:sz w:val="20"/>
              </w:rPr>
              <w:t>ViaSat, Saab</w:t>
            </w:r>
          </w:p>
        </w:tc>
      </w:tr>
      <w:tr>
        <w:tc>
          <w:tcPr>
            <w:tcW w:w="35" w:type="pct"/>
          </w:tcPr>
          <w:p>
            <w:pPr>
              <w:spacing w:before="30" w:after="30"/>
              <w:ind w:left="60"/>
            </w:pPr>
            <w:r>
              <w:rPr>
                <w:color w:val="4A5568"/>
                <w:sz w:val="20"/>
              </w:rPr>
              <w:t>G. Stores and Carriage</w:t>
            </w:r>
          </w:p>
        </w:tc>
        <w:tc>
          <w:tcPr>
            <w:tcW w:w="15" w:type="pct"/>
          </w:tcPr>
          <w:p>
            <w:pPr>
              <w:spacing w:before="30" w:after="30"/>
              <w:ind w:left="60"/>
            </w:pPr>
            <w:r>
              <w:rPr>
                <w:color w:val="4A5568"/>
                <w:sz w:val="20"/>
              </w:rPr>
              <w:t>10 items</w:t>
            </w:r>
          </w:p>
        </w:tc>
        <w:tc>
          <w:tcPr>
            <w:tcW w:w="15" w:type="pct"/>
          </w:tcPr>
          <w:p>
            <w:pPr>
              <w:spacing w:before="30" w:after="30"/>
              <w:ind w:left="60"/>
            </w:pPr>
            <w:r>
              <w:rPr>
                <w:color w:val="4A5568"/>
                <w:sz w:val="20"/>
              </w:rPr>
              <w:t>$17,542,000</w:t>
            </w:r>
          </w:p>
        </w:tc>
        <w:tc>
          <w:tcPr>
            <w:tcW w:w="35" w:type="pct"/>
          </w:tcPr>
          <w:p>
            <w:pPr>
              <w:spacing w:before="30" w:after="30"/>
              <w:ind w:left="60"/>
            </w:pPr>
            <w:r>
              <w:rPr>
                <w:color w:val="4A5568"/>
                <w:sz w:val="20"/>
              </w:rPr>
              <w:t>Saab</w:t>
            </w:r>
          </w:p>
        </w:tc>
      </w:tr>
      <w:tr>
        <w:tc>
          <w:tcPr>
            <w:tcW w:w="35" w:type="pct"/>
          </w:tcPr>
          <w:p>
            <w:pPr>
              <w:spacing w:before="30" w:after="30"/>
              <w:ind w:left="60"/>
            </w:pPr>
            <w:r>
              <w:rPr>
                <w:color w:val="4A5568"/>
                <w:sz w:val="20"/>
              </w:rPr>
              <w:t>H. Electrical and Environmental</w:t>
            </w:r>
          </w:p>
        </w:tc>
        <w:tc>
          <w:tcPr>
            <w:tcW w:w="15" w:type="pct"/>
          </w:tcPr>
          <w:p>
            <w:pPr>
              <w:spacing w:before="30" w:after="30"/>
              <w:ind w:left="60"/>
            </w:pPr>
            <w:r>
              <w:rPr>
                <w:color w:val="4A5568"/>
                <w:sz w:val="20"/>
              </w:rPr>
              <w:t>9 items</w:t>
            </w:r>
          </w:p>
        </w:tc>
        <w:tc>
          <w:tcPr>
            <w:tcW w:w="15" w:type="pct"/>
          </w:tcPr>
          <w:p>
            <w:pPr>
              <w:spacing w:before="30" w:after="30"/>
              <w:ind w:left="60"/>
            </w:pPr>
            <w:r>
              <w:rPr>
                <w:color w:val="4A5568"/>
                <w:sz w:val="20"/>
              </w:rPr>
              <w:t>$9,844,000</w:t>
            </w:r>
          </w:p>
        </w:tc>
        <w:tc>
          <w:tcPr>
            <w:tcW w:w="35" w:type="pct"/>
          </w:tcPr>
          <w:p>
            <w:pPr>
              <w:spacing w:before="30" w:after="30"/>
              <w:ind w:left="60"/>
            </w:pPr>
            <w:r>
              <w:rPr>
                <w:color w:val="4A5568"/>
                <w:sz w:val="20"/>
              </w:rPr>
              <w:t>Honeywell, Saab</w:t>
            </w:r>
          </w:p>
        </w:tc>
      </w:tr>
      <w:tr>
        <w:tc>
          <w:tcPr>
            <w:tcW w:w="35" w:type="pct"/>
          </w:tcPr>
          <w:p>
            <w:pPr>
              <w:spacing w:before="30" w:after="30"/>
              <w:ind w:left="60"/>
            </w:pPr>
            <w:r>
              <w:rPr>
                <w:color w:val="4A5568"/>
                <w:sz w:val="20"/>
              </w:rPr>
              <w:t>I. Arctic Survival Equipment</w:t>
            </w:r>
          </w:p>
        </w:tc>
        <w:tc>
          <w:tcPr>
            <w:tcW w:w="15" w:type="pct"/>
          </w:tcPr>
          <w:p>
            <w:pPr>
              <w:spacing w:before="30" w:after="30"/>
              <w:ind w:left="60"/>
            </w:pPr>
            <w:r>
              <w:rPr>
                <w:color w:val="4A5568"/>
                <w:sz w:val="20"/>
              </w:rPr>
              <w:t>10 items</w:t>
            </w:r>
          </w:p>
        </w:tc>
        <w:tc>
          <w:tcPr>
            <w:tcW w:w="15" w:type="pct"/>
          </w:tcPr>
          <w:p>
            <w:pPr>
              <w:spacing w:before="30" w:after="30"/>
              <w:ind w:left="60"/>
            </w:pPr>
            <w:r>
              <w:rPr>
                <w:color w:val="4A5568"/>
                <w:sz w:val="20"/>
              </w:rPr>
              <w:t>$2,229,300</w:t>
            </w:r>
          </w:p>
        </w:tc>
        <w:tc>
          <w:tcPr>
            <w:tcW w:w="35" w:type="pct"/>
          </w:tcPr>
          <w:p>
            <w:pPr>
              <w:spacing w:before="30" w:after="30"/>
              <w:ind w:left="60"/>
            </w:pPr>
            <w:r>
              <w:rPr>
                <w:color w:val="4A5568"/>
                <w:sz w:val="20"/>
              </w:rPr>
              <w:t>Saab, Gentex</w:t>
            </w:r>
          </w:p>
        </w:tc>
      </w:tr>
      <w:tr>
        <w:tc>
          <w:tcPr>
            <w:tcW w:w="35" w:type="pct"/>
          </w:tcPr>
          <w:p>
            <w:pPr>
              <w:spacing w:before="30" w:after="30"/>
              <w:ind w:left="60"/>
            </w:pPr>
            <w:r>
              <w:rPr>
                <w:color w:val="4A5568"/>
                <w:sz w:val="20"/>
              </w:rPr>
              <w:t>TOTAL SPARES</w:t>
            </w:r>
          </w:p>
        </w:tc>
        <w:tc>
          <w:tcPr>
            <w:tcW w:w="15" w:type="pct"/>
          </w:tcPr>
          <w:p>
            <w:pPr>
              <w:spacing w:before="30" w:after="30"/>
              <w:ind w:left="60"/>
            </w:pPr>
            <w:r>
              <w:rPr>
                <w:color w:val="4A5568"/>
                <w:sz w:val="20"/>
              </w:rPr>
              <w:t>118 items</w:t>
            </w:r>
          </w:p>
        </w:tc>
        <w:tc>
          <w:tcPr>
            <w:tcW w:w="15" w:type="pct"/>
          </w:tcPr>
          <w:p>
            <w:pPr>
              <w:spacing w:before="30" w:after="30"/>
              <w:ind w:left="60"/>
            </w:pPr>
            <w:r>
              <w:rPr>
                <w:color w:val="4A5568"/>
                <w:sz w:val="20"/>
              </w:rPr>
              <w:t>$203,017,200</w:t>
            </w:r>
          </w:p>
        </w:tc>
        <w:tc>
          <w:tcPr>
            <w:tcW w:w="35" w:type="pct"/>
          </w:tcPr>
          <w:p>
            <w:pPr>
              <w:spacing w:before="30" w:after="30"/>
              <w:ind w:left="60"/>
            </w:pPr>
            <w:r>
              <w:rPr>
                <w:color w:val="4A5568"/>
                <w:sz w:val="20"/>
              </w:rPr>
              <w:t>—</w:t>
            </w:r>
          </w:p>
        </w:tc>
      </w:tr>
    </w:tbl>
    <w:p>
      <w:pPr>
        <w:spacing w:after="120"/>
      </w:pPr>
    </w:p>
    <w:p>
      <w:pPr>
        <w:pStyle w:val="Heading2"/>
      </w:pPr>
      <w:r>
        <w:t>Weapons and Munitions Stockpile</w:t>
      </w:r>
    </w:p>
    <w:p>
      <w:r>
        <w:t>The Gripen carries weapons via standard pylons, LO pylons, CFT-integrated stations, and the SIWP-39 pod. Primary armament includes:</w:t>
      </w:r>
    </w:p>
    <w:tbl>
      <w:tblPr>
        <w:tblW w:w="5000" w:type="pct"/>
        <w:tblBorders>
          <w:top w:val="single" w:color="3D5A80" w:sz="12"/>
          <w:left w:val="nil"/>
          <w:bottom w:val="single" w:color="3D5A80" w:sz="12"/>
          <w:right w:val="nil"/>
          <w:insideH w:val="single" w:color="C8D5E0" w:sz="4"/>
          <w:insideV w:val="nil"/>
        </w:tblBorders>
      </w:tblPr>
      <w:tblGrid>
        <w:gridCol w:w="25"/>
        <w:gridCol w:w="35"/>
        <w:gridCol w:w="20"/>
        <w:gridCol w:w="20"/>
      </w:tblGrid>
      <w:tr>
        <w:trPr>
          <w:tblHeader/>
        </w:trPr>
        <w:tc>
          <w:tcPr>
            <w:tcW w:w="25" w:type="pct"/>
            <w:shd w:val="clear" w:fill="E8EDF2"/>
          </w:tcPr>
          <w:p>
            <w:pPr>
              <w:spacing w:before="40" w:after="40"/>
              <w:jc w:val="center"/>
            </w:pPr>
            <w:r>
              <w:rPr>
                <w:b/>
                <w:color w:val="1D2D3D"/>
                <w:sz w:val="20"/>
              </w:rPr>
              <w:t>Weapon</w:t>
            </w:r>
          </w:p>
        </w:tc>
        <w:tc>
          <w:tcPr>
            <w:tcW w:w="35" w:type="pct"/>
            <w:shd w:val="clear" w:fill="E8EDF2"/>
          </w:tcPr>
          <w:p>
            <w:pPr>
              <w:spacing w:before="40" w:after="40"/>
              <w:jc w:val="center"/>
            </w:pPr>
            <w:r>
              <w:rPr>
                <w:b/>
                <w:color w:val="1D2D3D"/>
                <w:sz w:val="20"/>
              </w:rPr>
              <w:t>Description</w:t>
            </w:r>
          </w:p>
        </w:tc>
        <w:tc>
          <w:tcPr>
            <w:tcW w:w="20" w:type="pct"/>
            <w:shd w:val="clear" w:fill="E8EDF2"/>
          </w:tcPr>
          <w:p>
            <w:pPr>
              <w:spacing w:before="40" w:after="40"/>
              <w:jc w:val="center"/>
            </w:pPr>
            <w:r>
              <w:rPr>
                <w:b/>
                <w:color w:val="1D2D3D"/>
                <w:sz w:val="20"/>
              </w:rPr>
              <w:t>Unit Cost</w:t>
            </w:r>
          </w:p>
        </w:tc>
        <w:tc>
          <w:tcPr>
            <w:tcW w:w="20" w:type="pct"/>
            <w:shd w:val="clear" w:fill="E8EDF2"/>
          </w:tcPr>
          <w:p>
            <w:pPr>
              <w:spacing w:before="40" w:after="40"/>
              <w:jc w:val="center"/>
            </w:pPr>
            <w:r>
              <w:rPr>
                <w:b/>
                <w:color w:val="1D2D3D"/>
                <w:sz w:val="20"/>
              </w:rPr>
              <w:t>Total Cost</w:t>
            </w:r>
          </w:p>
        </w:tc>
      </w:tr>
      <w:tr>
        <w:tc>
          <w:tcPr>
            <w:tcW w:w="25" w:type="pct"/>
          </w:tcPr>
          <w:p>
            <w:pPr>
              <w:spacing w:before="30" w:after="30"/>
              <w:ind w:left="60"/>
            </w:pPr>
            <w:r>
              <w:rPr>
                <w:color w:val="4A5568"/>
                <w:sz w:val="20"/>
              </w:rPr>
              <w:t>MBDA Meteor</w:t>
            </w:r>
          </w:p>
        </w:tc>
        <w:tc>
          <w:tcPr>
            <w:tcW w:w="35" w:type="pct"/>
          </w:tcPr>
          <w:p>
            <w:pPr>
              <w:spacing w:before="30" w:after="30"/>
              <w:ind w:left="60"/>
            </w:pPr>
            <w:r>
              <w:rPr>
                <w:color w:val="4A5568"/>
                <w:sz w:val="20"/>
              </w:rPr>
              <w:t>BVR A2A, 150+ km, ramjet</w:t>
            </w:r>
          </w:p>
        </w:tc>
        <w:tc>
          <w:tcPr>
            <w:tcW w:w="20" w:type="pct"/>
          </w:tcPr>
          <w:p>
            <w:pPr>
              <w:spacing w:before="30" w:after="30"/>
              <w:ind w:left="60"/>
            </w:pPr>
            <w:r>
              <w:rPr>
                <w:color w:val="4A5568"/>
                <w:sz w:val="20"/>
              </w:rPr>
              <w:t>$2.85M</w:t>
            </w:r>
          </w:p>
        </w:tc>
        <w:tc>
          <w:tcPr>
            <w:tcW w:w="20" w:type="pct"/>
          </w:tcPr>
          <w:p>
            <w:pPr>
              <w:spacing w:before="30" w:after="30"/>
              <w:ind w:left="60"/>
            </w:pPr>
            <w:r>
              <w:rPr>
                <w:color w:val="4A5568"/>
                <w:sz w:val="20"/>
              </w:rPr>
              <w:t>$1,368M</w:t>
            </w:r>
          </w:p>
        </w:tc>
      </w:tr>
      <w:tr>
        <w:tc>
          <w:tcPr>
            <w:tcW w:w="25" w:type="pct"/>
          </w:tcPr>
          <w:p>
            <w:pPr>
              <w:spacing w:before="30" w:after="30"/>
              <w:ind w:left="60"/>
            </w:pPr>
            <w:r>
              <w:rPr>
                <w:color w:val="4A5568"/>
                <w:sz w:val="20"/>
              </w:rPr>
              <w:t>IRIS-T</w:t>
            </w:r>
          </w:p>
        </w:tc>
        <w:tc>
          <w:tcPr>
            <w:tcW w:w="35" w:type="pct"/>
          </w:tcPr>
          <w:p>
            <w:pPr>
              <w:spacing w:before="30" w:after="30"/>
              <w:ind w:left="60"/>
            </w:pPr>
            <w:r>
              <w:rPr>
                <w:color w:val="4A5568"/>
                <w:sz w:val="20"/>
              </w:rPr>
              <w:t>WVR A2A, 25 km, IIR</w:t>
            </w:r>
          </w:p>
        </w:tc>
        <w:tc>
          <w:tcPr>
            <w:tcW w:w="20" w:type="pct"/>
          </w:tcPr>
          <w:p>
            <w:pPr>
              <w:spacing w:before="30" w:after="30"/>
              <w:ind w:left="60"/>
            </w:pPr>
            <w:r>
              <w:rPr>
                <w:color w:val="4A5568"/>
                <w:sz w:val="20"/>
              </w:rPr>
              <w:t>$485K</w:t>
            </w:r>
          </w:p>
        </w:tc>
        <w:tc>
          <w:tcPr>
            <w:tcW w:w="20" w:type="pct"/>
          </w:tcPr>
          <w:p>
            <w:pPr>
              <w:spacing w:before="30" w:after="30"/>
              <w:ind w:left="60"/>
            </w:pPr>
            <w:r>
              <w:rPr>
                <w:color w:val="4A5568"/>
                <w:sz w:val="20"/>
              </w:rPr>
              <w:t>$69.8M</w:t>
            </w:r>
          </w:p>
        </w:tc>
      </w:tr>
      <w:tr>
        <w:tc>
          <w:tcPr>
            <w:tcW w:w="25" w:type="pct"/>
          </w:tcPr>
          <w:p>
            <w:pPr>
              <w:spacing w:before="30" w:after="30"/>
              <w:ind w:left="60"/>
            </w:pPr>
            <w:r>
              <w:rPr>
                <w:color w:val="4A5568"/>
                <w:sz w:val="20"/>
              </w:rPr>
              <w:t>AIM-120D3 AMRAAM</w:t>
            </w:r>
          </w:p>
        </w:tc>
        <w:tc>
          <w:tcPr>
            <w:tcW w:w="35" w:type="pct"/>
          </w:tcPr>
          <w:p>
            <w:pPr>
              <w:spacing w:before="30" w:after="30"/>
              <w:ind w:left="60"/>
            </w:pPr>
            <w:r>
              <w:rPr>
                <w:color w:val="4A5568"/>
                <w:sz w:val="20"/>
              </w:rPr>
              <w:t>BVR A2A, 160+ km</w:t>
            </w:r>
          </w:p>
        </w:tc>
        <w:tc>
          <w:tcPr>
            <w:tcW w:w="20" w:type="pct"/>
          </w:tcPr>
          <w:p>
            <w:pPr>
              <w:spacing w:before="30" w:after="30"/>
              <w:ind w:left="60"/>
            </w:pPr>
            <w:r>
              <w:rPr>
                <w:color w:val="4A5568"/>
                <w:sz w:val="20"/>
              </w:rPr>
              <w:t>$1.85M</w:t>
            </w:r>
          </w:p>
        </w:tc>
        <w:tc>
          <w:tcPr>
            <w:tcW w:w="20" w:type="pct"/>
          </w:tcPr>
          <w:p>
            <w:pPr>
              <w:spacing w:before="30" w:after="30"/>
              <w:ind w:left="60"/>
            </w:pPr>
            <w:r>
              <w:rPr>
                <w:color w:val="4A5568"/>
                <w:sz w:val="20"/>
              </w:rPr>
              <w:t>$133.2M</w:t>
            </w:r>
          </w:p>
        </w:tc>
      </w:tr>
      <w:tr>
        <w:tc>
          <w:tcPr>
            <w:tcW w:w="25" w:type="pct"/>
          </w:tcPr>
          <w:p>
            <w:pPr>
              <w:spacing w:before="30" w:after="30"/>
              <w:ind w:left="60"/>
            </w:pPr>
            <w:r>
              <w:rPr>
                <w:color w:val="4A5568"/>
                <w:sz w:val="20"/>
              </w:rPr>
              <w:t>GBU-39/B SDB</w:t>
            </w:r>
          </w:p>
        </w:tc>
        <w:tc>
          <w:tcPr>
            <w:tcW w:w="35" w:type="pct"/>
          </w:tcPr>
          <w:p>
            <w:pPr>
              <w:spacing w:before="30" w:after="30"/>
              <w:ind w:left="60"/>
            </w:pPr>
            <w:r>
              <w:rPr>
                <w:color w:val="4A5568"/>
                <w:sz w:val="20"/>
              </w:rPr>
              <w:t>110 km glide, GPS/INS</w:t>
            </w:r>
          </w:p>
        </w:tc>
        <w:tc>
          <w:tcPr>
            <w:tcW w:w="20" w:type="pct"/>
          </w:tcPr>
          <w:p>
            <w:pPr>
              <w:spacing w:before="30" w:after="30"/>
              <w:ind w:left="60"/>
            </w:pPr>
            <w:r>
              <w:rPr>
                <w:color w:val="4A5568"/>
                <w:sz w:val="20"/>
              </w:rPr>
              <w:t>$285K</w:t>
            </w:r>
          </w:p>
        </w:tc>
        <w:tc>
          <w:tcPr>
            <w:tcW w:w="20" w:type="pct"/>
          </w:tcPr>
          <w:p>
            <w:pPr>
              <w:spacing w:before="30" w:after="30"/>
              <w:ind w:left="60"/>
            </w:pPr>
            <w:r>
              <w:rPr>
                <w:color w:val="4A5568"/>
                <w:sz w:val="20"/>
              </w:rPr>
              <w:t>$95.8M</w:t>
            </w:r>
          </w:p>
        </w:tc>
      </w:tr>
      <w:tr>
        <w:tc>
          <w:tcPr>
            <w:tcW w:w="25" w:type="pct"/>
          </w:tcPr>
          <w:p>
            <w:pPr>
              <w:spacing w:before="30" w:after="30"/>
              <w:ind w:left="60"/>
            </w:pPr>
            <w:r>
              <w:rPr>
                <w:color w:val="4A5568"/>
                <w:sz w:val="20"/>
              </w:rPr>
              <w:t>GBU-53/B StormBreaker</w:t>
            </w:r>
          </w:p>
        </w:tc>
        <w:tc>
          <w:tcPr>
            <w:tcW w:w="35" w:type="pct"/>
          </w:tcPr>
          <w:p>
            <w:pPr>
              <w:spacing w:before="30" w:after="30"/>
              <w:ind w:left="60"/>
            </w:pPr>
            <w:r>
              <w:rPr>
                <w:color w:val="4A5568"/>
                <w:sz w:val="20"/>
              </w:rPr>
              <w:t>110 km tri-mode</w:t>
            </w:r>
          </w:p>
        </w:tc>
        <w:tc>
          <w:tcPr>
            <w:tcW w:w="20" w:type="pct"/>
          </w:tcPr>
          <w:p>
            <w:pPr>
              <w:spacing w:before="30" w:after="30"/>
              <w:ind w:left="60"/>
            </w:pPr>
            <w:r>
              <w:rPr>
                <w:color w:val="4A5568"/>
                <w:sz w:val="20"/>
              </w:rPr>
              <w:t>$485K</w:t>
            </w:r>
          </w:p>
        </w:tc>
        <w:tc>
          <w:tcPr>
            <w:tcW w:w="20" w:type="pct"/>
          </w:tcPr>
          <w:p>
            <w:pPr>
              <w:spacing w:before="30" w:after="30"/>
              <w:ind w:left="60"/>
            </w:pPr>
            <w:r>
              <w:rPr>
                <w:color w:val="4A5568"/>
                <w:sz w:val="20"/>
              </w:rPr>
              <w:t>$81.5M</w:t>
            </w:r>
          </w:p>
        </w:tc>
      </w:tr>
      <w:tr>
        <w:tc>
          <w:tcPr>
            <w:tcW w:w="25" w:type="pct"/>
          </w:tcPr>
          <w:p>
            <w:pPr>
              <w:spacing w:before="30" w:after="30"/>
              <w:ind w:left="60"/>
            </w:pPr>
            <w:r>
              <w:rPr>
                <w:color w:val="4A5568"/>
                <w:sz w:val="20"/>
              </w:rPr>
              <w:t>SPEAR 3</w:t>
            </w:r>
          </w:p>
        </w:tc>
        <w:tc>
          <w:tcPr>
            <w:tcW w:w="35" w:type="pct"/>
          </w:tcPr>
          <w:p>
            <w:pPr>
              <w:spacing w:before="30" w:after="30"/>
              <w:ind w:left="60"/>
            </w:pPr>
            <w:r>
              <w:rPr>
                <w:color w:val="4A5568"/>
                <w:sz w:val="20"/>
              </w:rPr>
              <w:t>140 km powered</w:t>
            </w:r>
          </w:p>
        </w:tc>
        <w:tc>
          <w:tcPr>
            <w:tcW w:w="20" w:type="pct"/>
          </w:tcPr>
          <w:p>
            <w:pPr>
              <w:spacing w:before="30" w:after="30"/>
              <w:ind w:left="60"/>
            </w:pPr>
            <w:r>
              <w:rPr>
                <w:color w:val="4A5568"/>
                <w:sz w:val="20"/>
              </w:rPr>
              <w:t>$685K</w:t>
            </w:r>
          </w:p>
        </w:tc>
        <w:tc>
          <w:tcPr>
            <w:tcW w:w="20" w:type="pct"/>
          </w:tcPr>
          <w:p>
            <w:pPr>
              <w:spacing w:before="30" w:after="30"/>
              <w:ind w:left="60"/>
            </w:pPr>
            <w:r>
              <w:rPr>
                <w:color w:val="4A5568"/>
                <w:sz w:val="20"/>
              </w:rPr>
              <w:t>$115.1M</w:t>
            </w:r>
          </w:p>
        </w:tc>
      </w:tr>
      <w:tr>
        <w:tc>
          <w:tcPr>
            <w:tcW w:w="25" w:type="pct"/>
          </w:tcPr>
          <w:p>
            <w:pPr>
              <w:spacing w:before="30" w:after="30"/>
              <w:ind w:left="60"/>
            </w:pPr>
            <w:r>
              <w:rPr>
                <w:color w:val="4A5568"/>
                <w:sz w:val="20"/>
              </w:rPr>
              <w:t>JASSM-ER</w:t>
            </w:r>
          </w:p>
        </w:tc>
        <w:tc>
          <w:tcPr>
            <w:tcW w:w="35" w:type="pct"/>
          </w:tcPr>
          <w:p>
            <w:pPr>
              <w:spacing w:before="30" w:after="30"/>
              <w:ind w:left="60"/>
            </w:pPr>
            <w:r>
              <w:rPr>
                <w:color w:val="4A5568"/>
                <w:sz w:val="20"/>
              </w:rPr>
              <w:t>900+ km standoff</w:t>
            </w:r>
          </w:p>
        </w:tc>
        <w:tc>
          <w:tcPr>
            <w:tcW w:w="20" w:type="pct"/>
          </w:tcPr>
          <w:p>
            <w:pPr>
              <w:spacing w:before="30" w:after="30"/>
              <w:ind w:left="60"/>
            </w:pPr>
            <w:r>
              <w:rPr>
                <w:color w:val="4A5568"/>
                <w:sz w:val="20"/>
              </w:rPr>
              <w:t>$2.45M</w:t>
            </w:r>
          </w:p>
        </w:tc>
        <w:tc>
          <w:tcPr>
            <w:tcW w:w="20" w:type="pct"/>
          </w:tcPr>
          <w:p>
            <w:pPr>
              <w:spacing w:before="30" w:after="30"/>
              <w:ind w:left="60"/>
            </w:pPr>
            <w:r>
              <w:rPr>
                <w:color w:val="4A5568"/>
                <w:sz w:val="20"/>
              </w:rPr>
              <w:t>$147M</w:t>
            </w:r>
          </w:p>
        </w:tc>
      </w:tr>
    </w:tbl>
    <w:p>
      <w:pPr>
        <w:spacing w:after="120"/>
      </w:pPr>
    </w:p>
    <w:p>
      <w:pPr>
        <w:pStyle w:val="Heading2"/>
      </w:pPr>
      <w:r>
        <w:t>Risk Assessment</w:t>
      </w:r>
    </w:p>
    <w:tbl>
      <w:tblPr>
        <w:tblW w:w="5000" w:type="pct"/>
        <w:tblBorders>
          <w:top w:val="single" w:color="3D5A80" w:sz="12"/>
          <w:left w:val="nil"/>
          <w:bottom w:val="single" w:color="3D5A80" w:sz="12"/>
          <w:right w:val="nil"/>
          <w:insideH w:val="single" w:color="C8D5E0" w:sz="4"/>
          <w:insideV w:val="nil"/>
        </w:tblBorders>
      </w:tblPr>
      <w:tblGrid>
        <w:gridCol w:w="30"/>
        <w:gridCol w:w="15"/>
        <w:gridCol w:w="15"/>
        <w:gridCol w:w="40"/>
      </w:tblGrid>
      <w:tr>
        <w:trPr>
          <w:tblHeader/>
        </w:trPr>
        <w:tc>
          <w:tcPr>
            <w:tcW w:w="30" w:type="pct"/>
            <w:shd w:val="clear" w:fill="E8EDF2"/>
          </w:tcPr>
          <w:p>
            <w:pPr>
              <w:spacing w:before="40" w:after="40"/>
              <w:jc w:val="center"/>
            </w:pPr>
            <w:r>
              <w:rPr>
                <w:b/>
                <w:color w:val="1D2D3D"/>
                <w:sz w:val="20"/>
              </w:rPr>
              <w:t>Risk</w:t>
            </w:r>
          </w:p>
        </w:tc>
        <w:tc>
          <w:tcPr>
            <w:tcW w:w="15" w:type="pct"/>
            <w:shd w:val="clear" w:fill="E8EDF2"/>
          </w:tcPr>
          <w:p>
            <w:pPr>
              <w:spacing w:before="40" w:after="40"/>
              <w:jc w:val="center"/>
            </w:pPr>
            <w:r>
              <w:rPr>
                <w:b/>
                <w:color w:val="1D2D3D"/>
                <w:sz w:val="20"/>
              </w:rPr>
              <w:t>Severity</w:t>
            </w:r>
          </w:p>
        </w:tc>
        <w:tc>
          <w:tcPr>
            <w:tcW w:w="15" w:type="pct"/>
            <w:shd w:val="clear" w:fill="E8EDF2"/>
          </w:tcPr>
          <w:p>
            <w:pPr>
              <w:spacing w:before="40" w:after="40"/>
              <w:jc w:val="center"/>
            </w:pPr>
            <w:r>
              <w:rPr>
                <w:b/>
                <w:color w:val="1D2D3D"/>
                <w:sz w:val="20"/>
              </w:rPr>
              <w:t>Likelihood</w:t>
            </w:r>
          </w:p>
        </w:tc>
        <w:tc>
          <w:tcPr>
            <w:tcW w:w="40" w:type="pct"/>
            <w:shd w:val="clear" w:fill="E8EDF2"/>
          </w:tcPr>
          <w:p>
            <w:pPr>
              <w:spacing w:before="40" w:after="40"/>
              <w:jc w:val="center"/>
            </w:pPr>
            <w:r>
              <w:rPr>
                <w:b/>
                <w:color w:val="1D2D3D"/>
                <w:sz w:val="20"/>
              </w:rPr>
              <w:t>Mitigation</w:t>
            </w:r>
          </w:p>
        </w:tc>
      </w:tr>
      <w:tr>
        <w:tc>
          <w:tcPr>
            <w:tcW w:w="30" w:type="pct"/>
          </w:tcPr>
          <w:p>
            <w:pPr>
              <w:spacing w:before="30" w:after="30"/>
              <w:ind w:left="60"/>
            </w:pPr>
            <w:r>
              <w:rPr>
                <w:color w:val="4A5568"/>
                <w:sz w:val="20"/>
              </w:rPr>
              <w:t>Single-source engine (GE)</w:t>
            </w:r>
          </w:p>
        </w:tc>
        <w:tc>
          <w:tcPr>
            <w:tcW w:w="15" w:type="pct"/>
          </w:tcPr>
          <w:p>
            <w:pPr>
              <w:spacing w:before="30" w:after="30"/>
              <w:ind w:left="60"/>
            </w:pPr>
            <w:r>
              <w:rPr>
                <w:color w:val="4A5568"/>
                <w:sz w:val="20"/>
              </w:rPr>
              <w:t>Critical</w:t>
            </w:r>
          </w:p>
        </w:tc>
        <w:tc>
          <w:tcPr>
            <w:tcW w:w="15" w:type="pct"/>
          </w:tcPr>
          <w:p>
            <w:pPr>
              <w:spacing w:before="30" w:after="30"/>
              <w:ind w:left="60"/>
            </w:pPr>
            <w:r>
              <w:rPr>
                <w:color w:val="4A5568"/>
                <w:sz w:val="20"/>
              </w:rPr>
              <w:t>Medium</w:t>
            </w:r>
          </w:p>
        </w:tc>
        <w:tc>
          <w:tcPr>
            <w:tcW w:w="40" w:type="pct"/>
          </w:tcPr>
          <w:p>
            <w:pPr>
              <w:spacing w:before="30" w:after="30"/>
              <w:ind w:left="60"/>
            </w:pPr>
            <w:r>
              <w:rPr>
                <w:color w:val="4A5568"/>
                <w:sz w:val="20"/>
              </w:rPr>
              <w:t>10 engine spares; P&amp;WC Montreal overhaul</w:t>
            </w:r>
          </w:p>
        </w:tc>
      </w:tr>
      <w:tr>
        <w:tc>
          <w:tcPr>
            <w:tcW w:w="30" w:type="pct"/>
          </w:tcPr>
          <w:p>
            <w:pPr>
              <w:spacing w:before="30" w:after="30"/>
              <w:ind w:left="60"/>
            </w:pPr>
            <w:r>
              <w:rPr>
                <w:color w:val="4A5568"/>
                <w:sz w:val="20"/>
              </w:rPr>
              <w:t>CS-RAM material availability</w:t>
            </w:r>
          </w:p>
        </w:tc>
        <w:tc>
          <w:tcPr>
            <w:tcW w:w="15" w:type="pct"/>
          </w:tcPr>
          <w:p>
            <w:pPr>
              <w:spacing w:before="30" w:after="30"/>
              <w:ind w:left="60"/>
            </w:pPr>
            <w:r>
              <w:rPr>
                <w:color w:val="4A5568"/>
                <w:sz w:val="20"/>
              </w:rPr>
              <w:t>High</w:t>
            </w:r>
          </w:p>
        </w:tc>
        <w:tc>
          <w:tcPr>
            <w:tcW w:w="15" w:type="pct"/>
          </w:tcPr>
          <w:p>
            <w:pPr>
              <w:spacing w:before="30" w:after="30"/>
              <w:ind w:left="60"/>
            </w:pPr>
            <w:r>
              <w:rPr>
                <w:color w:val="4A5568"/>
                <w:sz w:val="20"/>
              </w:rPr>
              <w:t>Medium</w:t>
            </w:r>
          </w:p>
        </w:tc>
        <w:tc>
          <w:tcPr>
            <w:tcW w:w="40" w:type="pct"/>
          </w:tcPr>
          <w:p>
            <w:pPr>
              <w:spacing w:before="30" w:after="30"/>
              <w:ind w:left="60"/>
            </w:pPr>
            <w:r>
              <w:rPr>
                <w:color w:val="4A5568"/>
                <w:sz w:val="20"/>
              </w:rPr>
              <w:t>24-mo forward buy; domestic qualification</w:t>
            </w:r>
          </w:p>
        </w:tc>
      </w:tr>
      <w:tr>
        <w:tc>
          <w:tcPr>
            <w:tcW w:w="30" w:type="pct"/>
          </w:tcPr>
          <w:p>
            <w:pPr>
              <w:spacing w:before="30" w:after="30"/>
              <w:ind w:left="60"/>
            </w:pPr>
            <w:r>
              <w:rPr>
                <w:color w:val="4A5568"/>
                <w:sz w:val="20"/>
              </w:rPr>
              <w:t>CNT de-ice reliability</w:t>
            </w:r>
          </w:p>
        </w:tc>
        <w:tc>
          <w:tcPr>
            <w:tcW w:w="15" w:type="pct"/>
          </w:tcPr>
          <w:p>
            <w:pPr>
              <w:spacing w:before="30" w:after="30"/>
              <w:ind w:left="60"/>
            </w:pPr>
            <w:r>
              <w:rPr>
                <w:color w:val="4A5568"/>
                <w:sz w:val="20"/>
              </w:rPr>
              <w:t>High</w:t>
            </w:r>
          </w:p>
        </w:tc>
        <w:tc>
          <w:tcPr>
            <w:tcW w:w="15" w:type="pct"/>
          </w:tcPr>
          <w:p>
            <w:pPr>
              <w:spacing w:before="30" w:after="30"/>
              <w:ind w:left="60"/>
            </w:pPr>
            <w:r>
              <w:rPr>
                <w:color w:val="4A5568"/>
                <w:sz w:val="20"/>
              </w:rPr>
              <w:t>Medium</w:t>
            </w:r>
          </w:p>
        </w:tc>
        <w:tc>
          <w:tcPr>
            <w:tcW w:w="40" w:type="pct"/>
          </w:tcPr>
          <w:p>
            <w:pPr>
              <w:spacing w:before="30" w:after="30"/>
              <w:ind w:left="60"/>
            </w:pPr>
            <w:r>
              <w:rPr>
                <w:color w:val="4A5568"/>
                <w:sz w:val="20"/>
              </w:rPr>
              <w:t>Accelerated life testing; redundant zones</w:t>
            </w:r>
          </w:p>
        </w:tc>
      </w:tr>
      <w:tr>
        <w:tc>
          <w:tcPr>
            <w:tcW w:w="30" w:type="pct"/>
          </w:tcPr>
          <w:p>
            <w:pPr>
              <w:spacing w:before="30" w:after="30"/>
              <w:ind w:left="60"/>
            </w:pPr>
            <w:r>
              <w:rPr>
                <w:color w:val="4A5568"/>
                <w:sz w:val="20"/>
              </w:rPr>
              <w:t>Composite lead times</w:t>
            </w:r>
          </w:p>
        </w:tc>
        <w:tc>
          <w:tcPr>
            <w:tcW w:w="15" w:type="pct"/>
          </w:tcPr>
          <w:p>
            <w:pPr>
              <w:spacing w:before="30" w:after="30"/>
              <w:ind w:left="60"/>
            </w:pPr>
            <w:r>
              <w:rPr>
                <w:color w:val="4A5568"/>
                <w:sz w:val="20"/>
              </w:rPr>
              <w:t>High</w:t>
            </w:r>
          </w:p>
        </w:tc>
        <w:tc>
          <w:tcPr>
            <w:tcW w:w="15" w:type="pct"/>
          </w:tcPr>
          <w:p>
            <w:pPr>
              <w:spacing w:before="30" w:after="30"/>
              <w:ind w:left="60"/>
            </w:pPr>
            <w:r>
              <w:rPr>
                <w:color w:val="4A5568"/>
                <w:sz w:val="20"/>
              </w:rPr>
              <w:t>Medium</w:t>
            </w:r>
          </w:p>
        </w:tc>
        <w:tc>
          <w:tcPr>
            <w:tcW w:w="40" w:type="pct"/>
          </w:tcPr>
          <w:p>
            <w:pPr>
              <w:spacing w:before="30" w:after="30"/>
              <w:ind w:left="60"/>
            </w:pPr>
            <w:r>
              <w:rPr>
                <w:color w:val="4A5568"/>
                <w:sz w:val="20"/>
              </w:rPr>
              <w:t>Production slot reservations; Saab surge 2 AC/mo</w:t>
            </w:r>
          </w:p>
        </w:tc>
      </w:tr>
      <w:tr>
        <w:tc>
          <w:tcPr>
            <w:tcW w:w="30" w:type="pct"/>
          </w:tcPr>
          <w:p>
            <w:pPr>
              <w:spacing w:before="30" w:after="30"/>
              <w:ind w:left="60"/>
            </w:pPr>
            <w:r>
              <w:rPr>
                <w:color w:val="4A5568"/>
                <w:sz w:val="20"/>
              </w:rPr>
              <w:t>Arctic cold-weather impact</w:t>
            </w:r>
          </w:p>
        </w:tc>
        <w:tc>
          <w:tcPr>
            <w:tcW w:w="15" w:type="pct"/>
          </w:tcPr>
          <w:p>
            <w:pPr>
              <w:spacing w:before="30" w:after="30"/>
              <w:ind w:left="60"/>
            </w:pPr>
            <w:r>
              <w:rPr>
                <w:color w:val="4A5568"/>
                <w:sz w:val="20"/>
              </w:rPr>
              <w:t>Medium</w:t>
            </w:r>
          </w:p>
        </w:tc>
        <w:tc>
          <w:tcPr>
            <w:tcW w:w="15" w:type="pct"/>
          </w:tcPr>
          <w:p>
            <w:pPr>
              <w:spacing w:before="30" w:after="30"/>
              <w:ind w:left="60"/>
            </w:pPr>
            <w:r>
              <w:rPr>
                <w:color w:val="4A5568"/>
                <w:sz w:val="20"/>
              </w:rPr>
              <w:t>High</w:t>
            </w:r>
          </w:p>
        </w:tc>
        <w:tc>
          <w:tcPr>
            <w:tcW w:w="40" w:type="pct"/>
          </w:tcPr>
          <w:p>
            <w:pPr>
              <w:spacing w:before="30" w:after="30"/>
              <w:ind w:left="60"/>
            </w:pPr>
            <w:r>
              <w:rPr>
                <w:color w:val="4A5568"/>
                <w:sz w:val="20"/>
              </w:rPr>
              <w:t>CS-RAM qualified; heated storage; FFKM seals</w:t>
            </w:r>
          </w:p>
        </w:tc>
      </w:tr>
      <w:tr>
        <w:tc>
          <w:tcPr>
            <w:tcW w:w="30" w:type="pct"/>
          </w:tcPr>
          <w:p>
            <w:pPr>
              <w:spacing w:before="30" w:after="30"/>
              <w:ind w:left="60"/>
            </w:pPr>
            <w:r>
              <w:rPr>
                <w:color w:val="4A5568"/>
                <w:sz w:val="20"/>
              </w:rPr>
              <w:t>SIWP-39 certification</w:t>
            </w:r>
          </w:p>
        </w:tc>
        <w:tc>
          <w:tcPr>
            <w:tcW w:w="15" w:type="pct"/>
          </w:tcPr>
          <w:p>
            <w:pPr>
              <w:spacing w:before="30" w:after="30"/>
              <w:ind w:left="60"/>
            </w:pPr>
            <w:r>
              <w:rPr>
                <w:color w:val="4A5568"/>
                <w:sz w:val="20"/>
              </w:rPr>
              <w:t>High</w:t>
            </w:r>
          </w:p>
        </w:tc>
        <w:tc>
          <w:tcPr>
            <w:tcW w:w="15" w:type="pct"/>
          </w:tcPr>
          <w:p>
            <w:pPr>
              <w:spacing w:before="30" w:after="30"/>
              <w:ind w:left="60"/>
            </w:pPr>
            <w:r>
              <w:rPr>
                <w:color w:val="4A5568"/>
                <w:sz w:val="20"/>
              </w:rPr>
              <w:t>Medium</w:t>
            </w:r>
          </w:p>
        </w:tc>
        <w:tc>
          <w:tcPr>
            <w:tcW w:w="40" w:type="pct"/>
          </w:tcPr>
          <w:p>
            <w:pPr>
              <w:spacing w:before="30" w:after="30"/>
              <w:ind w:left="60"/>
            </w:pPr>
            <w:r>
              <w:rPr>
                <w:color w:val="4A5568"/>
                <w:sz w:val="20"/>
              </w:rPr>
              <w:t>Flight test program Eielson/Bodoe; 8-month schedule</w:t>
            </w:r>
          </w:p>
        </w:tc>
      </w:tr>
      <w:tr>
        <w:tc>
          <w:tcPr>
            <w:tcW w:w="30" w:type="pct"/>
          </w:tcPr>
          <w:p>
            <w:pPr>
              <w:spacing w:before="30" w:after="30"/>
              <w:ind w:left="60"/>
            </w:pPr>
            <w:r>
              <w:rPr>
                <w:color w:val="4A5568"/>
                <w:sz w:val="20"/>
              </w:rPr>
              <w:t>Export control (ITAR)</w:t>
            </w:r>
          </w:p>
        </w:tc>
        <w:tc>
          <w:tcPr>
            <w:tcW w:w="15" w:type="pct"/>
          </w:tcPr>
          <w:p>
            <w:pPr>
              <w:spacing w:before="30" w:after="30"/>
              <w:ind w:left="60"/>
            </w:pPr>
            <w:r>
              <w:rPr>
                <w:color w:val="4A5568"/>
                <w:sz w:val="20"/>
              </w:rPr>
              <w:t>Critical</w:t>
            </w:r>
          </w:p>
        </w:tc>
        <w:tc>
          <w:tcPr>
            <w:tcW w:w="15" w:type="pct"/>
          </w:tcPr>
          <w:p>
            <w:pPr>
              <w:spacing w:before="30" w:after="30"/>
              <w:ind w:left="60"/>
            </w:pPr>
            <w:r>
              <w:rPr>
                <w:color w:val="4A5568"/>
                <w:sz w:val="20"/>
              </w:rPr>
              <w:t>Low</w:t>
            </w:r>
          </w:p>
        </w:tc>
        <w:tc>
          <w:tcPr>
            <w:tcW w:w="40" w:type="pct"/>
          </w:tcPr>
          <w:p>
            <w:pPr>
              <w:spacing w:before="30" w:after="30"/>
              <w:ind w:left="60"/>
            </w:pPr>
            <w:r>
              <w:rPr>
                <w:color w:val="4A5568"/>
                <w:sz w:val="20"/>
              </w:rPr>
              <w:t>Pre-negotiated TAA; NORAD exemption pathway</w:t>
            </w:r>
          </w:p>
        </w:tc>
      </w:tr>
    </w:tbl>
    <w:p>
      <w:pPr>
        <w:spacing w:after="120"/>
      </w:pPr>
    </w:p>
    <w:p>
      <w:pPr>
        <w:pStyle w:val="Heading2"/>
      </w:pPr>
      <w:r>
        <w:t>Implementation Timeline</w:t>
      </w:r>
    </w:p>
    <w:p>
      <w:pPr>
        <w:spacing w:after="80"/>
        <w:ind w:left="720" w:hanging="360"/>
      </w:pPr>
      <w:r>
        <w:t>•  Q3 2026: Award GSE and training contracts ($244.2M)</w:t>
      </w:r>
    </w:p>
    <w:p>
      <w:pPr>
        <w:spacing w:after="80"/>
        <w:ind w:left="720" w:hanging="360"/>
      </w:pPr>
      <w:r>
        <w:t>•  Q4 2026: Begin spares procurement; Mirabel depot construction start</w:t>
      </w:r>
    </w:p>
    <w:p>
      <w:pPr>
        <w:spacing w:after="80"/>
        <w:ind w:left="720" w:hanging="360"/>
      </w:pPr>
      <w:r>
        <w:t>•  Q1 2027: First training aircraft (6 airframes) to Cold Lake</w:t>
      </w:r>
    </w:p>
    <w:p>
      <w:pPr>
        <w:spacing w:after="80"/>
        <w:ind w:left="720" w:hanging="360"/>
      </w:pPr>
      <w:r>
        <w:t>•  Q1 2028: IOC — 24 operational Gripens across 2 MOBs</w:t>
      </w:r>
    </w:p>
    <w:p>
      <w:pPr>
        <w:spacing w:after="80"/>
        <w:ind w:left="720" w:hanging="360"/>
      </w:pPr>
      <w:r>
        <w:t>•  Q2 2030: FOC — 48 operational Gripens, all 4 MOBs</w:t>
      </w:r>
    </w:p>
    <w:p>
      <w:pPr>
        <w:sectPr>
          <w:type w:val="nextPage"/>
          <w:pgSz w:w="11906" w:h="16838"/>
          <w:pgMar w:top="1440" w:right="1440" w:bottom="1440" w:left="1440" w:header="720" w:footer="720"/>
        </w:sectPr>
      </w:pPr>
    </w:p>
    <w:p>
      <w:pPr>
        <w:pStyle w:val="Heading1"/>
      </w:pPr>
      <w:r>
        <w:t>Document 7: Arctic Horizon War-Gaming Booklet</w:t>
      </w:r>
      <w:bookmarkStart w:name="_Doc07" w:id="8"/>
      <w:bookmarkEnd w:id="8"/>
    </w:p>
    <w:p>
      <w:r>
        <w:t>Operational Validation of the Canadian Manned-Unmanned Combat Air System | Document No.: CDR-WARGAME-2026-002 | Edition 2.1</w:t>
      </w:r>
    </w:p>
    <w:p>
      <w:pPr>
        <w:spacing w:after="240"/>
      </w:pPr>
    </w:p>
    <w:p>
      <w:pPr>
        <w:pStyle w:val="Heading2"/>
      </w:pPr>
      <w:r>
        <w:t>Executive Summary</w:t>
      </w:r>
    </w:p>
    <w:p>
      <w:r>
        <w:t>The Arctic Horizon concept — a networked team of the Saab JAS 39 Gripen E (Arctic), 60 attritable Sprinter tactical UAVs, and 48 survivable Striker loyal wingmen — is operationally viable across the full spectrum of anticipated Canadian Arctic missions.</w:t>
      </w:r>
    </w:p>
    <w:p>
      <w:r>
        <w:t>This edition reflects the validated operational parameters from War-Gaming Scenario 1B, with the force structure established at 48/60/48 (Gripen/Sprinter/Striker).</w:t>
      </w:r>
    </w:p>
    <w:p>
      <w:r>
        <w:t>Across six war-gamed scenarios resolved with the Combat Resolution Engine (CRE v2), the system achieved its mission objective in every case and lost zero manned aircraft wherever emissions discipline and standoff tactics were maintained. Sprinter attrition in contested airspace is validated at 2-3% per sortie, enabling campaign durations of 12+ weeks.</w:t>
      </w:r>
    </w:p>
    <w:p>
      <w:pPr>
        <w:pStyle w:val="Heading3"/>
      </w:pPr>
      <w:r>
        <w:t>Key Findings</w:t>
      </w:r>
    </w:p>
    <w:p>
      <w:pPr>
        <w:spacing w:after="80"/>
        <w:ind w:left="720" w:hanging="360"/>
      </w:pPr>
      <w:r>
        <w:t>•  Operational viability confirmed across strike, patrol, anti-shipping, air defence, multi-vector, and counter-swarm missions</w:t>
      </w:r>
    </w:p>
    <w:p>
      <w:pPr>
        <w:spacing w:after="80"/>
        <w:ind w:left="720" w:hanging="360"/>
      </w:pPr>
      <w:r>
        <w:t>•  Sprinter loss rates of 2-3% per sortie in contested airspace</w:t>
      </w:r>
    </w:p>
    <w:p>
      <w:pPr>
        <w:spacing w:after="80"/>
        <w:ind w:left="720" w:hanging="360"/>
      </w:pPr>
      <w:r>
        <w:t>•  Campaign duration validated at 12+ weeks</w:t>
      </w:r>
    </w:p>
    <w:p>
      <w:pPr>
        <w:spacing w:after="80"/>
        <w:ind w:left="720" w:hanging="360"/>
      </w:pPr>
      <w:r>
        <w:t>•  ~88% sortie-generation advantage: ~124 effective daily sorties vs. 44-66 for an equivalent fifth-generation fleet</w:t>
      </w:r>
    </w:p>
    <w:p>
      <w:pPr>
        <w:spacing w:after="80"/>
        <w:ind w:left="720" w:hanging="360"/>
      </w:pPr>
      <w:r>
        <w:t>•  Critical vulnerability: datalink dependency — loss of a controlling Gripen forces Sprinter lost-link RTB within 5 minutes</w:t>
      </w:r>
    </w:p>
    <w:p>
      <w:pPr>
        <w:spacing w:after="80"/>
        <w:ind w:left="720" w:hanging="360"/>
      </w:pPr>
      <w:r>
        <w:t>•  Saturation under simultaneous fighter-plus-SAM attack remains a failure mode when suppression is incomplete</w:t>
      </w:r>
    </w:p>
    <w:p>
      <w:pPr>
        <w:spacing w:after="80"/>
        <w:ind w:left="720" w:hanging="360"/>
      </w:pPr>
      <w:r>
        <w:t>•  System acquisition cost: ~$9.24B CAD vs. ~$19B for fifth-generation-only alternative</w:t>
      </w:r>
    </w:p>
    <w:p>
      <w:pPr>
        <w:pStyle w:val="Heading2"/>
      </w:pPr>
      <w:r>
        <w:t>Combat Resolution Engine (CRE v2)</w:t>
      </w:r>
    </w:p>
    <w:p>
      <w:r>
        <w:t>The CRE is a deterministic scenario engine wrapped in a probabilistic outcome layer, resolving engagements through five models: detection (radar range equation), IRST (thermal contrast), terrain masking (below 500 m AGL), missile flyout (time = range / avg velocity), and probability of kill (Pk = P(seek) x P(guide) x P(fuze)).</w:t>
      </w:r>
    </w:p>
    <w:p>
      <w:pPr>
        <w:pStyle w:val="Heading3"/>
      </w:pPr>
      <w:r>
        <w:t>Methodology</w:t>
      </w:r>
    </w:p>
    <w:p>
      <w:r>
        <w:t>The CRE v2 methodology includes a pre-Dash suppression phase validated through Scenario 1B:</w:t>
      </w:r>
    </w:p>
    <w:p>
      <w:pPr>
        <w:spacing w:after="80"/>
        <w:ind w:left="720" w:hanging="360"/>
      </w:pPr>
      <w:r>
        <w:t>•  Phase 0 (Suppression): Gripen launches Meteor/SPEAR 3/SDB against IADS before Sprinter penetration</w:t>
      </w:r>
    </w:p>
    <w:p>
      <w:pPr>
        <w:spacing w:after="80"/>
        <w:ind w:left="720" w:hanging="360"/>
      </w:pPr>
      <w:r>
        <w:t>•  IADS degradation: 40-60% reduction in SAM ready rounds per suppression wave</w:t>
      </w:r>
    </w:p>
    <w:p>
      <w:pPr>
        <w:spacing w:after="80"/>
        <w:ind w:left="720" w:hanging="360"/>
      </w:pPr>
      <w:r>
        <w:t>•  Sprinter Pk: 0.02-0.03 per engagement with pre-penetration suppression</w:t>
      </w:r>
    </w:p>
    <w:p>
      <w:pPr>
        <w:spacing w:after="80"/>
        <w:ind w:left="720" w:hanging="360"/>
      </w:pPr>
      <w:r>
        <w:t>•  Campaign endurance: 12+ weeks at 2-3% attrition</w:t>
      </w:r>
    </w:p>
    <w:p>
      <w:pPr>
        <w:pStyle w:val="Heading3"/>
      </w:pPr>
      <w:r>
        <w:t>Blue Force Structure</w:t>
      </w:r>
    </w:p>
    <w:tbl>
      <w:tblPr>
        <w:tblW w:w="5000" w:type="pct"/>
        <w:tblBorders>
          <w:top w:val="single" w:color="3D5A80" w:sz="12"/>
          <w:left w:val="nil"/>
          <w:bottom w:val="single" w:color="3D5A80" w:sz="12"/>
          <w:right w:val="nil"/>
          <w:insideH w:val="single" w:color="C8D5E0" w:sz="4"/>
          <w:insideV w:val="nil"/>
        </w:tblBorders>
      </w:tblPr>
      <w:tblGrid>
        <w:gridCol w:w="25"/>
        <w:gridCol w:w="15"/>
        <w:gridCol w:w="15"/>
        <w:gridCol w:w="45"/>
      </w:tblGrid>
      <w:tr>
        <w:trPr>
          <w:tblHeader/>
        </w:trPr>
        <w:tc>
          <w:tcPr>
            <w:tcW w:w="25" w:type="pct"/>
            <w:shd w:val="clear" w:fill="E8EDF2"/>
          </w:tcPr>
          <w:p>
            <w:pPr>
              <w:spacing w:before="40" w:after="40"/>
              <w:jc w:val="center"/>
            </w:pPr>
            <w:r>
              <w:rPr>
                <w:b/>
                <w:color w:val="1D2D3D"/>
                <w:sz w:val="20"/>
              </w:rPr>
              <w:t>Platform</w:t>
            </w:r>
          </w:p>
        </w:tc>
        <w:tc>
          <w:tcPr>
            <w:tcW w:w="15" w:type="pct"/>
            <w:shd w:val="clear" w:fill="E8EDF2"/>
          </w:tcPr>
          <w:p>
            <w:pPr>
              <w:spacing w:before="40" w:after="40"/>
              <w:jc w:val="center"/>
            </w:pPr>
            <w:r>
              <w:rPr>
                <w:b/>
                <w:color w:val="1D2D3D"/>
                <w:sz w:val="20"/>
              </w:rPr>
              <w:t>Qty</w:t>
            </w:r>
          </w:p>
        </w:tc>
        <w:tc>
          <w:tcPr>
            <w:tcW w:w="15" w:type="pct"/>
            <w:shd w:val="clear" w:fill="E8EDF2"/>
          </w:tcPr>
          <w:p>
            <w:pPr>
              <w:spacing w:before="40" w:after="40"/>
              <w:jc w:val="center"/>
            </w:pPr>
            <w:r>
              <w:rPr>
                <w:b/>
                <w:color w:val="1D2D3D"/>
                <w:sz w:val="20"/>
              </w:rPr>
              <w:t>Unit Cost</w:t>
            </w:r>
          </w:p>
        </w:tc>
        <w:tc>
          <w:tcPr>
            <w:tcW w:w="45" w:type="pct"/>
            <w:shd w:val="clear" w:fill="E8EDF2"/>
          </w:tcPr>
          <w:p>
            <w:pPr>
              <w:spacing w:before="40" w:after="40"/>
              <w:jc w:val="center"/>
            </w:pPr>
            <w:r>
              <w:rPr>
                <w:b/>
                <w:color w:val="1D2D3D"/>
                <w:sz w:val="20"/>
              </w:rPr>
              <w:t>Primary Role</w:t>
            </w:r>
          </w:p>
        </w:tc>
      </w:tr>
      <w:tr>
        <w:tc>
          <w:tcPr>
            <w:tcW w:w="25" w:type="pct"/>
          </w:tcPr>
          <w:p>
            <w:pPr>
              <w:spacing w:before="30" w:after="30"/>
              <w:ind w:left="60"/>
            </w:pPr>
            <w:r>
              <w:rPr>
                <w:color w:val="4A5568"/>
                <w:sz w:val="20"/>
              </w:rPr>
              <w:t>Arctic Gripen E</w:t>
            </w:r>
          </w:p>
        </w:tc>
        <w:tc>
          <w:tcPr>
            <w:tcW w:w="15" w:type="pct"/>
          </w:tcPr>
          <w:p>
            <w:pPr>
              <w:spacing w:before="30" w:after="30"/>
              <w:ind w:left="60"/>
            </w:pPr>
            <w:r>
              <w:rPr>
                <w:color w:val="4A5568"/>
                <w:sz w:val="20"/>
              </w:rPr>
              <w:t>48</w:t>
            </w:r>
          </w:p>
        </w:tc>
        <w:tc>
          <w:tcPr>
            <w:tcW w:w="15" w:type="pct"/>
          </w:tcPr>
          <w:p>
            <w:pPr>
              <w:spacing w:before="30" w:after="30"/>
              <w:ind w:left="60"/>
            </w:pPr>
            <w:r>
              <w:rPr>
                <w:color w:val="4A5568"/>
                <w:sz w:val="20"/>
              </w:rPr>
              <w:t>$89.85M</w:t>
            </w:r>
          </w:p>
        </w:tc>
        <w:tc>
          <w:tcPr>
            <w:tcW w:w="45" w:type="pct"/>
          </w:tcPr>
          <w:p>
            <w:pPr>
              <w:spacing w:before="30" w:after="30"/>
              <w:ind w:left="60"/>
            </w:pPr>
            <w:r>
              <w:rPr>
                <w:color w:val="4A5568"/>
                <w:sz w:val="20"/>
              </w:rPr>
              <w:t>Command, suppression, heavy strike, air defence</w:t>
            </w:r>
          </w:p>
        </w:tc>
      </w:tr>
      <w:tr>
        <w:tc>
          <w:tcPr>
            <w:tcW w:w="25" w:type="pct"/>
          </w:tcPr>
          <w:p>
            <w:pPr>
              <w:spacing w:before="30" w:after="30"/>
              <w:ind w:left="60"/>
            </w:pPr>
            <w:r>
              <w:rPr>
                <w:color w:val="4A5568"/>
                <w:sz w:val="20"/>
              </w:rPr>
              <w:t>Sprinter</w:t>
            </w:r>
          </w:p>
        </w:tc>
        <w:tc>
          <w:tcPr>
            <w:tcW w:w="15" w:type="pct"/>
          </w:tcPr>
          <w:p>
            <w:pPr>
              <w:spacing w:before="30" w:after="30"/>
              <w:ind w:left="60"/>
            </w:pPr>
            <w:r>
              <w:rPr>
                <w:color w:val="4A5568"/>
                <w:sz w:val="20"/>
              </w:rPr>
              <w:t>60</w:t>
            </w:r>
          </w:p>
        </w:tc>
        <w:tc>
          <w:tcPr>
            <w:tcW w:w="15" w:type="pct"/>
          </w:tcPr>
          <w:p>
            <w:pPr>
              <w:spacing w:before="30" w:after="30"/>
              <w:ind w:left="60"/>
            </w:pPr>
            <w:r>
              <w:rPr>
                <w:color w:val="4A5568"/>
                <w:sz w:val="20"/>
              </w:rPr>
              <w:t>$6.0M</w:t>
            </w:r>
          </w:p>
        </w:tc>
        <w:tc>
          <w:tcPr>
            <w:tcW w:w="45" w:type="pct"/>
          </w:tcPr>
          <w:p>
            <w:pPr>
              <w:spacing w:before="30" w:after="30"/>
              <w:ind w:left="60"/>
            </w:pPr>
            <w:r>
              <w:rPr>
                <w:color w:val="4A5568"/>
                <w:sz w:val="20"/>
              </w:rPr>
              <w:t>SEAD/DEAD, decoy, ISR, EW (post-suppression)</w:t>
            </w:r>
          </w:p>
        </w:tc>
      </w:tr>
      <w:tr>
        <w:tc>
          <w:tcPr>
            <w:tcW w:w="25" w:type="pct"/>
          </w:tcPr>
          <w:p>
            <w:pPr>
              <w:spacing w:before="30" w:after="30"/>
              <w:ind w:left="60"/>
            </w:pPr>
            <w:r>
              <w:rPr>
                <w:color w:val="4A5568"/>
                <w:sz w:val="20"/>
              </w:rPr>
              <w:t>Striker</w:t>
            </w:r>
          </w:p>
        </w:tc>
        <w:tc>
          <w:tcPr>
            <w:tcW w:w="15" w:type="pct"/>
          </w:tcPr>
          <w:p>
            <w:pPr>
              <w:spacing w:before="30" w:after="30"/>
              <w:ind w:left="60"/>
            </w:pPr>
            <w:r>
              <w:rPr>
                <w:color w:val="4A5568"/>
                <w:sz w:val="20"/>
              </w:rPr>
              <w:t>48</w:t>
            </w:r>
          </w:p>
        </w:tc>
        <w:tc>
          <w:tcPr>
            <w:tcW w:w="15" w:type="pct"/>
          </w:tcPr>
          <w:p>
            <w:pPr>
              <w:spacing w:before="30" w:after="30"/>
              <w:ind w:left="60"/>
            </w:pPr>
            <w:r>
              <w:rPr>
                <w:color w:val="4A5568"/>
                <w:sz w:val="20"/>
              </w:rPr>
              <w:t>$9.3M</w:t>
            </w:r>
          </w:p>
        </w:tc>
        <w:tc>
          <w:tcPr>
            <w:tcW w:w="45" w:type="pct"/>
          </w:tcPr>
          <w:p>
            <w:pPr>
              <w:spacing w:before="30" w:after="30"/>
              <w:ind w:left="60"/>
            </w:pPr>
            <w:r>
              <w:rPr>
                <w:color w:val="4A5568"/>
                <w:sz w:val="20"/>
              </w:rPr>
              <w:t>Precision strike, loyal wingman, EW</w:t>
            </w:r>
          </w:p>
        </w:tc>
      </w:tr>
    </w:tbl>
    <w:p>
      <w:pPr>
        <w:spacing w:after="120"/>
      </w:pPr>
    </w:p>
    <w:p>
      <w:pPr>
        <w:pStyle w:val="Heading2"/>
      </w:pPr>
      <w:r>
        <w:t>Scenario 1A: Novaya Zemlya Interdiction (Strike/SEAD — Without Pre-Penetration Suppression)</w:t>
      </w:r>
    </w:p>
    <w:p>
      <w:r>
        <w:t>Setting: Novaya Zemlya (73.3 deg N); S-400 battery with Pantsir point defence, 2x Su-35S QRA. Objective: Render S-400 non-operational for 24+ hours.</w:t>
      </w:r>
    </w:p>
    <w:p>
      <w:r>
        <w:t>Blue package: 2x Gripen, 4x Sprinter (2 EW, 2 A2A), 2x Striker (A2G: 4x SDB + 4x SPEAR 3 each). NO pre-Dash suppression.</w:t>
      </w:r>
    </w:p>
    <w:p>
      <w:r>
        <w:t>Outcome: MISSION SUCCESS WITH HIGH ATTRITION. S-400 battery 85% degraded. 2x Sprinters destroyed (50% of package). 1x Su-35 destroyed. Zero manned aircraft losses. Campaign sustainable for ~3 weeks at this attrition rate.</w:t>
      </w:r>
    </w:p>
    <w:p>
      <w:r>
        <w:t>Key insight: Without pre-penetration suppression, the Sprinter's frontal stealth compressed the S-400 timeline but the battery still fired multiple salvos, destroying 2 of 4 Sprinters.</w:t>
      </w:r>
    </w:p>
    <w:p>
      <w:pPr>
        <w:pStyle w:val="Heading2"/>
      </w:pPr>
      <w:r>
        <w:t>Scenario 1B: Novaya Zemlya Interdiction (With Pre-Penetration Suppression) — VALIDATED BASELINE</w:t>
      </w:r>
    </w:p>
    <w:p>
      <w:r>
        <w:t>Setting: Novaya Zemlya (73.3 deg N); S-400 battery with Pantsir point defence, 2x Su-35S QRA. Objective: Render S-400 non-operational for 24+ hours.</w:t>
      </w:r>
    </w:p>
    <w:p>
      <w:r>
        <w:t>Blue package: 2x Gripen (suppression), 4x Sprinter (2 EW, 2 A2A), 2x Striker (A2G: 4x SDB + 4x SPEAR 3 each). WITH pre-Dash Gripen suppression.</w:t>
      </w:r>
    </w:p>
    <w:p>
      <w:r>
        <w:t>Outcome: MISSION SUCCESS WITH LOW ATTRITION. S-400 battery 92% degraded (72-96 hours non-operational). 0x Sprinters destroyed. 1x Su-35 destroyed. Zero manned aircraft losses.</w:t>
      </w:r>
    </w:p>
    <w:p>
      <w:r>
        <w:t>Key insight: With pre-penetration suppression, the Gripen's SPEAR 3 and SDB strikes reduced the S-400 from 12 ready rounds to 4 before the Sprinters even launched. The remaining rounds were absorbed by Striker jamming. This is the validated operational baseline.</w:t>
      </w:r>
    </w:p>
    <w:p>
      <w:pPr>
        <w:pStyle w:val="Heading2"/>
      </w:pPr>
      <w:r>
        <w:t>Scenario 2: Fram Strait Patrol (Defensive Counter-Air)</w:t>
      </w:r>
    </w:p>
    <w:p>
      <w:r>
        <w:t>Setting: Fram Strait (78 deg N); open ocean. 2x Su-35S investigating Blue ISR activity. Blue: 1x Gripen, 2x Sprinter (ISR), 1x Striker (EW).</w:t>
      </w:r>
    </w:p>
    <w:p>
      <w:r>
        <w:t>Outcome: MISSION SUCCESS. 1x Su-35 destroyed by Meteor from 140 km (passive launch on IRST + Striker datalink). Airspace sanitised, zero Blue losses.</w:t>
      </w:r>
    </w:p>
    <w:p>
      <w:r>
        <w:t>Key insight: The 15-25% Arctic IRST advantage let Skyward-G detect Su-35s at 70-80% of radar range, enabling a passive kill chain.</w:t>
      </w:r>
    </w:p>
    <w:p>
      <w:pPr>
        <w:pStyle w:val="Heading2"/>
      </w:pPr>
      <w:r>
        <w:t>Scenario 3: Northern Sea Route Strike (Anti-Shipping)</w:t>
      </w:r>
    </w:p>
    <w:p>
      <w:r>
        <w:t>Setting: 300 nm north of Siberian coast (75 deg N). Target: Slava cruiser + Udaloy destroyer + HQ-9B shore battery + A-100 AEW.</w:t>
      </w:r>
    </w:p>
    <w:p>
      <w:r>
        <w:t>Outcome: MISSION SUCCESS. Cruiser mission-killed (70% degraded), destroyer 50% degraded, HQ-9B suppressed. 1x Striker graded YELLOW (EW heat damage).</w:t>
      </w:r>
    </w:p>
    <w:p>
      <w:r>
        <w:t>Key insight: Striker all-aspect stealth allowed SPEAR 3 release at 140 km without detection by shipboard S-300F.</w:t>
      </w:r>
    </w:p>
    <w:p>
      <w:pPr>
        <w:pStyle w:val="Heading2"/>
      </w:pPr>
      <w:r>
        <w:t>Scenario 4: Early-Warning Intercept (Air Defence)</w:t>
      </w:r>
    </w:p>
    <w:p>
      <w:r>
        <w:t>Setting: 150 nm north of Goose Bay (58 deg N). Target: 4x strategic bombers (2x Tu-95 + 2x Tu-160) approaching ADIZ.</w:t>
      </w:r>
    </w:p>
    <w:p>
      <w:r>
        <w:t>Outcome: PARTIAL SUCCESS. 2x Tu-95 destroyed, 1x Tu-160 damaged, 1x Tu-160 escaped. Zero cruise missiles released.</w:t>
      </w:r>
    </w:p>
    <w:p>
      <w:r>
        <w:t>Key insight: 12-minute Arctic cold-start at -25 deg C is decisive — a fifth-gen alternative often needs external heat carts below -20 deg C.</w:t>
      </w:r>
    </w:p>
    <w:p>
      <w:pPr>
        <w:pStyle w:val="Heading2"/>
      </w:pPr>
      <w:r>
        <w:t>Scenario 5: Dual-Threat Defence (Multi-Vector)</w:t>
      </w:r>
    </w:p>
    <w:p>
      <w:r>
        <w:t>Setting: Baffin Bay (70 deg N). Coordinated fighter-plus-SAM attack: 1x S-400, 2x Su-35S, 1x A-100. Most demanding scenario.</w:t>
      </w:r>
    </w:p>
    <w:p>
      <w:r>
        <w:t>Outcome: PARTIAL SUCCESS. Both Su-35s destroyed, S-400 suppressed 75%, zero Blue losses — but the A-100 escaped and the package had zero reserve at the decisive moment (T+0:15).</w:t>
      </w:r>
    </w:p>
    <w:p>
      <w:r>
        <w:t>Vulnerability moment: Simultaneous fighter and SAM shots exceeded reserve capacity. This scenario would require two Gripen suppression waves before Sprinter commitment.</w:t>
      </w:r>
    </w:p>
    <w:p>
      <w:pPr>
        <w:pStyle w:val="Heading2"/>
      </w:pPr>
      <w:r>
        <w:t>Scenario 6: Forward-Base Defence under Saturation (Counter-Swarm)</w:t>
      </w:r>
    </w:p>
    <w:p>
      <w:r>
        <w:t>Setting: Dispersed FOL, Canadian High Arctic (74 deg N). 16x Kh-101 cruise missiles (2 waves) + 4x S-70 Okhotnik UCAV. Tests ACE dispersal.</w:t>
      </w:r>
    </w:p>
    <w:p>
      <w:r>
        <w:t>Outcome: MISSION SUCCESS. 100% aircraft preserved via ACE dispersal off the 12-minute cold-start clock. All 4 UCAVs destroyed, 14/16 cruise missiles defeated.</w:t>
      </w:r>
    </w:p>
    <w:p>
      <w:r>
        <w:t>Key insight: The sortie-generation advantage is only real if aircraft survive on the ground. ACE dispersal converts early warning into preservation.</w:t>
      </w:r>
    </w:p>
    <w:p>
      <w:pPr>
        <w:pStyle w:val="Heading2"/>
      </w:pPr>
      <w:r>
        <w:t>Campaign-Level Analysis (30-Day High-Intensity)</w:t>
      </w:r>
    </w:p>
    <w:tbl>
      <w:tblPr>
        <w:tblW w:w="5000" w:type="pct"/>
        <w:tblBorders>
          <w:top w:val="single" w:color="3D5A80" w:sz="12"/>
          <w:left w:val="nil"/>
          <w:bottom w:val="single" w:color="3D5A80" w:sz="12"/>
          <w:right w:val="nil"/>
          <w:insideH w:val="single" w:color="C8D5E0" w:sz="4"/>
          <w:insideV w:val="nil"/>
        </w:tblBorders>
      </w:tblPr>
      <w:tblGrid>
        <w:gridCol w:w="30"/>
        <w:gridCol w:w="20"/>
        <w:gridCol w:w="20"/>
        <w:gridCol w:w="30"/>
      </w:tblGrid>
      <w:tr>
        <w:trPr>
          <w:tblHeader/>
        </w:trPr>
        <w:tc>
          <w:tcPr>
            <w:tcW w:w="30" w:type="pct"/>
            <w:shd w:val="clear" w:fill="E8EDF2"/>
          </w:tcPr>
          <w:p>
            <w:pPr>
              <w:spacing w:before="40" w:after="40"/>
              <w:jc w:val="center"/>
            </w:pPr>
            <w:r>
              <w:rPr>
                <w:b/>
                <w:color w:val="1D2D3D"/>
                <w:sz w:val="20"/>
              </w:rPr>
              <w:t>Platform</w:t>
            </w:r>
          </w:p>
        </w:tc>
        <w:tc>
          <w:tcPr>
            <w:tcW w:w="20" w:type="pct"/>
            <w:shd w:val="clear" w:fill="E8EDF2"/>
          </w:tcPr>
          <w:p>
            <w:pPr>
              <w:spacing w:before="40" w:after="40"/>
              <w:jc w:val="center"/>
            </w:pPr>
            <w:r>
              <w:rPr>
                <w:b/>
                <w:color w:val="1D2D3D"/>
                <w:sz w:val="20"/>
              </w:rPr>
              <w:t>Sorties/AC/Day</w:t>
            </w:r>
          </w:p>
        </w:tc>
        <w:tc>
          <w:tcPr>
            <w:tcW w:w="20" w:type="pct"/>
            <w:shd w:val="clear" w:fill="E8EDF2"/>
          </w:tcPr>
          <w:p>
            <w:pPr>
              <w:spacing w:before="40" w:after="40"/>
              <w:jc w:val="center"/>
            </w:pPr>
            <w:r>
              <w:rPr>
                <w:b/>
                <w:color w:val="1D2D3D"/>
                <w:sz w:val="20"/>
              </w:rPr>
              <w:t>Fleet/Day</w:t>
            </w:r>
          </w:p>
        </w:tc>
        <w:tc>
          <w:tcPr>
            <w:tcW w:w="30" w:type="pct"/>
            <w:shd w:val="clear" w:fill="E8EDF2"/>
          </w:tcPr>
          <w:p>
            <w:pPr>
              <w:spacing w:before="40" w:after="40"/>
              <w:jc w:val="center"/>
            </w:pPr>
            <w:r>
              <w:rPr>
                <w:b/>
                <w:color w:val="1D2D3D"/>
                <w:sz w:val="20"/>
              </w:rPr>
              <w:t>Hours/AC/Day</w:t>
            </w:r>
          </w:p>
        </w:tc>
      </w:tr>
      <w:tr>
        <w:tc>
          <w:tcPr>
            <w:tcW w:w="30" w:type="pct"/>
          </w:tcPr>
          <w:p>
            <w:pPr>
              <w:spacing w:before="30" w:after="30"/>
              <w:ind w:left="60"/>
            </w:pPr>
            <w:r>
              <w:rPr>
                <w:color w:val="4A5568"/>
                <w:sz w:val="20"/>
              </w:rPr>
              <w:t>Arctic Gripen</w:t>
            </w:r>
          </w:p>
        </w:tc>
        <w:tc>
          <w:tcPr>
            <w:tcW w:w="20" w:type="pct"/>
          </w:tcPr>
          <w:p>
            <w:pPr>
              <w:spacing w:before="30" w:after="30"/>
              <w:ind w:left="60"/>
            </w:pPr>
            <w:r>
              <w:rPr>
                <w:color w:val="4A5568"/>
                <w:sz w:val="20"/>
              </w:rPr>
              <w:t>2.0</w:t>
            </w:r>
          </w:p>
        </w:tc>
        <w:tc>
          <w:tcPr>
            <w:tcW w:w="20" w:type="pct"/>
          </w:tcPr>
          <w:p>
            <w:pPr>
              <w:spacing w:before="30" w:after="30"/>
              <w:ind w:left="60"/>
            </w:pPr>
            <w:r>
              <w:rPr>
                <w:color w:val="4A5568"/>
                <w:sz w:val="20"/>
              </w:rPr>
              <w:t>96</w:t>
            </w:r>
          </w:p>
        </w:tc>
        <w:tc>
          <w:tcPr>
            <w:tcW w:w="30" w:type="pct"/>
          </w:tcPr>
          <w:p>
            <w:pPr>
              <w:spacing w:before="30" w:after="30"/>
              <w:ind w:left="60"/>
            </w:pPr>
            <w:r>
              <w:rPr>
                <w:color w:val="4A5568"/>
                <w:sz w:val="20"/>
              </w:rPr>
              <w:t>3.0</w:t>
            </w:r>
          </w:p>
        </w:tc>
      </w:tr>
      <w:tr>
        <w:tc>
          <w:tcPr>
            <w:tcW w:w="30" w:type="pct"/>
          </w:tcPr>
          <w:p>
            <w:pPr>
              <w:spacing w:before="30" w:after="30"/>
              <w:ind w:left="60"/>
            </w:pPr>
            <w:r>
              <w:rPr>
                <w:color w:val="4A5568"/>
                <w:sz w:val="20"/>
              </w:rPr>
              <w:t>Sprinter</w:t>
            </w:r>
          </w:p>
        </w:tc>
        <w:tc>
          <w:tcPr>
            <w:tcW w:w="20" w:type="pct"/>
          </w:tcPr>
          <w:p>
            <w:pPr>
              <w:spacing w:before="30" w:after="30"/>
              <w:ind w:left="60"/>
            </w:pPr>
            <w:r>
              <w:rPr>
                <w:color w:val="4A5568"/>
                <w:sz w:val="20"/>
              </w:rPr>
              <w:t>3.5</w:t>
            </w:r>
          </w:p>
        </w:tc>
        <w:tc>
          <w:tcPr>
            <w:tcW w:w="20" w:type="pct"/>
          </w:tcPr>
          <w:p>
            <w:pPr>
              <w:spacing w:before="30" w:after="30"/>
              <w:ind w:left="60"/>
            </w:pPr>
            <w:r>
              <w:rPr>
                <w:color w:val="4A5568"/>
                <w:sz w:val="20"/>
              </w:rPr>
              <w:t>210</w:t>
            </w:r>
          </w:p>
        </w:tc>
        <w:tc>
          <w:tcPr>
            <w:tcW w:w="30" w:type="pct"/>
          </w:tcPr>
          <w:p>
            <w:pPr>
              <w:spacing w:before="30" w:after="30"/>
              <w:ind w:left="60"/>
            </w:pPr>
            <w:r>
              <w:rPr>
                <w:color w:val="4A5568"/>
                <w:sz w:val="20"/>
              </w:rPr>
              <w:t>2.6</w:t>
            </w:r>
          </w:p>
        </w:tc>
      </w:tr>
      <w:tr>
        <w:tc>
          <w:tcPr>
            <w:tcW w:w="30" w:type="pct"/>
          </w:tcPr>
          <w:p>
            <w:pPr>
              <w:spacing w:before="30" w:after="30"/>
              <w:ind w:left="60"/>
            </w:pPr>
            <w:r>
              <w:rPr>
                <w:color w:val="4A5568"/>
                <w:sz w:val="20"/>
              </w:rPr>
              <w:t>Striker</w:t>
            </w:r>
          </w:p>
        </w:tc>
        <w:tc>
          <w:tcPr>
            <w:tcW w:w="20" w:type="pct"/>
          </w:tcPr>
          <w:p>
            <w:pPr>
              <w:spacing w:before="30" w:after="30"/>
              <w:ind w:left="60"/>
            </w:pPr>
            <w:r>
              <w:rPr>
                <w:color w:val="4A5568"/>
                <w:sz w:val="20"/>
              </w:rPr>
              <w:t>2.0</w:t>
            </w:r>
          </w:p>
        </w:tc>
        <w:tc>
          <w:tcPr>
            <w:tcW w:w="20" w:type="pct"/>
          </w:tcPr>
          <w:p>
            <w:pPr>
              <w:spacing w:before="30" w:after="30"/>
              <w:ind w:left="60"/>
            </w:pPr>
            <w:r>
              <w:rPr>
                <w:color w:val="4A5568"/>
                <w:sz w:val="20"/>
              </w:rPr>
              <w:t>96</w:t>
            </w:r>
          </w:p>
        </w:tc>
        <w:tc>
          <w:tcPr>
            <w:tcW w:w="30" w:type="pct"/>
          </w:tcPr>
          <w:p>
            <w:pPr>
              <w:spacing w:before="30" w:after="30"/>
              <w:ind w:left="60"/>
            </w:pPr>
            <w:r>
              <w:rPr>
                <w:color w:val="4A5568"/>
                <w:sz w:val="20"/>
              </w:rPr>
              <w:t>3.2</w:t>
            </w:r>
          </w:p>
        </w:tc>
      </w:tr>
      <w:tr>
        <w:tc>
          <w:tcPr>
            <w:tcW w:w="30" w:type="pct"/>
          </w:tcPr>
          <w:p>
            <w:pPr>
              <w:spacing w:before="30" w:after="30"/>
              <w:ind w:left="60"/>
            </w:pPr>
            <w:r>
              <w:rPr>
                <w:color w:val="4A5568"/>
                <w:sz w:val="20"/>
              </w:rPr>
              <w:t>Total</w:t>
            </w:r>
          </w:p>
        </w:tc>
        <w:tc>
          <w:tcPr>
            <w:tcW w:w="20" w:type="pct"/>
          </w:tcPr>
          <w:p>
            <w:pPr>
              <w:spacing w:before="30" w:after="30"/>
              <w:ind w:left="60"/>
            </w:pPr>
            <w:r>
              <w:rPr>
                <w:color w:val="4A5568"/>
                <w:sz w:val="20"/>
              </w:rPr>
              <w:t>—</w:t>
            </w:r>
          </w:p>
        </w:tc>
        <w:tc>
          <w:tcPr>
            <w:tcW w:w="20" w:type="pct"/>
          </w:tcPr>
          <w:p>
            <w:pPr>
              <w:spacing w:before="30" w:after="30"/>
              <w:ind w:left="60"/>
            </w:pPr>
            <w:r>
              <w:rPr>
                <w:color w:val="4A5568"/>
                <w:sz w:val="20"/>
              </w:rPr>
              <w:t>~402 raw (~124 effective)</w:t>
            </w:r>
          </w:p>
        </w:tc>
        <w:tc>
          <w:tcPr>
            <w:tcW w:w="30" w:type="pct"/>
          </w:tcPr>
          <w:p>
            <w:pPr>
              <w:spacing w:before="30" w:after="30"/>
              <w:ind w:left="60"/>
            </w:pPr>
            <w:r>
              <w:rPr>
                <w:color w:val="4A5568"/>
                <w:sz w:val="20"/>
              </w:rPr>
              <w:t>—</w:t>
            </w:r>
          </w:p>
        </w:tc>
      </w:tr>
    </w:tbl>
    <w:p>
      <w:pPr>
        <w:spacing w:after="120"/>
      </w:pPr>
    </w:p>
    <w:p>
      <w:pPr>
        <w:pStyle w:val="Heading3"/>
      </w:pPr>
      <w:r>
        <w:t>Projected 30-Day Attrition</w:t>
      </w:r>
    </w:p>
    <w:tbl>
      <w:tblPr>
        <w:tblW w:w="5000" w:type="pct"/>
        <w:tblBorders>
          <w:top w:val="single" w:color="3D5A80" w:sz="12"/>
          <w:left w:val="nil"/>
          <w:bottom w:val="single" w:color="3D5A80" w:sz="12"/>
          <w:right w:val="nil"/>
          <w:insideH w:val="single" w:color="C8D5E0" w:sz="4"/>
          <w:insideV w:val="nil"/>
        </w:tblBorders>
      </w:tblPr>
      <w:tblGrid>
        <w:gridCol w:w="25"/>
        <w:gridCol w:w="20"/>
        <w:gridCol w:w="20"/>
        <w:gridCol w:w="15"/>
        <w:gridCol w:w="20"/>
      </w:tblGrid>
      <w:tr>
        <w:trPr>
          <w:tblHeader/>
        </w:trPr>
        <w:tc>
          <w:tcPr>
            <w:tcW w:w="25" w:type="pct"/>
            <w:shd w:val="clear" w:fill="E8EDF2"/>
          </w:tcPr>
          <w:p>
            <w:pPr>
              <w:spacing w:before="40" w:after="40"/>
              <w:jc w:val="center"/>
            </w:pPr>
            <w:r>
              <w:rPr>
                <w:b/>
                <w:color w:val="1D2D3D"/>
                <w:sz w:val="20"/>
              </w:rPr>
              <w:t>Platform</w:t>
            </w:r>
          </w:p>
        </w:tc>
        <w:tc>
          <w:tcPr>
            <w:tcW w:w="20" w:type="pct"/>
            <w:shd w:val="clear" w:fill="E8EDF2"/>
          </w:tcPr>
          <w:p>
            <w:pPr>
              <w:spacing w:before="40" w:after="40"/>
              <w:jc w:val="center"/>
            </w:pPr>
            <w:r>
              <w:rPr>
                <w:b/>
                <w:color w:val="1D2D3D"/>
                <w:sz w:val="20"/>
              </w:rPr>
              <w:t>Losses</w:t>
            </w:r>
          </w:p>
        </w:tc>
        <w:tc>
          <w:tcPr>
            <w:tcW w:w="20" w:type="pct"/>
            <w:shd w:val="clear" w:fill="E8EDF2"/>
          </w:tcPr>
          <w:p>
            <w:pPr>
              <w:spacing w:before="40" w:after="40"/>
              <w:jc w:val="center"/>
            </w:pPr>
            <w:r>
              <w:rPr>
                <w:b/>
                <w:color w:val="1D2D3D"/>
                <w:sz w:val="20"/>
              </w:rPr>
              <w:t>Fleet</w:t>
            </w:r>
          </w:p>
        </w:tc>
        <w:tc>
          <w:tcPr>
            <w:tcW w:w="15" w:type="pct"/>
            <w:shd w:val="clear" w:fill="E8EDF2"/>
          </w:tcPr>
          <w:p>
            <w:pPr>
              <w:spacing w:before="40" w:after="40"/>
              <w:jc w:val="center"/>
            </w:pPr>
            <w:r>
              <w:rPr>
                <w:b/>
                <w:color w:val="1D2D3D"/>
                <w:sz w:val="20"/>
              </w:rPr>
              <w:t>%</w:t>
            </w:r>
          </w:p>
        </w:tc>
        <w:tc>
          <w:tcPr>
            <w:tcW w:w="20" w:type="pct"/>
            <w:shd w:val="clear" w:fill="E8EDF2"/>
          </w:tcPr>
          <w:p>
            <w:pPr>
              <w:spacing w:before="40" w:after="40"/>
              <w:jc w:val="center"/>
            </w:pPr>
            <w:r>
              <w:rPr>
                <w:b/>
                <w:color w:val="1D2D3D"/>
                <w:sz w:val="20"/>
              </w:rPr>
              <w:t>Reserve Status</w:t>
            </w:r>
          </w:p>
        </w:tc>
      </w:tr>
      <w:tr>
        <w:tc>
          <w:tcPr>
            <w:tcW w:w="25" w:type="pct"/>
          </w:tcPr>
          <w:p>
            <w:pPr>
              <w:spacing w:before="30" w:after="30"/>
              <w:ind w:left="60"/>
            </w:pPr>
            <w:r>
              <w:rPr>
                <w:color w:val="4A5568"/>
                <w:sz w:val="20"/>
              </w:rPr>
              <w:t>Sprinter</w:t>
            </w:r>
          </w:p>
        </w:tc>
        <w:tc>
          <w:tcPr>
            <w:tcW w:w="20" w:type="pct"/>
          </w:tcPr>
          <w:p>
            <w:pPr>
              <w:spacing w:before="30" w:after="30"/>
              <w:ind w:left="60"/>
            </w:pPr>
            <w:r>
              <w:rPr>
                <w:color w:val="4A5568"/>
                <w:sz w:val="20"/>
              </w:rPr>
              <w:t>12-14</w:t>
            </w:r>
          </w:p>
        </w:tc>
        <w:tc>
          <w:tcPr>
            <w:tcW w:w="20" w:type="pct"/>
          </w:tcPr>
          <w:p>
            <w:pPr>
              <w:spacing w:before="30" w:after="30"/>
              <w:ind w:left="60"/>
            </w:pPr>
            <w:r>
              <w:rPr>
                <w:color w:val="4A5568"/>
                <w:sz w:val="20"/>
              </w:rPr>
              <w:t>60</w:t>
            </w:r>
          </w:p>
        </w:tc>
        <w:tc>
          <w:tcPr>
            <w:tcW w:w="15" w:type="pct"/>
          </w:tcPr>
          <w:p>
            <w:pPr>
              <w:spacing w:before="30" w:after="30"/>
              <w:ind w:left="60"/>
            </w:pPr>
            <w:r>
              <w:rPr>
                <w:color w:val="4A5568"/>
                <w:sz w:val="20"/>
              </w:rPr>
              <w:t>20-23%</w:t>
            </w:r>
          </w:p>
        </w:tc>
        <w:tc>
          <w:tcPr>
            <w:tcW w:w="20" w:type="pct"/>
          </w:tcPr>
          <w:p>
            <w:pPr>
              <w:spacing w:before="30" w:after="30"/>
              <w:ind w:left="60"/>
            </w:pPr>
            <w:r>
              <w:rPr>
                <w:color w:val="4A5568"/>
                <w:sz w:val="20"/>
              </w:rPr>
              <w:t>Within 20-AC reserve</w:t>
            </w:r>
          </w:p>
        </w:tc>
      </w:tr>
      <w:tr>
        <w:tc>
          <w:tcPr>
            <w:tcW w:w="25" w:type="pct"/>
          </w:tcPr>
          <w:p>
            <w:pPr>
              <w:spacing w:before="30" w:after="30"/>
              <w:ind w:left="60"/>
            </w:pPr>
            <w:r>
              <w:rPr>
                <w:color w:val="4A5568"/>
                <w:sz w:val="20"/>
              </w:rPr>
              <w:t>Striker</w:t>
            </w:r>
          </w:p>
        </w:tc>
        <w:tc>
          <w:tcPr>
            <w:tcW w:w="20" w:type="pct"/>
          </w:tcPr>
          <w:p>
            <w:pPr>
              <w:spacing w:before="30" w:after="30"/>
              <w:ind w:left="60"/>
            </w:pPr>
            <w:r>
              <w:rPr>
                <w:color w:val="4A5568"/>
                <w:sz w:val="20"/>
              </w:rPr>
              <w:t>2-3</w:t>
            </w:r>
          </w:p>
        </w:tc>
        <w:tc>
          <w:tcPr>
            <w:tcW w:w="20" w:type="pct"/>
          </w:tcPr>
          <w:p>
            <w:pPr>
              <w:spacing w:before="30" w:after="30"/>
              <w:ind w:left="60"/>
            </w:pPr>
            <w:r>
              <w:rPr>
                <w:color w:val="4A5568"/>
                <w:sz w:val="20"/>
              </w:rPr>
              <w:t>48</w:t>
            </w:r>
          </w:p>
        </w:tc>
        <w:tc>
          <w:tcPr>
            <w:tcW w:w="15" w:type="pct"/>
          </w:tcPr>
          <w:p>
            <w:pPr>
              <w:spacing w:before="30" w:after="30"/>
              <w:ind w:left="60"/>
            </w:pPr>
            <w:r>
              <w:rPr>
                <w:color w:val="4A5568"/>
                <w:sz w:val="20"/>
              </w:rPr>
              <w:t>4-6%</w:t>
            </w:r>
          </w:p>
        </w:tc>
        <w:tc>
          <w:tcPr>
            <w:tcW w:w="20" w:type="pct"/>
          </w:tcPr>
          <w:p>
            <w:pPr>
              <w:spacing w:before="30" w:after="30"/>
              <w:ind w:left="60"/>
            </w:pPr>
            <w:r>
              <w:rPr>
                <w:color w:val="4A5568"/>
                <w:sz w:val="20"/>
              </w:rPr>
              <w:t>Within annual replacement</w:t>
            </w:r>
          </w:p>
        </w:tc>
      </w:tr>
      <w:tr>
        <w:tc>
          <w:tcPr>
            <w:tcW w:w="25" w:type="pct"/>
          </w:tcPr>
          <w:p>
            <w:pPr>
              <w:spacing w:before="30" w:after="30"/>
              <w:ind w:left="60"/>
            </w:pPr>
            <w:r>
              <w:rPr>
                <w:color w:val="4A5568"/>
                <w:sz w:val="20"/>
              </w:rPr>
              <w:t>Gripen</w:t>
            </w:r>
          </w:p>
        </w:tc>
        <w:tc>
          <w:tcPr>
            <w:tcW w:w="20" w:type="pct"/>
          </w:tcPr>
          <w:p>
            <w:pPr>
              <w:spacing w:before="30" w:after="30"/>
              <w:ind w:left="60"/>
            </w:pPr>
            <w:r>
              <w:rPr>
                <w:color w:val="4A5568"/>
                <w:sz w:val="20"/>
              </w:rPr>
              <w:t>0-1</w:t>
            </w:r>
          </w:p>
        </w:tc>
        <w:tc>
          <w:tcPr>
            <w:tcW w:w="20" w:type="pct"/>
          </w:tcPr>
          <w:p>
            <w:pPr>
              <w:spacing w:before="30" w:after="30"/>
              <w:ind w:left="60"/>
            </w:pPr>
            <w:r>
              <w:rPr>
                <w:color w:val="4A5568"/>
                <w:sz w:val="20"/>
              </w:rPr>
              <w:t>48</w:t>
            </w:r>
          </w:p>
        </w:tc>
        <w:tc>
          <w:tcPr>
            <w:tcW w:w="15" w:type="pct"/>
          </w:tcPr>
          <w:p>
            <w:pPr>
              <w:spacing w:before="30" w:after="30"/>
              <w:ind w:left="60"/>
            </w:pPr>
            <w:r>
              <w:rPr>
                <w:color w:val="4A5568"/>
                <w:sz w:val="20"/>
              </w:rPr>
              <w:t>&lt;=2%</w:t>
            </w:r>
          </w:p>
        </w:tc>
        <w:tc>
          <w:tcPr>
            <w:tcW w:w="20" w:type="pct"/>
          </w:tcPr>
          <w:p>
            <w:pPr>
              <w:spacing w:before="30" w:after="30"/>
              <w:ind w:left="60"/>
            </w:pPr>
            <w:r>
              <w:rPr>
                <w:color w:val="4A5568"/>
                <w:sz w:val="20"/>
              </w:rPr>
              <w:t>Sustainable</w:t>
            </w:r>
          </w:p>
        </w:tc>
      </w:tr>
    </w:tbl>
    <w:p>
      <w:pPr>
        <w:spacing w:after="120"/>
      </w:pPr>
    </w:p>
    <w:p>
      <w:pPr>
        <w:pStyle w:val="Heading3"/>
      </w:pPr>
      <w:r>
        <w:t>12-Week Campaign Sustainability</w:t>
      </w:r>
    </w:p>
    <w:tbl>
      <w:tblPr>
        <w:tblW w:w="5000" w:type="pct"/>
        <w:tblBorders>
          <w:top w:val="single" w:color="3D5A80" w:sz="12"/>
          <w:left w:val="nil"/>
          <w:bottom w:val="single" w:color="3D5A80" w:sz="12"/>
          <w:right w:val="nil"/>
          <w:insideH w:val="single" w:color="C8D5E0" w:sz="4"/>
          <w:insideV w:val="nil"/>
        </w:tblBorders>
      </w:tblPr>
      <w:tblGrid>
        <w:gridCol w:w="30"/>
        <w:gridCol w:w="20"/>
        <w:gridCol w:w="20"/>
        <w:gridCol w:w="30"/>
      </w:tblGrid>
      <w:tr>
        <w:trPr>
          <w:tblHeader/>
        </w:trPr>
        <w:tc>
          <w:tcPr>
            <w:tcW w:w="30" w:type="pct"/>
            <w:shd w:val="clear" w:fill="E8EDF2"/>
          </w:tcPr>
          <w:p>
            <w:pPr>
              <w:spacing w:before="40" w:after="40"/>
              <w:jc w:val="center"/>
            </w:pPr>
            <w:r>
              <w:rPr>
                <w:b/>
                <w:color w:val="1D2D3D"/>
                <w:sz w:val="20"/>
              </w:rPr>
              <w:t>Platform</w:t>
            </w:r>
          </w:p>
        </w:tc>
        <w:tc>
          <w:tcPr>
            <w:tcW w:w="20" w:type="pct"/>
            <w:shd w:val="clear" w:fill="E8EDF2"/>
          </w:tcPr>
          <w:p>
            <w:pPr>
              <w:spacing w:before="40" w:after="40"/>
              <w:jc w:val="center"/>
            </w:pPr>
            <w:r>
              <w:rPr>
                <w:b/>
                <w:color w:val="1D2D3D"/>
                <w:sz w:val="20"/>
              </w:rPr>
              <w:t>12-Week Losses</w:t>
            </w:r>
          </w:p>
        </w:tc>
        <w:tc>
          <w:tcPr>
            <w:tcW w:w="20" w:type="pct"/>
            <w:shd w:val="clear" w:fill="E8EDF2"/>
          </w:tcPr>
          <w:p>
            <w:pPr>
              <w:spacing w:before="40" w:after="40"/>
              <w:jc w:val="center"/>
            </w:pPr>
            <w:r>
              <w:rPr>
                <w:b/>
                <w:color w:val="1D2D3D"/>
                <w:sz w:val="20"/>
              </w:rPr>
              <w:t>Reserve</w:t>
            </w:r>
          </w:p>
        </w:tc>
        <w:tc>
          <w:tcPr>
            <w:tcW w:w="30" w:type="pct"/>
            <w:shd w:val="clear" w:fill="E8EDF2"/>
          </w:tcPr>
          <w:p>
            <w:pPr>
              <w:spacing w:before="40" w:after="40"/>
              <w:jc w:val="center"/>
            </w:pPr>
            <w:r>
              <w:rPr>
                <w:b/>
                <w:color w:val="1D2D3D"/>
                <w:sz w:val="20"/>
              </w:rPr>
              <w:t>Status</w:t>
            </w:r>
          </w:p>
        </w:tc>
      </w:tr>
      <w:tr>
        <w:tc>
          <w:tcPr>
            <w:tcW w:w="30" w:type="pct"/>
          </w:tcPr>
          <w:p>
            <w:pPr>
              <w:spacing w:before="30" w:after="30"/>
              <w:ind w:left="60"/>
            </w:pPr>
            <w:r>
              <w:rPr>
                <w:color w:val="4A5568"/>
                <w:sz w:val="20"/>
              </w:rPr>
              <w:t>Sprinter</w:t>
            </w:r>
          </w:p>
        </w:tc>
        <w:tc>
          <w:tcPr>
            <w:tcW w:w="20" w:type="pct"/>
          </w:tcPr>
          <w:p>
            <w:pPr>
              <w:spacing w:before="30" w:after="30"/>
              <w:ind w:left="60"/>
            </w:pPr>
            <w:r>
              <w:rPr>
                <w:color w:val="4A5568"/>
                <w:sz w:val="20"/>
              </w:rPr>
              <w:t>~36 (60% of fleet)</w:t>
            </w:r>
          </w:p>
        </w:tc>
        <w:tc>
          <w:tcPr>
            <w:tcW w:w="20" w:type="pct"/>
          </w:tcPr>
          <w:p>
            <w:pPr>
              <w:spacing w:before="30" w:after="30"/>
              <w:ind w:left="60"/>
            </w:pPr>
            <w:r>
              <w:rPr>
                <w:color w:val="4A5568"/>
                <w:sz w:val="20"/>
              </w:rPr>
              <w:t>20 attrition + 10 contingency</w:t>
            </w:r>
          </w:p>
        </w:tc>
        <w:tc>
          <w:tcPr>
            <w:tcW w:w="30" w:type="pct"/>
          </w:tcPr>
          <w:p>
            <w:pPr>
              <w:spacing w:before="30" w:after="30"/>
              <w:ind w:left="60"/>
            </w:pPr>
            <w:r>
              <w:rPr>
                <w:color w:val="4A5568"/>
                <w:sz w:val="20"/>
              </w:rPr>
              <w:t>Sustainable with reserve replenishment</w:t>
            </w:r>
          </w:p>
        </w:tc>
      </w:tr>
      <w:tr>
        <w:tc>
          <w:tcPr>
            <w:tcW w:w="30" w:type="pct"/>
          </w:tcPr>
          <w:p>
            <w:pPr>
              <w:spacing w:before="30" w:after="30"/>
              <w:ind w:left="60"/>
            </w:pPr>
            <w:r>
              <w:rPr>
                <w:color w:val="4A5568"/>
                <w:sz w:val="20"/>
              </w:rPr>
              <w:t>Striker</w:t>
            </w:r>
          </w:p>
        </w:tc>
        <w:tc>
          <w:tcPr>
            <w:tcW w:w="20" w:type="pct"/>
          </w:tcPr>
          <w:p>
            <w:pPr>
              <w:spacing w:before="30" w:after="30"/>
              <w:ind w:left="60"/>
            </w:pPr>
            <w:r>
              <w:rPr>
                <w:color w:val="4A5568"/>
                <w:sz w:val="20"/>
              </w:rPr>
              <w:t>~12 (25% of fleet)</w:t>
            </w:r>
          </w:p>
        </w:tc>
        <w:tc>
          <w:tcPr>
            <w:tcW w:w="20" w:type="pct"/>
          </w:tcPr>
          <w:p>
            <w:pPr>
              <w:spacing w:before="30" w:after="30"/>
              <w:ind w:left="60"/>
            </w:pPr>
            <w:r>
              <w:rPr>
                <w:color w:val="4A5568"/>
                <w:sz w:val="20"/>
              </w:rPr>
              <w:t>12 attrition reserve</w:t>
            </w:r>
          </w:p>
        </w:tc>
        <w:tc>
          <w:tcPr>
            <w:tcW w:w="30" w:type="pct"/>
          </w:tcPr>
          <w:p>
            <w:pPr>
              <w:spacing w:before="30" w:after="30"/>
              <w:ind w:left="60"/>
            </w:pPr>
            <w:r>
              <w:rPr>
                <w:color w:val="4A5568"/>
                <w:sz w:val="20"/>
              </w:rPr>
              <w:t>Within reserve capacity</w:t>
            </w:r>
          </w:p>
        </w:tc>
      </w:tr>
      <w:tr>
        <w:tc>
          <w:tcPr>
            <w:tcW w:w="30" w:type="pct"/>
          </w:tcPr>
          <w:p>
            <w:pPr>
              <w:spacing w:before="30" w:after="30"/>
              <w:ind w:left="60"/>
            </w:pPr>
            <w:r>
              <w:rPr>
                <w:color w:val="4A5568"/>
                <w:sz w:val="20"/>
              </w:rPr>
              <w:t>Gripen</w:t>
            </w:r>
          </w:p>
        </w:tc>
        <w:tc>
          <w:tcPr>
            <w:tcW w:w="20" w:type="pct"/>
          </w:tcPr>
          <w:p>
            <w:pPr>
              <w:spacing w:before="30" w:after="30"/>
              <w:ind w:left="60"/>
            </w:pPr>
            <w:r>
              <w:rPr>
                <w:color w:val="4A5568"/>
                <w:sz w:val="20"/>
              </w:rPr>
              <w:t>0-2</w:t>
            </w:r>
          </w:p>
        </w:tc>
        <w:tc>
          <w:tcPr>
            <w:tcW w:w="20" w:type="pct"/>
          </w:tcPr>
          <w:p>
            <w:pPr>
              <w:spacing w:before="30" w:after="30"/>
              <w:ind w:left="60"/>
            </w:pPr>
            <w:r>
              <w:rPr>
                <w:color w:val="4A5568"/>
                <w:sz w:val="20"/>
              </w:rPr>
              <w:t>12 attrition reserve</w:t>
            </w:r>
          </w:p>
        </w:tc>
        <w:tc>
          <w:tcPr>
            <w:tcW w:w="30" w:type="pct"/>
          </w:tcPr>
          <w:p>
            <w:pPr>
              <w:spacing w:before="30" w:after="30"/>
              <w:ind w:left="60"/>
            </w:pPr>
            <w:r>
              <w:rPr>
                <w:color w:val="4A5568"/>
                <w:sz w:val="20"/>
              </w:rPr>
              <w:t>Highly sustainable</w:t>
            </w:r>
          </w:p>
        </w:tc>
      </w:tr>
    </w:tbl>
    <w:p>
      <w:pPr>
        <w:spacing w:after="120"/>
      </w:pPr>
    </w:p>
    <w:p>
      <w:pPr>
        <w:pStyle w:val="Heading2"/>
      </w:pPr>
      <w:r>
        <w:t>Vulnerability/Mitigation Matrix</w:t>
      </w:r>
    </w:p>
    <w:tbl>
      <w:tblPr>
        <w:tblW w:w="5000" w:type="pct"/>
        <w:tblBorders>
          <w:top w:val="single" w:color="3D5A80" w:sz="12"/>
          <w:left w:val="nil"/>
          <w:bottom w:val="single" w:color="3D5A80" w:sz="12"/>
          <w:right w:val="nil"/>
          <w:insideH w:val="single" w:color="C8D5E0" w:sz="4"/>
          <w:insideV w:val="nil"/>
        </w:tblBorders>
      </w:tblPr>
      <w:tblGrid>
        <w:gridCol w:w="40"/>
        <w:gridCol w:w="20"/>
        <w:gridCol w:w="40"/>
      </w:tblGrid>
      <w:tr>
        <w:trPr>
          <w:tblHeader/>
        </w:trPr>
        <w:tc>
          <w:tcPr>
            <w:tcW w:w="40" w:type="pct"/>
            <w:shd w:val="clear" w:fill="E8EDF2"/>
          </w:tcPr>
          <w:p>
            <w:pPr>
              <w:spacing w:before="40" w:after="40"/>
              <w:jc w:val="center"/>
            </w:pPr>
            <w:r>
              <w:rPr>
                <w:b/>
                <w:color w:val="1D2D3D"/>
                <w:sz w:val="20"/>
              </w:rPr>
              <w:t>Vulnerability</w:t>
            </w:r>
          </w:p>
        </w:tc>
        <w:tc>
          <w:tcPr>
            <w:tcW w:w="20" w:type="pct"/>
            <w:shd w:val="clear" w:fill="E8EDF2"/>
          </w:tcPr>
          <w:p>
            <w:pPr>
              <w:spacing w:before="40" w:after="40"/>
              <w:jc w:val="center"/>
            </w:pPr>
            <w:r>
              <w:rPr>
                <w:b/>
                <w:color w:val="1D2D3D"/>
                <w:sz w:val="20"/>
              </w:rPr>
              <w:t>Priority</w:t>
            </w:r>
          </w:p>
        </w:tc>
        <w:tc>
          <w:tcPr>
            <w:tcW w:w="40" w:type="pct"/>
            <w:shd w:val="clear" w:fill="E8EDF2"/>
          </w:tcPr>
          <w:p>
            <w:pPr>
              <w:spacing w:before="40" w:after="40"/>
              <w:jc w:val="center"/>
            </w:pPr>
            <w:r>
              <w:rPr>
                <w:b/>
                <w:color w:val="1D2D3D"/>
                <w:sz w:val="20"/>
              </w:rPr>
              <w:t>Mitigation</w:t>
            </w:r>
          </w:p>
        </w:tc>
      </w:tr>
      <w:tr>
        <w:tc>
          <w:tcPr>
            <w:tcW w:w="40" w:type="pct"/>
          </w:tcPr>
          <w:p>
            <w:pPr>
              <w:spacing w:before="30" w:after="30"/>
              <w:ind w:left="60"/>
            </w:pPr>
            <w:r>
              <w:rPr>
                <w:color w:val="4A5568"/>
                <w:sz w:val="20"/>
              </w:rPr>
              <w:t>Datalink dependency (single point of failure)</w:t>
            </w:r>
          </w:p>
        </w:tc>
        <w:tc>
          <w:tcPr>
            <w:tcW w:w="20" w:type="pct"/>
          </w:tcPr>
          <w:p>
            <w:pPr>
              <w:spacing w:before="30" w:after="30"/>
              <w:ind w:left="60"/>
            </w:pPr>
            <w:r>
              <w:rPr>
                <w:color w:val="4A5568"/>
                <w:sz w:val="20"/>
              </w:rPr>
              <w:t>CRITICAL</w:t>
            </w:r>
          </w:p>
        </w:tc>
        <w:tc>
          <w:tcPr>
            <w:tcW w:w="40" w:type="pct"/>
          </w:tcPr>
          <w:p>
            <w:pPr>
              <w:spacing w:before="30" w:after="30"/>
              <w:ind w:left="60"/>
            </w:pPr>
            <w:r>
              <w:rPr>
                <w:color w:val="4A5568"/>
                <w:sz w:val="20"/>
              </w:rPr>
              <w:t>Autonomous mesh hand-off (~$10.9M)</w:t>
            </w:r>
          </w:p>
        </w:tc>
      </w:tr>
      <w:tr>
        <w:tc>
          <w:tcPr>
            <w:tcW w:w="40" w:type="pct"/>
          </w:tcPr>
          <w:p>
            <w:pPr>
              <w:spacing w:before="30" w:after="30"/>
              <w:ind w:left="60"/>
            </w:pPr>
            <w:r>
              <w:rPr>
                <w:color w:val="4A5568"/>
                <w:sz w:val="20"/>
              </w:rPr>
              <w:t>Suppression failure (Gripen loss before IADS strike)</w:t>
            </w:r>
          </w:p>
        </w:tc>
        <w:tc>
          <w:tcPr>
            <w:tcW w:w="20" w:type="pct"/>
          </w:tcPr>
          <w:p>
            <w:pPr>
              <w:spacing w:before="30" w:after="30"/>
              <w:ind w:left="60"/>
            </w:pPr>
            <w:r>
              <w:rPr>
                <w:color w:val="4A5568"/>
                <w:sz w:val="20"/>
              </w:rPr>
              <w:t>HIGH</w:t>
            </w:r>
          </w:p>
        </w:tc>
        <w:tc>
          <w:tcPr>
            <w:tcW w:w="40" w:type="pct"/>
          </w:tcPr>
          <w:p>
            <w:pPr>
              <w:spacing w:before="30" w:after="30"/>
              <w:ind w:left="60"/>
            </w:pPr>
            <w:r>
              <w:rPr>
                <w:color w:val="4A5568"/>
                <w:sz w:val="20"/>
              </w:rPr>
              <w:t>10-Sprinter contingency buffer; fallback procedures</w:t>
            </w:r>
          </w:p>
        </w:tc>
      </w:tr>
      <w:tr>
        <w:tc>
          <w:tcPr>
            <w:tcW w:w="40" w:type="pct"/>
          </w:tcPr>
          <w:p>
            <w:pPr>
              <w:spacing w:before="30" w:after="30"/>
              <w:ind w:left="60"/>
            </w:pPr>
            <w:r>
              <w:rPr>
                <w:color w:val="4A5568"/>
                <w:sz w:val="20"/>
              </w:rPr>
              <w:t>Multi-vector saturation</w:t>
            </w:r>
          </w:p>
        </w:tc>
        <w:tc>
          <w:tcPr>
            <w:tcW w:w="20" w:type="pct"/>
          </w:tcPr>
          <w:p>
            <w:pPr>
              <w:spacing w:before="30" w:after="30"/>
              <w:ind w:left="60"/>
            </w:pPr>
            <w:r>
              <w:rPr>
                <w:color w:val="4A5568"/>
                <w:sz w:val="20"/>
              </w:rPr>
              <w:t>HIGH</w:t>
            </w:r>
          </w:p>
        </w:tc>
        <w:tc>
          <w:tcPr>
            <w:tcW w:w="40" w:type="pct"/>
          </w:tcPr>
          <w:p>
            <w:pPr>
              <w:spacing w:before="30" w:after="30"/>
              <w:ind w:left="60"/>
            </w:pPr>
            <w:r>
              <w:rPr>
                <w:color w:val="4A5568"/>
                <w:sz w:val="20"/>
              </w:rPr>
              <w:t>More EW Sprinters; towed decoy on Striker; reserve element</w:t>
            </w:r>
          </w:p>
        </w:tc>
      </w:tr>
      <w:tr>
        <w:tc>
          <w:tcPr>
            <w:tcW w:w="40" w:type="pct"/>
          </w:tcPr>
          <w:p>
            <w:pPr>
              <w:spacing w:before="30" w:after="30"/>
              <w:ind w:left="60"/>
            </w:pPr>
            <w:r>
              <w:rPr>
                <w:color w:val="4A5568"/>
                <w:sz w:val="20"/>
              </w:rPr>
              <w:t>A-100/HVA reach gap</w:t>
            </w:r>
          </w:p>
        </w:tc>
        <w:tc>
          <w:tcPr>
            <w:tcW w:w="20" w:type="pct"/>
          </w:tcPr>
          <w:p>
            <w:pPr>
              <w:spacing w:before="30" w:after="30"/>
              <w:ind w:left="60"/>
            </w:pPr>
            <w:r>
              <w:rPr>
                <w:color w:val="4A5568"/>
                <w:sz w:val="20"/>
              </w:rPr>
              <w:t>HIGH</w:t>
            </w:r>
          </w:p>
        </w:tc>
        <w:tc>
          <w:tcPr>
            <w:tcW w:w="40" w:type="pct"/>
          </w:tcPr>
          <w:p>
            <w:pPr>
              <w:spacing w:before="30" w:after="30"/>
              <w:ind w:left="60"/>
            </w:pPr>
            <w:r>
              <w:rPr>
                <w:color w:val="4A5568"/>
                <w:sz w:val="20"/>
              </w:rPr>
              <w:t>Meteor-ER / extended-range AMRAAM</w:t>
            </w:r>
          </w:p>
        </w:tc>
      </w:tr>
      <w:tr>
        <w:tc>
          <w:tcPr>
            <w:tcW w:w="40" w:type="pct"/>
          </w:tcPr>
          <w:p>
            <w:pPr>
              <w:spacing w:before="30" w:after="30"/>
              <w:ind w:left="60"/>
            </w:pPr>
            <w:r>
              <w:rPr>
                <w:color w:val="4A5568"/>
                <w:sz w:val="20"/>
              </w:rPr>
              <w:t>Base saturation/PD magazine depth</w:t>
            </w:r>
          </w:p>
        </w:tc>
        <w:tc>
          <w:tcPr>
            <w:tcW w:w="20" w:type="pct"/>
          </w:tcPr>
          <w:p>
            <w:pPr>
              <w:spacing w:before="30" w:after="30"/>
              <w:ind w:left="60"/>
            </w:pPr>
            <w:r>
              <w:rPr>
                <w:color w:val="4A5568"/>
                <w:sz w:val="20"/>
              </w:rPr>
              <w:t>HIGH</w:t>
            </w:r>
          </w:p>
        </w:tc>
        <w:tc>
          <w:tcPr>
            <w:tcW w:w="40" w:type="pct"/>
          </w:tcPr>
          <w:p>
            <w:pPr>
              <w:spacing w:before="30" w:after="30"/>
              <w:ind w:left="60"/>
            </w:pPr>
            <w:r>
              <w:rPr>
                <w:color w:val="4A5568"/>
                <w:sz w:val="20"/>
              </w:rPr>
              <w:t>Deeper PD magazines; decoy revetments; rapid runway repair</w:t>
            </w:r>
          </w:p>
        </w:tc>
      </w:tr>
      <w:tr>
        <w:tc>
          <w:tcPr>
            <w:tcW w:w="40" w:type="pct"/>
          </w:tcPr>
          <w:p>
            <w:pPr>
              <w:spacing w:before="30" w:after="30"/>
              <w:ind w:left="60"/>
            </w:pPr>
            <w:r>
              <w:rPr>
                <w:color w:val="4A5568"/>
                <w:sz w:val="20"/>
              </w:rPr>
              <w:t>Single-aircraft alert magazine</w:t>
            </w:r>
          </w:p>
        </w:tc>
        <w:tc>
          <w:tcPr>
            <w:tcW w:w="20" w:type="pct"/>
          </w:tcPr>
          <w:p>
            <w:pPr>
              <w:spacing w:before="30" w:after="30"/>
              <w:ind w:left="60"/>
            </w:pPr>
            <w:r>
              <w:rPr>
                <w:color w:val="4A5568"/>
                <w:sz w:val="20"/>
              </w:rPr>
              <w:t>MEDIUM</w:t>
            </w:r>
          </w:p>
        </w:tc>
        <w:tc>
          <w:tcPr>
            <w:tcW w:w="40" w:type="pct"/>
          </w:tcPr>
          <w:p>
            <w:pPr>
              <w:spacing w:before="30" w:after="30"/>
              <w:ind w:left="60"/>
            </w:pPr>
            <w:r>
              <w:rPr>
                <w:color w:val="4A5568"/>
                <w:sz w:val="20"/>
              </w:rPr>
              <w:t>Layered alert: multiple AC + armed forward drones</w:t>
            </w:r>
          </w:p>
        </w:tc>
      </w:tr>
    </w:tbl>
    <w:p>
      <w:pPr>
        <w:spacing w:after="120"/>
      </w:pPr>
    </w:p>
    <w:p>
      <w:pPr>
        <w:pStyle w:val="Heading2"/>
      </w:pPr>
      <w:r>
        <w:t>Final Assessment</w:t>
      </w:r>
    </w:p>
    <w:p>
      <w:r>
        <w:t>The war-game case is strong. The validated operational parameters from Scenario 1B significantly strengthen the operational case by confirming Sprinter attrition at 2-3%, extending campaign endurance to 12+ weeks, and maintaining zero manned aircraft losses across all scenarios.</w:t>
      </w:r>
    </w:p>
    <w:p>
      <w:r>
        <w:t>The concept achieved its objective in every scenario, did so at roughly half the acquisition cost and a quarter of the operating cost of the fifth-generation-only alternative, and its weaknesses remain specific, understood, and fixable.</w:t>
      </w:r>
    </w:p>
    <w:p>
      <w:pPr>
        <w:sectPr>
          <w:type w:val="nextPage"/>
          <w:pgSz w:w="11906" w:h="16838"/>
          <w:pgMar w:top="1440" w:right="1440" w:bottom="1440" w:left="1440" w:header="720" w:footer="720"/>
        </w:sectPr>
      </w:pPr>
    </w:p>
    <w:p>
      <w:pPr>
        <w:pStyle w:val="Heading1"/>
      </w:pPr>
      <w:r>
        <w:t>Document 8: The Economic Northern Horizon Outlook</w:t>
      </w:r>
      <w:bookmarkStart w:name="_Doc08" w:id="9"/>
      <w:bookmarkEnd w:id="9"/>
    </w:p>
    <w:p>
      <w:r>
        <w:t>Economic Deep Dive: The Arctic Horizon Program | Document No.: ECD-ARCTIC-2026-001 | June 2026</w:t>
      </w:r>
    </w:p>
    <w:p>
      <w:pPr>
        <w:spacing w:after="240"/>
      </w:pPr>
    </w:p>
    <w:p>
      <w:pPr>
        <w:pStyle w:val="Heading2"/>
      </w:pPr>
      <w:r>
        <w:t>Executive Summary</w:t>
      </w:r>
    </w:p>
    <w:p>
      <w:r>
        <w:t>This document quantifies the total economic impact of adopting the Arctic Horizon program as an alternative to the F-35-only procurement.</w:t>
      </w:r>
    </w:p>
    <w:p>
      <w:pPr>
        <w:pStyle w:val="Heading3"/>
      </w:pPr>
      <w:r>
        <w:t>Headline Figures</w:t>
      </w:r>
    </w:p>
    <w:tbl>
      <w:tblPr>
        <w:tblW w:w="5000" w:type="pct"/>
        <w:tblBorders>
          <w:top w:val="single" w:color="3D5A80" w:sz="12"/>
          <w:left w:val="nil"/>
          <w:bottom w:val="single" w:color="3D5A80" w:sz="12"/>
          <w:right w:val="nil"/>
          <w:insideH w:val="single" w:color="C8D5E0" w:sz="4"/>
          <w:insideV w:val="nil"/>
        </w:tblBorders>
      </w:tblPr>
      <w:tblGrid>
        <w:gridCol w:w="40"/>
        <w:gridCol w:w="30"/>
        <w:gridCol w:w="30"/>
      </w:tblGrid>
      <w:tr>
        <w:trPr>
          <w:tblHeader/>
        </w:trPr>
        <w:tc>
          <w:tcPr>
            <w:tcW w:w="40" w:type="pct"/>
            <w:shd w:val="clear" w:fill="E8EDF2"/>
          </w:tcPr>
          <w:p>
            <w:pPr>
              <w:spacing w:before="40" w:after="40"/>
              <w:jc w:val="center"/>
            </w:pPr>
            <w:r>
              <w:rPr>
                <w:b/>
                <w:color w:val="1D2D3D"/>
                <w:sz w:val="20"/>
              </w:rPr>
              <w:t>Metric</w:t>
            </w:r>
          </w:p>
        </w:tc>
        <w:tc>
          <w:tcPr>
            <w:tcW w:w="30" w:type="pct"/>
            <w:shd w:val="clear" w:fill="E8EDF2"/>
          </w:tcPr>
          <w:p>
            <w:pPr>
              <w:spacing w:before="40" w:after="40"/>
              <w:jc w:val="center"/>
            </w:pPr>
            <w:r>
              <w:rPr>
                <w:b/>
                <w:color w:val="1D2D3D"/>
                <w:sz w:val="20"/>
              </w:rPr>
              <w:t>Estimated Value</w:t>
            </w:r>
          </w:p>
        </w:tc>
        <w:tc>
          <w:tcPr>
            <w:tcW w:w="30" w:type="pct"/>
            <w:shd w:val="clear" w:fill="E8EDF2"/>
          </w:tcPr>
          <w:p>
            <w:pPr>
              <w:spacing w:before="40" w:after="40"/>
              <w:jc w:val="center"/>
            </w:pPr>
            <w:r>
              <w:rPr>
                <w:b/>
                <w:color w:val="1D2D3D"/>
                <w:sz w:val="20"/>
              </w:rPr>
              <w:t>Source/Basis</w:t>
            </w:r>
          </w:p>
        </w:tc>
      </w:tr>
      <w:tr>
        <w:tc>
          <w:tcPr>
            <w:tcW w:w="40" w:type="pct"/>
          </w:tcPr>
          <w:p>
            <w:pPr>
              <w:spacing w:before="30" w:after="30"/>
              <w:ind w:left="60"/>
            </w:pPr>
            <w:r>
              <w:rPr>
                <w:color w:val="4A5568"/>
                <w:sz w:val="20"/>
              </w:rPr>
              <w:t>Total direct jobs created (peak)</w:t>
            </w:r>
          </w:p>
        </w:tc>
        <w:tc>
          <w:tcPr>
            <w:tcW w:w="30" w:type="pct"/>
          </w:tcPr>
          <w:p>
            <w:pPr>
              <w:spacing w:before="30" w:after="30"/>
              <w:ind w:left="60"/>
            </w:pPr>
            <w:r>
              <w:rPr>
                <w:color w:val="4A5568"/>
                <w:sz w:val="20"/>
              </w:rPr>
              <w:t>8,340</w:t>
            </w:r>
          </w:p>
        </w:tc>
        <w:tc>
          <w:tcPr>
            <w:tcW w:w="30" w:type="pct"/>
          </w:tcPr>
          <w:p>
            <w:pPr>
              <w:spacing w:before="30" w:after="30"/>
              <w:ind w:left="60"/>
            </w:pPr>
            <w:r>
              <w:rPr>
                <w:color w:val="4A5568"/>
                <w:sz w:val="20"/>
              </w:rPr>
              <w:t>Procurement packages</w:t>
            </w:r>
          </w:p>
        </w:tc>
      </w:tr>
      <w:tr>
        <w:tc>
          <w:tcPr>
            <w:tcW w:w="40" w:type="pct"/>
          </w:tcPr>
          <w:p>
            <w:pPr>
              <w:spacing w:before="30" w:after="30"/>
              <w:ind w:left="60"/>
            </w:pPr>
            <w:r>
              <w:rPr>
                <w:color w:val="4A5568"/>
                <w:sz w:val="20"/>
              </w:rPr>
              <w:t>Total indirect + induced jobs</w:t>
            </w:r>
          </w:p>
        </w:tc>
        <w:tc>
          <w:tcPr>
            <w:tcW w:w="30" w:type="pct"/>
          </w:tcPr>
          <w:p>
            <w:pPr>
              <w:spacing w:before="30" w:after="30"/>
              <w:ind w:left="60"/>
            </w:pPr>
            <w:r>
              <w:rPr>
                <w:color w:val="4A5568"/>
                <w:sz w:val="20"/>
              </w:rPr>
              <w:t>11,950</w:t>
            </w:r>
          </w:p>
        </w:tc>
        <w:tc>
          <w:tcPr>
            <w:tcW w:w="30" w:type="pct"/>
          </w:tcPr>
          <w:p>
            <w:pPr>
              <w:spacing w:before="30" w:after="30"/>
              <w:ind w:left="60"/>
            </w:pPr>
            <w:r>
              <w:rPr>
                <w:color w:val="4A5568"/>
                <w:sz w:val="20"/>
              </w:rPr>
              <w:t>Multiplier (ISED 2024)</w:t>
            </w:r>
          </w:p>
        </w:tc>
      </w:tr>
      <w:tr>
        <w:tc>
          <w:tcPr>
            <w:tcW w:w="40" w:type="pct"/>
          </w:tcPr>
          <w:p>
            <w:pPr>
              <w:spacing w:before="30" w:after="30"/>
              <w:ind w:left="60"/>
            </w:pPr>
            <w:r>
              <w:rPr>
                <w:color w:val="4A5568"/>
                <w:sz w:val="20"/>
              </w:rPr>
              <w:t>Total GDP contribution (10-year)</w:t>
            </w:r>
          </w:p>
        </w:tc>
        <w:tc>
          <w:tcPr>
            <w:tcW w:w="30" w:type="pct"/>
          </w:tcPr>
          <w:p>
            <w:pPr>
              <w:spacing w:before="30" w:after="30"/>
              <w:ind w:left="60"/>
            </w:pPr>
            <w:r>
              <w:rPr>
                <w:color w:val="4A5568"/>
                <w:sz w:val="20"/>
              </w:rPr>
              <w:t>$14.1 billion</w:t>
            </w:r>
          </w:p>
        </w:tc>
        <w:tc>
          <w:tcPr>
            <w:tcW w:w="30" w:type="pct"/>
          </w:tcPr>
          <w:p>
            <w:pPr>
              <w:spacing w:before="30" w:after="30"/>
              <w:ind w:left="60"/>
            </w:pPr>
            <w:r>
              <w:rPr>
                <w:color w:val="4A5568"/>
                <w:sz w:val="20"/>
              </w:rPr>
              <w:t>Multiplier + sector data</w:t>
            </w:r>
          </w:p>
        </w:tc>
      </w:tr>
      <w:tr>
        <w:tc>
          <w:tcPr>
            <w:tcW w:w="40" w:type="pct"/>
          </w:tcPr>
          <w:p>
            <w:pPr>
              <w:spacing w:before="30" w:after="30"/>
              <w:ind w:left="60"/>
            </w:pPr>
            <w:r>
              <w:rPr>
                <w:color w:val="4A5568"/>
                <w:sz w:val="20"/>
              </w:rPr>
              <w:t>Procurement savings vs. F-35</w:t>
            </w:r>
          </w:p>
        </w:tc>
        <w:tc>
          <w:tcPr>
            <w:tcW w:w="30" w:type="pct"/>
          </w:tcPr>
          <w:p>
            <w:pPr>
              <w:spacing w:before="30" w:after="30"/>
              <w:ind w:left="60"/>
            </w:pPr>
            <w:r>
              <w:rPr>
                <w:color w:val="4A5568"/>
                <w:sz w:val="20"/>
              </w:rPr>
              <w:t>$9.24 billion</w:t>
            </w:r>
          </w:p>
        </w:tc>
        <w:tc>
          <w:tcPr>
            <w:tcW w:w="30" w:type="pct"/>
          </w:tcPr>
          <w:p>
            <w:pPr>
              <w:spacing w:before="30" w:after="30"/>
              <w:ind w:left="60"/>
            </w:pPr>
            <w:r>
              <w:rPr>
                <w:color w:val="4A5568"/>
                <w:sz w:val="20"/>
              </w:rPr>
              <w:t>Difference in program costs</w:t>
            </w:r>
          </w:p>
        </w:tc>
      </w:tr>
      <w:tr>
        <w:tc>
          <w:tcPr>
            <w:tcW w:w="40" w:type="pct"/>
          </w:tcPr>
          <w:p>
            <w:pPr>
              <w:spacing w:before="30" w:after="30"/>
              <w:ind w:left="60"/>
            </w:pPr>
            <w:r>
              <w:rPr>
                <w:color w:val="4A5568"/>
                <w:sz w:val="20"/>
              </w:rPr>
              <w:t>Annual operating cost savings</w:t>
            </w:r>
          </w:p>
        </w:tc>
        <w:tc>
          <w:tcPr>
            <w:tcW w:w="30" w:type="pct"/>
          </w:tcPr>
          <w:p>
            <w:pPr>
              <w:spacing w:before="30" w:after="30"/>
              <w:ind w:left="60"/>
            </w:pPr>
            <w:r>
              <w:rPr>
                <w:color w:val="4A5568"/>
                <w:sz w:val="20"/>
              </w:rPr>
              <w:t>$1.134 billion/yr</w:t>
            </w:r>
          </w:p>
        </w:tc>
        <w:tc>
          <w:tcPr>
            <w:tcW w:w="30" w:type="pct"/>
          </w:tcPr>
          <w:p>
            <w:pPr>
              <w:spacing w:before="30" w:after="30"/>
              <w:ind w:left="60"/>
            </w:pPr>
            <w:r>
              <w:rPr>
                <w:color w:val="4A5568"/>
                <w:sz w:val="20"/>
              </w:rPr>
              <w:t>Difference in sustainment</w:t>
            </w:r>
          </w:p>
        </w:tc>
      </w:tr>
      <w:tr>
        <w:tc>
          <w:tcPr>
            <w:tcW w:w="40" w:type="pct"/>
          </w:tcPr>
          <w:p>
            <w:pPr>
              <w:spacing w:before="30" w:after="30"/>
              <w:ind w:left="60"/>
            </w:pPr>
            <w:r>
              <w:rPr>
                <w:color w:val="4A5568"/>
                <w:sz w:val="20"/>
              </w:rPr>
              <w:t>Export potential (by 2040)</w:t>
            </w:r>
          </w:p>
        </w:tc>
        <w:tc>
          <w:tcPr>
            <w:tcW w:w="30" w:type="pct"/>
          </w:tcPr>
          <w:p>
            <w:pPr>
              <w:spacing w:before="30" w:after="30"/>
              <w:ind w:left="60"/>
            </w:pPr>
            <w:r>
              <w:rPr>
                <w:color w:val="4A5568"/>
                <w:sz w:val="20"/>
              </w:rPr>
              <w:t>$2.0-4.0 billion</w:t>
            </w:r>
          </w:p>
        </w:tc>
        <w:tc>
          <w:tcPr>
            <w:tcW w:w="30" w:type="pct"/>
          </w:tcPr>
          <w:p>
            <w:pPr>
              <w:spacing w:before="30" w:after="30"/>
              <w:ind w:left="60"/>
            </w:pPr>
            <w:r>
              <w:rPr>
                <w:color w:val="4A5568"/>
                <w:sz w:val="20"/>
              </w:rPr>
              <w:t>Market analysis</w:t>
            </w:r>
          </w:p>
        </w:tc>
      </w:tr>
      <w:tr>
        <w:tc>
          <w:tcPr>
            <w:tcW w:w="40" w:type="pct"/>
          </w:tcPr>
          <w:p>
            <w:pPr>
              <w:spacing w:before="30" w:after="30"/>
              <w:ind w:left="60"/>
            </w:pPr>
            <w:r>
              <w:rPr>
                <w:color w:val="4A5568"/>
                <w:sz w:val="20"/>
              </w:rPr>
              <w:t>Tax revenue (10-year)</w:t>
            </w:r>
          </w:p>
        </w:tc>
        <w:tc>
          <w:tcPr>
            <w:tcW w:w="30" w:type="pct"/>
          </w:tcPr>
          <w:p>
            <w:pPr>
              <w:spacing w:before="30" w:after="30"/>
              <w:ind w:left="60"/>
            </w:pPr>
            <w:r>
              <w:rPr>
                <w:color w:val="4A5568"/>
                <w:sz w:val="20"/>
              </w:rPr>
              <w:t>$3.78 billion</w:t>
            </w:r>
          </w:p>
        </w:tc>
        <w:tc>
          <w:tcPr>
            <w:tcW w:w="30" w:type="pct"/>
          </w:tcPr>
          <w:p>
            <w:pPr>
              <w:spacing w:before="30" w:after="30"/>
              <w:ind w:left="60"/>
            </w:pPr>
            <w:r>
              <w:rPr>
                <w:color w:val="4A5568"/>
                <w:sz w:val="20"/>
              </w:rPr>
              <w:t>Tax multiplier</w:t>
            </w:r>
          </w:p>
        </w:tc>
      </w:tr>
    </w:tbl>
    <w:p>
      <w:pPr>
        <w:spacing w:after="120"/>
      </w:pPr>
    </w:p>
    <w:p>
      <w:pPr>
        <w:pStyle w:val="Heading2"/>
      </w:pPr>
      <w:r>
        <w:t>Direct Job Creation by Province</w:t>
      </w:r>
    </w:p>
    <w:tbl>
      <w:tblPr>
        <w:tblW w:w="5000" w:type="pct"/>
        <w:tblBorders>
          <w:top w:val="single" w:color="3D5A80" w:sz="12"/>
          <w:left w:val="nil"/>
          <w:bottom w:val="single" w:color="3D5A80" w:sz="12"/>
          <w:right w:val="nil"/>
          <w:insideH w:val="single" w:color="C8D5E0" w:sz="4"/>
          <w:insideV w:val="nil"/>
        </w:tblBorders>
      </w:tblPr>
      <w:tblGrid>
        <w:gridCol w:w="20"/>
        <w:gridCol w:w="15"/>
        <w:gridCol w:w="15"/>
        <w:gridCol w:w="15"/>
        <w:gridCol w:w="15"/>
        <w:gridCol w:w="20"/>
      </w:tblGrid>
      <w:tr>
        <w:trPr>
          <w:tblHeader/>
        </w:trPr>
        <w:tc>
          <w:tcPr>
            <w:tcW w:w="20" w:type="pct"/>
            <w:shd w:val="clear" w:fill="E8EDF2"/>
          </w:tcPr>
          <w:p>
            <w:pPr>
              <w:spacing w:before="40" w:after="40"/>
              <w:jc w:val="center"/>
            </w:pPr>
            <w:r>
              <w:rPr>
                <w:b/>
                <w:color w:val="1D2D3D"/>
                <w:sz w:val="20"/>
              </w:rPr>
              <w:t>Province</w:t>
            </w:r>
          </w:p>
        </w:tc>
        <w:tc>
          <w:tcPr>
            <w:tcW w:w="15" w:type="pct"/>
            <w:shd w:val="clear" w:fill="E8EDF2"/>
          </w:tcPr>
          <w:p>
            <w:pPr>
              <w:spacing w:before="40" w:after="40"/>
              <w:jc w:val="center"/>
            </w:pPr>
            <w:r>
              <w:rPr>
                <w:b/>
                <w:color w:val="1D2D3D"/>
                <w:sz w:val="20"/>
              </w:rPr>
              <w:t>Direct</w:t>
            </w:r>
          </w:p>
        </w:tc>
        <w:tc>
          <w:tcPr>
            <w:tcW w:w="15" w:type="pct"/>
            <w:shd w:val="clear" w:fill="E8EDF2"/>
          </w:tcPr>
          <w:p>
            <w:pPr>
              <w:spacing w:before="40" w:after="40"/>
              <w:jc w:val="center"/>
            </w:pPr>
            <w:r>
              <w:rPr>
                <w:b/>
                <w:color w:val="1D2D3D"/>
                <w:sz w:val="20"/>
              </w:rPr>
              <w:t>Indirect</w:t>
            </w:r>
          </w:p>
        </w:tc>
        <w:tc>
          <w:tcPr>
            <w:tcW w:w="15" w:type="pct"/>
            <w:shd w:val="clear" w:fill="E8EDF2"/>
          </w:tcPr>
          <w:p>
            <w:pPr>
              <w:spacing w:before="40" w:after="40"/>
              <w:jc w:val="center"/>
            </w:pPr>
            <w:r>
              <w:rPr>
                <w:b/>
                <w:color w:val="1D2D3D"/>
                <w:sz w:val="20"/>
              </w:rPr>
              <w:t>Induced</w:t>
            </w:r>
          </w:p>
        </w:tc>
        <w:tc>
          <w:tcPr>
            <w:tcW w:w="15" w:type="pct"/>
            <w:shd w:val="clear" w:fill="E8EDF2"/>
          </w:tcPr>
          <w:p>
            <w:pPr>
              <w:spacing w:before="40" w:after="40"/>
              <w:jc w:val="center"/>
            </w:pPr>
            <w:r>
              <w:rPr>
                <w:b/>
                <w:color w:val="1D2D3D"/>
                <w:sz w:val="20"/>
              </w:rPr>
              <w:t>Total</w:t>
            </w:r>
          </w:p>
        </w:tc>
        <w:tc>
          <w:tcPr>
            <w:tcW w:w="20" w:type="pct"/>
            <w:shd w:val="clear" w:fill="E8EDF2"/>
          </w:tcPr>
          <w:p>
            <w:pPr>
              <w:spacing w:before="40" w:after="40"/>
              <w:jc w:val="center"/>
            </w:pPr>
            <w:r>
              <w:rPr>
                <w:b/>
                <w:color w:val="1D2D3D"/>
                <w:sz w:val="20"/>
              </w:rPr>
              <w:t>% National</w:t>
            </w:r>
          </w:p>
        </w:tc>
      </w:tr>
      <w:tr>
        <w:tc>
          <w:tcPr>
            <w:tcW w:w="20" w:type="pct"/>
          </w:tcPr>
          <w:p>
            <w:pPr>
              <w:spacing w:before="30" w:after="30"/>
              <w:ind w:left="60"/>
            </w:pPr>
            <w:r>
              <w:rPr>
                <w:color w:val="4A5568"/>
                <w:sz w:val="20"/>
              </w:rPr>
              <w:t>Quebec</w:t>
            </w:r>
          </w:p>
        </w:tc>
        <w:tc>
          <w:tcPr>
            <w:tcW w:w="15" w:type="pct"/>
          </w:tcPr>
          <w:p>
            <w:pPr>
              <w:spacing w:before="30" w:after="30"/>
              <w:ind w:left="60"/>
            </w:pPr>
            <w:r>
              <w:rPr>
                <w:color w:val="4A5568"/>
                <w:sz w:val="20"/>
              </w:rPr>
              <w:t>5,160</w:t>
            </w:r>
          </w:p>
        </w:tc>
        <w:tc>
          <w:tcPr>
            <w:tcW w:w="15" w:type="pct"/>
          </w:tcPr>
          <w:p>
            <w:pPr>
              <w:spacing w:before="30" w:after="30"/>
              <w:ind w:left="60"/>
            </w:pPr>
            <w:r>
              <w:rPr>
                <w:color w:val="4A5568"/>
                <w:sz w:val="20"/>
              </w:rPr>
              <w:t>4,644</w:t>
            </w:r>
          </w:p>
        </w:tc>
        <w:tc>
          <w:tcPr>
            <w:tcW w:w="15" w:type="pct"/>
          </w:tcPr>
          <w:p>
            <w:pPr>
              <w:spacing w:before="30" w:after="30"/>
              <w:ind w:left="60"/>
            </w:pPr>
            <w:r>
              <w:rPr>
                <w:color w:val="4A5568"/>
                <w:sz w:val="20"/>
              </w:rPr>
              <w:t>1,990</w:t>
            </w:r>
          </w:p>
        </w:tc>
        <w:tc>
          <w:tcPr>
            <w:tcW w:w="15" w:type="pct"/>
          </w:tcPr>
          <w:p>
            <w:pPr>
              <w:spacing w:before="30" w:after="30"/>
              <w:ind w:left="60"/>
            </w:pPr>
            <w:r>
              <w:rPr>
                <w:color w:val="4A5568"/>
                <w:sz w:val="20"/>
              </w:rPr>
              <w:t>11,794</w:t>
            </w:r>
          </w:p>
        </w:tc>
        <w:tc>
          <w:tcPr>
            <w:tcW w:w="20" w:type="pct"/>
          </w:tcPr>
          <w:p>
            <w:pPr>
              <w:spacing w:before="30" w:after="30"/>
              <w:ind w:left="60"/>
            </w:pPr>
            <w:r>
              <w:rPr>
                <w:color w:val="4A5568"/>
                <w:sz w:val="20"/>
              </w:rPr>
              <w:t>58.3%</w:t>
            </w:r>
          </w:p>
        </w:tc>
      </w:tr>
      <w:tr>
        <w:tc>
          <w:tcPr>
            <w:tcW w:w="20" w:type="pct"/>
          </w:tcPr>
          <w:p>
            <w:pPr>
              <w:spacing w:before="30" w:after="30"/>
              <w:ind w:left="60"/>
            </w:pPr>
            <w:r>
              <w:rPr>
                <w:color w:val="4A5568"/>
                <w:sz w:val="20"/>
              </w:rPr>
              <w:t>Ontario</w:t>
            </w:r>
          </w:p>
        </w:tc>
        <w:tc>
          <w:tcPr>
            <w:tcW w:w="15" w:type="pct"/>
          </w:tcPr>
          <w:p>
            <w:pPr>
              <w:spacing w:before="30" w:after="30"/>
              <w:ind w:left="60"/>
            </w:pPr>
            <w:r>
              <w:rPr>
                <w:color w:val="4A5568"/>
                <w:sz w:val="20"/>
              </w:rPr>
              <w:t>1,600</w:t>
            </w:r>
          </w:p>
        </w:tc>
        <w:tc>
          <w:tcPr>
            <w:tcW w:w="15" w:type="pct"/>
          </w:tcPr>
          <w:p>
            <w:pPr>
              <w:spacing w:before="30" w:after="30"/>
              <w:ind w:left="60"/>
            </w:pPr>
            <w:r>
              <w:rPr>
                <w:color w:val="4A5568"/>
                <w:sz w:val="20"/>
              </w:rPr>
              <w:t>1,440</w:t>
            </w:r>
          </w:p>
        </w:tc>
        <w:tc>
          <w:tcPr>
            <w:tcW w:w="15" w:type="pct"/>
          </w:tcPr>
          <w:p>
            <w:pPr>
              <w:spacing w:before="30" w:after="30"/>
              <w:ind w:left="60"/>
            </w:pPr>
            <w:r>
              <w:rPr>
                <w:color w:val="4A5568"/>
                <w:sz w:val="20"/>
              </w:rPr>
              <w:t>800</w:t>
            </w:r>
          </w:p>
        </w:tc>
        <w:tc>
          <w:tcPr>
            <w:tcW w:w="15" w:type="pct"/>
          </w:tcPr>
          <w:p>
            <w:pPr>
              <w:spacing w:before="30" w:after="30"/>
              <w:ind w:left="60"/>
            </w:pPr>
            <w:r>
              <w:rPr>
                <w:color w:val="4A5568"/>
                <w:sz w:val="20"/>
              </w:rPr>
              <w:t>3,840</w:t>
            </w:r>
          </w:p>
        </w:tc>
        <w:tc>
          <w:tcPr>
            <w:tcW w:w="20" w:type="pct"/>
          </w:tcPr>
          <w:p>
            <w:pPr>
              <w:spacing w:before="30" w:after="30"/>
              <w:ind w:left="60"/>
            </w:pPr>
            <w:r>
              <w:rPr>
                <w:color w:val="4A5568"/>
                <w:sz w:val="20"/>
              </w:rPr>
              <w:t>19.0%</w:t>
            </w:r>
          </w:p>
        </w:tc>
      </w:tr>
      <w:tr>
        <w:tc>
          <w:tcPr>
            <w:tcW w:w="20" w:type="pct"/>
          </w:tcPr>
          <w:p>
            <w:pPr>
              <w:spacing w:before="30" w:after="30"/>
              <w:ind w:left="60"/>
            </w:pPr>
            <w:r>
              <w:rPr>
                <w:color w:val="4A5568"/>
                <w:sz w:val="20"/>
              </w:rPr>
              <w:t>Atlantic</w:t>
            </w:r>
          </w:p>
        </w:tc>
        <w:tc>
          <w:tcPr>
            <w:tcW w:w="15" w:type="pct"/>
          </w:tcPr>
          <w:p>
            <w:pPr>
              <w:spacing w:before="30" w:after="30"/>
              <w:ind w:left="60"/>
            </w:pPr>
            <w:r>
              <w:rPr>
                <w:color w:val="4A5568"/>
                <w:sz w:val="20"/>
              </w:rPr>
              <w:t>884</w:t>
            </w:r>
          </w:p>
        </w:tc>
        <w:tc>
          <w:tcPr>
            <w:tcW w:w="15" w:type="pct"/>
          </w:tcPr>
          <w:p>
            <w:pPr>
              <w:spacing w:before="30" w:after="30"/>
              <w:ind w:left="60"/>
            </w:pPr>
            <w:r>
              <w:rPr>
                <w:color w:val="4A5568"/>
                <w:sz w:val="20"/>
              </w:rPr>
              <w:t>703</w:t>
            </w:r>
          </w:p>
        </w:tc>
        <w:tc>
          <w:tcPr>
            <w:tcW w:w="15" w:type="pct"/>
          </w:tcPr>
          <w:p>
            <w:pPr>
              <w:spacing w:before="30" w:after="30"/>
              <w:ind w:left="60"/>
            </w:pPr>
            <w:r>
              <w:rPr>
                <w:color w:val="4A5568"/>
                <w:sz w:val="20"/>
              </w:rPr>
              <w:t>469</w:t>
            </w:r>
          </w:p>
        </w:tc>
        <w:tc>
          <w:tcPr>
            <w:tcW w:w="15" w:type="pct"/>
          </w:tcPr>
          <w:p>
            <w:pPr>
              <w:spacing w:before="30" w:after="30"/>
              <w:ind w:left="60"/>
            </w:pPr>
            <w:r>
              <w:rPr>
                <w:color w:val="4A5568"/>
                <w:sz w:val="20"/>
              </w:rPr>
              <w:t>2,056</w:t>
            </w:r>
          </w:p>
        </w:tc>
        <w:tc>
          <w:tcPr>
            <w:tcW w:w="20" w:type="pct"/>
          </w:tcPr>
          <w:p>
            <w:pPr>
              <w:spacing w:before="30" w:after="30"/>
              <w:ind w:left="60"/>
            </w:pPr>
            <w:r>
              <w:rPr>
                <w:color w:val="4A5568"/>
                <w:sz w:val="20"/>
              </w:rPr>
              <w:t>10.1%</w:t>
            </w:r>
          </w:p>
        </w:tc>
      </w:tr>
      <w:tr>
        <w:tc>
          <w:tcPr>
            <w:tcW w:w="20" w:type="pct"/>
          </w:tcPr>
          <w:p>
            <w:pPr>
              <w:spacing w:before="30" w:after="30"/>
              <w:ind w:left="60"/>
            </w:pPr>
            <w:r>
              <w:rPr>
                <w:color w:val="4A5568"/>
                <w:sz w:val="20"/>
              </w:rPr>
              <w:t>Western</w:t>
            </w:r>
          </w:p>
        </w:tc>
        <w:tc>
          <w:tcPr>
            <w:tcW w:w="15" w:type="pct"/>
          </w:tcPr>
          <w:p>
            <w:pPr>
              <w:spacing w:before="30" w:after="30"/>
              <w:ind w:left="60"/>
            </w:pPr>
            <w:r>
              <w:rPr>
                <w:color w:val="4A5568"/>
                <w:sz w:val="20"/>
              </w:rPr>
              <w:t>688</w:t>
            </w:r>
          </w:p>
        </w:tc>
        <w:tc>
          <w:tcPr>
            <w:tcW w:w="15" w:type="pct"/>
          </w:tcPr>
          <w:p>
            <w:pPr>
              <w:spacing w:before="30" w:after="30"/>
              <w:ind w:left="60"/>
            </w:pPr>
            <w:r>
              <w:rPr>
                <w:color w:val="4A5568"/>
                <w:sz w:val="20"/>
              </w:rPr>
              <w:t>537</w:t>
            </w:r>
          </w:p>
        </w:tc>
        <w:tc>
          <w:tcPr>
            <w:tcW w:w="15" w:type="pct"/>
          </w:tcPr>
          <w:p>
            <w:pPr>
              <w:spacing w:before="30" w:after="30"/>
              <w:ind w:left="60"/>
            </w:pPr>
            <w:r>
              <w:rPr>
                <w:color w:val="4A5568"/>
                <w:sz w:val="20"/>
              </w:rPr>
              <w:t>372</w:t>
            </w:r>
          </w:p>
        </w:tc>
        <w:tc>
          <w:tcPr>
            <w:tcW w:w="15" w:type="pct"/>
          </w:tcPr>
          <w:p>
            <w:pPr>
              <w:spacing w:before="30" w:after="30"/>
              <w:ind w:left="60"/>
            </w:pPr>
            <w:r>
              <w:rPr>
                <w:color w:val="4A5568"/>
                <w:sz w:val="20"/>
              </w:rPr>
              <w:t>1,597</w:t>
            </w:r>
          </w:p>
        </w:tc>
        <w:tc>
          <w:tcPr>
            <w:tcW w:w="20" w:type="pct"/>
          </w:tcPr>
          <w:p>
            <w:pPr>
              <w:spacing w:before="30" w:after="30"/>
              <w:ind w:left="60"/>
            </w:pPr>
            <w:r>
              <w:rPr>
                <w:color w:val="4A5568"/>
                <w:sz w:val="20"/>
              </w:rPr>
              <w:t>7.9%</w:t>
            </w:r>
          </w:p>
        </w:tc>
      </w:tr>
      <w:tr>
        <w:tc>
          <w:tcPr>
            <w:tcW w:w="20" w:type="pct"/>
          </w:tcPr>
          <w:p>
            <w:pPr>
              <w:spacing w:before="30" w:after="30"/>
              <w:ind w:left="60"/>
            </w:pPr>
            <w:r>
              <w:rPr>
                <w:color w:val="4A5568"/>
                <w:sz w:val="20"/>
              </w:rPr>
              <w:t>Pan-Canadian</w:t>
            </w:r>
          </w:p>
        </w:tc>
        <w:tc>
          <w:tcPr>
            <w:tcW w:w="15" w:type="pct"/>
          </w:tcPr>
          <w:p>
            <w:pPr>
              <w:spacing w:before="30" w:after="30"/>
              <w:ind w:left="60"/>
            </w:pPr>
            <w:r>
              <w:rPr>
                <w:color w:val="4A5568"/>
                <w:sz w:val="20"/>
              </w:rPr>
              <w:t>0</w:t>
            </w:r>
          </w:p>
        </w:tc>
        <w:tc>
          <w:tcPr>
            <w:tcW w:w="15" w:type="pct"/>
          </w:tcPr>
          <w:p>
            <w:pPr>
              <w:spacing w:before="30" w:after="30"/>
              <w:ind w:left="60"/>
            </w:pPr>
            <w:r>
              <w:rPr>
                <w:color w:val="4A5568"/>
                <w:sz w:val="20"/>
              </w:rPr>
              <w:t>0</w:t>
            </w:r>
          </w:p>
        </w:tc>
        <w:tc>
          <w:tcPr>
            <w:tcW w:w="15" w:type="pct"/>
          </w:tcPr>
          <w:p>
            <w:pPr>
              <w:spacing w:before="30" w:after="30"/>
              <w:ind w:left="60"/>
            </w:pPr>
            <w:r>
              <w:rPr>
                <w:color w:val="4A5568"/>
                <w:sz w:val="20"/>
              </w:rPr>
              <w:t>0</w:t>
            </w:r>
          </w:p>
        </w:tc>
        <w:tc>
          <w:tcPr>
            <w:tcW w:w="15" w:type="pct"/>
          </w:tcPr>
          <w:p>
            <w:pPr>
              <w:spacing w:before="30" w:after="30"/>
              <w:ind w:left="60"/>
            </w:pPr>
            <w:r>
              <w:rPr>
                <w:color w:val="4A5568"/>
                <w:sz w:val="20"/>
              </w:rPr>
              <w:t>1,000</w:t>
            </w:r>
          </w:p>
        </w:tc>
        <w:tc>
          <w:tcPr>
            <w:tcW w:w="20" w:type="pct"/>
          </w:tcPr>
          <w:p>
            <w:pPr>
              <w:spacing w:before="30" w:after="30"/>
              <w:ind w:left="60"/>
            </w:pPr>
            <w:r>
              <w:rPr>
                <w:color w:val="4A5568"/>
                <w:sz w:val="20"/>
              </w:rPr>
              <w:t>4.8%</w:t>
            </w:r>
          </w:p>
        </w:tc>
      </w:tr>
      <w:tr>
        <w:tc>
          <w:tcPr>
            <w:tcW w:w="20" w:type="pct"/>
          </w:tcPr>
          <w:p>
            <w:pPr>
              <w:spacing w:before="30" w:after="30"/>
              <w:ind w:left="60"/>
            </w:pPr>
            <w:r>
              <w:rPr>
                <w:color w:val="4A5568"/>
                <w:sz w:val="20"/>
              </w:rPr>
              <w:t>CANADA TOTAL</w:t>
            </w:r>
          </w:p>
        </w:tc>
        <w:tc>
          <w:tcPr>
            <w:tcW w:w="15" w:type="pct"/>
          </w:tcPr>
          <w:p>
            <w:pPr>
              <w:spacing w:before="30" w:after="30"/>
              <w:ind w:left="60"/>
            </w:pPr>
            <w:r>
              <w:rPr>
                <w:color w:val="4A5568"/>
                <w:sz w:val="20"/>
              </w:rPr>
              <w:t>8,340</w:t>
            </w:r>
          </w:p>
        </w:tc>
        <w:tc>
          <w:tcPr>
            <w:tcW w:w="15" w:type="pct"/>
          </w:tcPr>
          <w:p>
            <w:pPr>
              <w:spacing w:before="30" w:after="30"/>
              <w:ind w:left="60"/>
            </w:pPr>
            <w:r>
              <w:rPr>
                <w:color w:val="4A5568"/>
                <w:sz w:val="20"/>
              </w:rPr>
              <w:t>7,324</w:t>
            </w:r>
          </w:p>
        </w:tc>
        <w:tc>
          <w:tcPr>
            <w:tcW w:w="15" w:type="pct"/>
          </w:tcPr>
          <w:p>
            <w:pPr>
              <w:spacing w:before="30" w:after="30"/>
              <w:ind w:left="60"/>
            </w:pPr>
            <w:r>
              <w:rPr>
                <w:color w:val="4A5568"/>
                <w:sz w:val="20"/>
              </w:rPr>
              <w:t>4,631</w:t>
            </w:r>
          </w:p>
        </w:tc>
        <w:tc>
          <w:tcPr>
            <w:tcW w:w="15" w:type="pct"/>
          </w:tcPr>
          <w:p>
            <w:pPr>
              <w:spacing w:before="30" w:after="30"/>
              <w:ind w:left="60"/>
            </w:pPr>
            <w:r>
              <w:rPr>
                <w:color w:val="4A5568"/>
                <w:sz w:val="20"/>
              </w:rPr>
              <w:t>20,295</w:t>
            </w:r>
          </w:p>
        </w:tc>
        <w:tc>
          <w:tcPr>
            <w:tcW w:w="20" w:type="pct"/>
          </w:tcPr>
          <w:p>
            <w:pPr>
              <w:spacing w:before="30" w:after="30"/>
              <w:ind w:left="60"/>
            </w:pPr>
            <w:r>
              <w:rPr>
                <w:color w:val="4A5568"/>
                <w:sz w:val="20"/>
              </w:rPr>
              <w:t>100%</w:t>
            </w:r>
          </w:p>
        </w:tc>
      </w:tr>
    </w:tbl>
    <w:p>
      <w:pPr>
        <w:spacing w:after="120"/>
      </w:pPr>
    </w:p>
    <w:p>
      <w:pPr>
        <w:pStyle w:val="Heading3"/>
      </w:pPr>
      <w:r>
        <w:t>Quebec — Canada's Aerospace Capital</w:t>
      </w:r>
    </w:p>
    <w:p>
      <w:r>
        <w:t>Quebec hosts 61% of Canada's aerospace manufacturing employment. Final assembly of 48 Arctic Gripen E aircraft plus 108 drone airframes represents the largest production program in Quebec since the Airbus A220. Key activities: 1,800 jobs at Bombardier Mirabel (Gripen assembly), 900 jobs (Sprinter/Striker assembly), 600 jobs at CAE (autonomy), 400 jobs at P&amp;WC (engine depot).</w:t>
      </w:r>
    </w:p>
    <w:p>
      <w:pPr>
        <w:pStyle w:val="Heading3"/>
      </w:pPr>
      <w:r>
        <w:t>Ontario — High-Technology Subsystems</w:t>
      </w:r>
    </w:p>
    <w:p>
      <w:r>
        <w:t>Ontario's contribution centres on MDA's radar and EO expertise (Raven ES-05 polar modes, Striker EODAS), the Ottawa autonomy cluster (collaborative combat AI), and precision components. Critically, Ontario's role expands through the auto-to-aero workforce transition program.</w:t>
      </w:r>
    </w:p>
    <w:p>
      <w:pPr>
        <w:pStyle w:val="Heading2"/>
      </w:pPr>
      <w:r>
        <w:t>GDP Contribution and Growth</w:t>
      </w:r>
    </w:p>
    <w:p>
      <w:pPr>
        <w:pStyle w:val="Heading3"/>
      </w:pPr>
      <w:r>
        <w:t>10-Year Program Spending</w:t>
      </w:r>
    </w:p>
    <w:tbl>
      <w:tblPr>
        <w:tblW w:w="5000" w:type="pct"/>
        <w:tblBorders>
          <w:top w:val="single" w:color="3D5A80" w:sz="12"/>
          <w:left w:val="nil"/>
          <w:bottom w:val="single" w:color="3D5A80" w:sz="12"/>
          <w:right w:val="nil"/>
          <w:insideH w:val="single" w:color="C8D5E0" w:sz="4"/>
          <w:insideV w:val="nil"/>
        </w:tblBorders>
      </w:tblPr>
      <w:tblGrid>
        <w:gridCol w:w="50"/>
        <w:gridCol w:w="30"/>
        <w:gridCol w:w="20"/>
      </w:tblGrid>
      <w:tr>
        <w:trPr>
          <w:tblHeader/>
        </w:trPr>
        <w:tc>
          <w:tcPr>
            <w:tcW w:w="50" w:type="pct"/>
            <w:shd w:val="clear" w:fill="E8EDF2"/>
          </w:tcPr>
          <w:p>
            <w:pPr>
              <w:spacing w:before="40" w:after="40"/>
              <w:jc w:val="center"/>
            </w:pPr>
            <w:r>
              <w:rPr>
                <w:b/>
                <w:color w:val="1D2D3D"/>
                <w:sz w:val="20"/>
              </w:rPr>
              <w:t>Spending Category</w:t>
            </w:r>
          </w:p>
        </w:tc>
        <w:tc>
          <w:tcPr>
            <w:tcW w:w="30" w:type="pct"/>
            <w:shd w:val="clear" w:fill="E8EDF2"/>
          </w:tcPr>
          <w:p>
            <w:pPr>
              <w:spacing w:before="40" w:after="40"/>
              <w:jc w:val="center"/>
            </w:pPr>
            <w:r>
              <w:rPr>
                <w:b/>
                <w:color w:val="1D2D3D"/>
                <w:sz w:val="20"/>
              </w:rPr>
              <w:t>Amount (CAD B)</w:t>
            </w:r>
          </w:p>
        </w:tc>
        <w:tc>
          <w:tcPr>
            <w:tcW w:w="20" w:type="pct"/>
            <w:shd w:val="clear" w:fill="E8EDF2"/>
          </w:tcPr>
          <w:p>
            <w:pPr>
              <w:spacing w:before="40" w:after="40"/>
              <w:jc w:val="center"/>
            </w:pPr>
            <w:r>
              <w:rPr>
                <w:b/>
                <w:color w:val="1D2D3D"/>
                <w:sz w:val="20"/>
              </w:rPr>
              <w:t>Reference</w:t>
            </w:r>
          </w:p>
        </w:tc>
      </w:tr>
      <w:tr>
        <w:tc>
          <w:tcPr>
            <w:tcW w:w="50" w:type="pct"/>
          </w:tcPr>
          <w:p>
            <w:pPr>
              <w:spacing w:before="30" w:after="30"/>
              <w:ind w:left="60"/>
            </w:pPr>
            <w:r>
              <w:rPr>
                <w:color w:val="4A5568"/>
                <w:sz w:val="20"/>
              </w:rPr>
              <w:t>Gripen airframes (76 total)</w:t>
            </w:r>
          </w:p>
        </w:tc>
        <w:tc>
          <w:tcPr>
            <w:tcW w:w="30" w:type="pct"/>
          </w:tcPr>
          <w:p>
            <w:pPr>
              <w:spacing w:before="30" w:after="30"/>
              <w:ind w:left="60"/>
            </w:pPr>
            <w:r>
              <w:rPr>
                <w:color w:val="4A5568"/>
                <w:sz w:val="20"/>
              </w:rPr>
              <w:t>$9.22</w:t>
            </w:r>
          </w:p>
        </w:tc>
        <w:tc>
          <w:tcPr>
            <w:tcW w:w="20" w:type="pct"/>
          </w:tcPr>
          <w:p>
            <w:pPr>
              <w:spacing w:before="30" w:after="30"/>
              <w:ind w:left="60"/>
            </w:pPr>
            <w:r>
              <w:rPr>
                <w:color w:val="4A5568"/>
                <w:sz w:val="20"/>
              </w:rPr>
              <w:t>CDR-GRIPEN-PPP-001</w:t>
            </w:r>
          </w:p>
        </w:tc>
      </w:tr>
      <w:tr>
        <w:tc>
          <w:tcPr>
            <w:tcW w:w="50" w:type="pct"/>
          </w:tcPr>
          <w:p>
            <w:pPr>
              <w:spacing w:before="30" w:after="30"/>
              <w:ind w:left="60"/>
            </w:pPr>
            <w:r>
              <w:rPr>
                <w:color w:val="4A5568"/>
                <w:sz w:val="20"/>
              </w:rPr>
              <w:t>Sprinter airframes (116 total)</w:t>
            </w:r>
          </w:p>
        </w:tc>
        <w:tc>
          <w:tcPr>
            <w:tcW w:w="30" w:type="pct"/>
          </w:tcPr>
          <w:p>
            <w:pPr>
              <w:spacing w:before="30" w:after="30"/>
              <w:ind w:left="60"/>
            </w:pPr>
            <w:r>
              <w:rPr>
                <w:color w:val="4A5568"/>
                <w:sz w:val="20"/>
              </w:rPr>
              <w:t>$0.94</w:t>
            </w:r>
          </w:p>
        </w:tc>
        <w:tc>
          <w:tcPr>
            <w:tcW w:w="20" w:type="pct"/>
          </w:tcPr>
          <w:p>
            <w:pPr>
              <w:spacing w:before="30" w:after="30"/>
              <w:ind w:left="60"/>
            </w:pPr>
            <w:r>
              <w:rPr>
                <w:color w:val="4A5568"/>
                <w:sz w:val="20"/>
              </w:rPr>
              <w:t>CDR-SPRSTRK-PPP-001</w:t>
            </w:r>
          </w:p>
        </w:tc>
      </w:tr>
      <w:tr>
        <w:tc>
          <w:tcPr>
            <w:tcW w:w="50" w:type="pct"/>
          </w:tcPr>
          <w:p>
            <w:pPr>
              <w:spacing w:before="30" w:after="30"/>
              <w:ind w:left="60"/>
            </w:pPr>
            <w:r>
              <w:rPr>
                <w:color w:val="4A5568"/>
                <w:sz w:val="20"/>
              </w:rPr>
              <w:t>Striker airframes (76 total)</w:t>
            </w:r>
          </w:p>
        </w:tc>
        <w:tc>
          <w:tcPr>
            <w:tcW w:w="30" w:type="pct"/>
          </w:tcPr>
          <w:p>
            <w:pPr>
              <w:spacing w:before="30" w:after="30"/>
              <w:ind w:left="60"/>
            </w:pPr>
            <w:r>
              <w:rPr>
                <w:color w:val="4A5568"/>
                <w:sz w:val="20"/>
              </w:rPr>
              <w:t>$1.01</w:t>
            </w:r>
          </w:p>
        </w:tc>
        <w:tc>
          <w:tcPr>
            <w:tcW w:w="20" w:type="pct"/>
          </w:tcPr>
          <w:p>
            <w:pPr>
              <w:spacing w:before="30" w:after="30"/>
              <w:ind w:left="60"/>
            </w:pPr>
            <w:r>
              <w:rPr>
                <w:color w:val="4A5568"/>
                <w:sz w:val="20"/>
              </w:rPr>
              <w:t>CDR-STRKR-PPP-001</w:t>
            </w:r>
          </w:p>
        </w:tc>
      </w:tr>
      <w:tr>
        <w:tc>
          <w:tcPr>
            <w:tcW w:w="50" w:type="pct"/>
          </w:tcPr>
          <w:p>
            <w:pPr>
              <w:spacing w:before="30" w:after="30"/>
              <w:ind w:left="60"/>
            </w:pPr>
            <w:r>
              <w:rPr>
                <w:color w:val="4A5568"/>
                <w:sz w:val="20"/>
              </w:rPr>
              <w:t>Arctic augmentation kits</w:t>
            </w:r>
          </w:p>
        </w:tc>
        <w:tc>
          <w:tcPr>
            <w:tcW w:w="30" w:type="pct"/>
          </w:tcPr>
          <w:p>
            <w:pPr>
              <w:spacing w:before="30" w:after="30"/>
              <w:ind w:left="60"/>
            </w:pPr>
            <w:r>
              <w:rPr>
                <w:color w:val="4A5568"/>
                <w:sz w:val="20"/>
              </w:rPr>
              <w:t>$0.31</w:t>
            </w:r>
          </w:p>
        </w:tc>
        <w:tc>
          <w:tcPr>
            <w:tcW w:w="20" w:type="pct"/>
          </w:tcPr>
          <w:p>
            <w:pPr>
              <w:spacing w:before="30" w:after="30"/>
              <w:ind w:left="60"/>
            </w:pPr>
            <w:r>
              <w:rPr>
                <w:color w:val="4A5568"/>
                <w:sz w:val="20"/>
              </w:rPr>
              <w:t>CDR-GRIPEN-PPP-001</w:t>
            </w:r>
          </w:p>
        </w:tc>
      </w:tr>
      <w:tr>
        <w:tc>
          <w:tcPr>
            <w:tcW w:w="50" w:type="pct"/>
          </w:tcPr>
          <w:p>
            <w:pPr>
              <w:spacing w:before="30" w:after="30"/>
              <w:ind w:left="60"/>
            </w:pPr>
            <w:r>
              <w:rPr>
                <w:color w:val="4A5568"/>
                <w:sz w:val="20"/>
              </w:rPr>
              <w:t>Spare parts &amp; consumables</w:t>
            </w:r>
          </w:p>
        </w:tc>
        <w:tc>
          <w:tcPr>
            <w:tcW w:w="30" w:type="pct"/>
          </w:tcPr>
          <w:p>
            <w:pPr>
              <w:spacing w:before="30" w:after="30"/>
              <w:ind w:left="60"/>
            </w:pPr>
            <w:r>
              <w:rPr>
                <w:color w:val="4A5568"/>
                <w:sz w:val="20"/>
              </w:rPr>
              <w:t>$0.78</w:t>
            </w:r>
          </w:p>
        </w:tc>
        <w:tc>
          <w:tcPr>
            <w:tcW w:w="20" w:type="pct"/>
          </w:tcPr>
          <w:p>
            <w:pPr>
              <w:spacing w:before="30" w:after="30"/>
              <w:ind w:left="60"/>
            </w:pPr>
            <w:r>
              <w:rPr>
                <w:color w:val="4A5568"/>
                <w:sz w:val="20"/>
              </w:rPr>
              <w:t>Combined</w:t>
            </w:r>
          </w:p>
        </w:tc>
      </w:tr>
      <w:tr>
        <w:tc>
          <w:tcPr>
            <w:tcW w:w="50" w:type="pct"/>
          </w:tcPr>
          <w:p>
            <w:pPr>
              <w:spacing w:before="30" w:after="30"/>
              <w:ind w:left="60"/>
            </w:pPr>
            <w:r>
              <w:rPr>
                <w:color w:val="4A5568"/>
                <w:sz w:val="20"/>
              </w:rPr>
              <w:t>Ground support equipment</w:t>
            </w:r>
          </w:p>
        </w:tc>
        <w:tc>
          <w:tcPr>
            <w:tcW w:w="30" w:type="pct"/>
          </w:tcPr>
          <w:p>
            <w:pPr>
              <w:spacing w:before="30" w:after="30"/>
              <w:ind w:left="60"/>
            </w:pPr>
            <w:r>
              <w:rPr>
                <w:color w:val="4A5568"/>
                <w:sz w:val="20"/>
              </w:rPr>
              <w:t>$0.36</w:t>
            </w:r>
          </w:p>
        </w:tc>
        <w:tc>
          <w:tcPr>
            <w:tcW w:w="20" w:type="pct"/>
          </w:tcPr>
          <w:p>
            <w:pPr>
              <w:spacing w:before="30" w:after="30"/>
              <w:ind w:left="60"/>
            </w:pPr>
            <w:r>
              <w:rPr>
                <w:color w:val="4A5568"/>
                <w:sz w:val="20"/>
              </w:rPr>
              <w:t>Combined</w:t>
            </w:r>
          </w:p>
        </w:tc>
      </w:tr>
      <w:tr>
        <w:tc>
          <w:tcPr>
            <w:tcW w:w="50" w:type="pct"/>
          </w:tcPr>
          <w:p>
            <w:pPr>
              <w:spacing w:before="30" w:after="30"/>
              <w:ind w:left="60"/>
            </w:pPr>
            <w:r>
              <w:rPr>
                <w:color w:val="4A5568"/>
                <w:sz w:val="20"/>
              </w:rPr>
              <w:t>Training systems</w:t>
            </w:r>
          </w:p>
        </w:tc>
        <w:tc>
          <w:tcPr>
            <w:tcW w:w="30" w:type="pct"/>
          </w:tcPr>
          <w:p>
            <w:pPr>
              <w:spacing w:before="30" w:after="30"/>
              <w:ind w:left="60"/>
            </w:pPr>
            <w:r>
              <w:rPr>
                <w:color w:val="4A5568"/>
                <w:sz w:val="20"/>
              </w:rPr>
              <w:t>$0.38</w:t>
            </w:r>
          </w:p>
        </w:tc>
        <w:tc>
          <w:tcPr>
            <w:tcW w:w="20" w:type="pct"/>
          </w:tcPr>
          <w:p>
            <w:pPr>
              <w:spacing w:before="30" w:after="30"/>
              <w:ind w:left="60"/>
            </w:pPr>
            <w:r>
              <w:rPr>
                <w:color w:val="4A5568"/>
                <w:sz w:val="20"/>
              </w:rPr>
              <w:t>Combined</w:t>
            </w:r>
          </w:p>
        </w:tc>
      </w:tr>
      <w:tr>
        <w:tc>
          <w:tcPr>
            <w:tcW w:w="50" w:type="pct"/>
          </w:tcPr>
          <w:p>
            <w:pPr>
              <w:spacing w:before="30" w:after="30"/>
              <w:ind w:left="60"/>
            </w:pPr>
            <w:r>
              <w:rPr>
                <w:color w:val="4A5568"/>
                <w:sz w:val="20"/>
              </w:rPr>
              <w:t>Weapons &amp; munitions</w:t>
            </w:r>
          </w:p>
        </w:tc>
        <w:tc>
          <w:tcPr>
            <w:tcW w:w="30" w:type="pct"/>
          </w:tcPr>
          <w:p>
            <w:pPr>
              <w:spacing w:before="30" w:after="30"/>
              <w:ind w:left="60"/>
            </w:pPr>
            <w:r>
              <w:rPr>
                <w:color w:val="4A5568"/>
                <w:sz w:val="20"/>
              </w:rPr>
              <w:t>$2.03</w:t>
            </w:r>
          </w:p>
        </w:tc>
        <w:tc>
          <w:tcPr>
            <w:tcW w:w="20" w:type="pct"/>
          </w:tcPr>
          <w:p>
            <w:pPr>
              <w:spacing w:before="30" w:after="30"/>
              <w:ind w:left="60"/>
            </w:pPr>
            <w:r>
              <w:rPr>
                <w:color w:val="4A5568"/>
                <w:sz w:val="20"/>
              </w:rPr>
              <w:t>Gripen PPP</w:t>
            </w:r>
          </w:p>
        </w:tc>
      </w:tr>
      <w:tr>
        <w:tc>
          <w:tcPr>
            <w:tcW w:w="50" w:type="pct"/>
          </w:tcPr>
          <w:p>
            <w:pPr>
              <w:spacing w:before="30" w:after="30"/>
              <w:ind w:left="60"/>
            </w:pPr>
            <w:r>
              <w:rPr>
                <w:color w:val="4A5568"/>
                <w:sz w:val="20"/>
              </w:rPr>
              <w:t>Facilities</w:t>
            </w:r>
          </w:p>
        </w:tc>
        <w:tc>
          <w:tcPr>
            <w:tcW w:w="30" w:type="pct"/>
          </w:tcPr>
          <w:p>
            <w:pPr>
              <w:spacing w:before="30" w:after="30"/>
              <w:ind w:left="60"/>
            </w:pPr>
            <w:r>
              <w:rPr>
                <w:color w:val="4A5568"/>
                <w:sz w:val="20"/>
              </w:rPr>
              <w:t>$0.69</w:t>
            </w:r>
          </w:p>
        </w:tc>
        <w:tc>
          <w:tcPr>
            <w:tcW w:w="20" w:type="pct"/>
          </w:tcPr>
          <w:p>
            <w:pPr>
              <w:spacing w:before="30" w:after="30"/>
              <w:ind w:left="60"/>
            </w:pPr>
            <w:r>
              <w:rPr>
                <w:color w:val="4A5568"/>
                <w:sz w:val="20"/>
              </w:rPr>
              <w:t>Combined</w:t>
            </w:r>
          </w:p>
        </w:tc>
      </w:tr>
      <w:tr>
        <w:tc>
          <w:tcPr>
            <w:tcW w:w="50" w:type="pct"/>
          </w:tcPr>
          <w:p>
            <w:pPr>
              <w:spacing w:before="30" w:after="30"/>
              <w:ind w:left="60"/>
            </w:pPr>
            <w:r>
              <w:rPr>
                <w:color w:val="4A5568"/>
                <w:sz w:val="20"/>
              </w:rPr>
              <w:t>TOTAL PROCUREMENT</w:t>
            </w:r>
          </w:p>
        </w:tc>
        <w:tc>
          <w:tcPr>
            <w:tcW w:w="30" w:type="pct"/>
          </w:tcPr>
          <w:p>
            <w:pPr>
              <w:spacing w:before="30" w:after="30"/>
              <w:ind w:left="60"/>
            </w:pPr>
            <w:r>
              <w:rPr>
                <w:color w:val="4A5568"/>
                <w:sz w:val="20"/>
              </w:rPr>
              <w:t>$15.72</w:t>
            </w:r>
          </w:p>
        </w:tc>
        <w:tc>
          <w:tcPr>
            <w:tcW w:w="20" w:type="pct"/>
          </w:tcPr>
          <w:p>
            <w:pPr>
              <w:spacing w:before="30" w:after="30"/>
              <w:ind w:left="60"/>
            </w:pPr>
            <w:r>
              <w:rPr>
                <w:color w:val="4A5568"/>
                <w:sz w:val="20"/>
              </w:rPr>
              <w:t/>
            </w:r>
          </w:p>
        </w:tc>
      </w:tr>
      <w:tr>
        <w:tc>
          <w:tcPr>
            <w:tcW w:w="50" w:type="pct"/>
          </w:tcPr>
          <w:p>
            <w:pPr>
              <w:spacing w:before="30" w:after="30"/>
              <w:ind w:left="60"/>
            </w:pPr>
            <w:r>
              <w:rPr>
                <w:color w:val="4A5568"/>
                <w:sz w:val="20"/>
              </w:rPr>
              <w:t>Annual sustainment (10 years)</w:t>
            </w:r>
          </w:p>
        </w:tc>
        <w:tc>
          <w:tcPr>
            <w:tcW w:w="30" w:type="pct"/>
          </w:tcPr>
          <w:p>
            <w:pPr>
              <w:spacing w:before="30" w:after="30"/>
              <w:ind w:left="60"/>
            </w:pPr>
            <w:r>
              <w:rPr>
                <w:color w:val="4A5568"/>
                <w:sz w:val="20"/>
              </w:rPr>
              <w:t>$3.86</w:t>
            </w:r>
          </w:p>
        </w:tc>
        <w:tc>
          <w:tcPr>
            <w:tcW w:w="20" w:type="pct"/>
          </w:tcPr>
          <w:p>
            <w:pPr>
              <w:spacing w:before="30" w:after="30"/>
              <w:ind w:left="60"/>
            </w:pPr>
            <w:r>
              <w:rPr>
                <w:color w:val="4A5568"/>
                <w:sz w:val="20"/>
              </w:rPr>
              <w:t>$386M/year</w:t>
            </w:r>
          </w:p>
        </w:tc>
      </w:tr>
      <w:tr>
        <w:tc>
          <w:tcPr>
            <w:tcW w:w="50" w:type="pct"/>
          </w:tcPr>
          <w:p>
            <w:pPr>
              <w:spacing w:before="30" w:after="30"/>
              <w:ind w:left="60"/>
            </w:pPr>
            <w:r>
              <w:rPr>
                <w:color w:val="4A5568"/>
                <w:sz w:val="20"/>
              </w:rPr>
              <w:t>TOTAL 10-YEAR SPEND</w:t>
            </w:r>
          </w:p>
        </w:tc>
        <w:tc>
          <w:tcPr>
            <w:tcW w:w="30" w:type="pct"/>
          </w:tcPr>
          <w:p>
            <w:pPr>
              <w:spacing w:before="30" w:after="30"/>
              <w:ind w:left="60"/>
            </w:pPr>
            <w:r>
              <w:rPr>
                <w:color w:val="4A5568"/>
                <w:sz w:val="20"/>
              </w:rPr>
              <w:t>$19.58</w:t>
            </w:r>
          </w:p>
        </w:tc>
        <w:tc>
          <w:tcPr>
            <w:tcW w:w="20" w:type="pct"/>
          </w:tcPr>
          <w:p>
            <w:pPr>
              <w:spacing w:before="30" w:after="30"/>
              <w:ind w:left="60"/>
            </w:pPr>
            <w:r>
              <w:rPr>
                <w:color w:val="4A5568"/>
                <w:sz w:val="20"/>
              </w:rPr>
              <w:t/>
            </w:r>
          </w:p>
        </w:tc>
      </w:tr>
    </w:tbl>
    <w:p>
      <w:pPr>
        <w:spacing w:after="120"/>
      </w:pPr>
    </w:p>
    <w:p>
      <w:pPr>
        <w:pStyle w:val="Heading3"/>
      </w:pPr>
      <w:r>
        <w:t>GDP Impact Calculation</w:t>
      </w:r>
    </w:p>
    <w:p>
      <w:r>
        <w:t>Using Statistics Canada inter-provincial I-O multipliers (ISED 2024): Total GDP multiplier 2.19x (direct 1.00x + indirect 0.72x + induced 0.47x). Canadian content: 37.5% based on Saab commitments.</w:t>
      </w:r>
    </w:p>
    <w:tbl>
      <w:tblPr>
        <w:tblW w:w="5000" w:type="pct"/>
        <w:tblBorders>
          <w:top w:val="single" w:color="3D5A80" w:sz="12"/>
          <w:left w:val="nil"/>
          <w:bottom w:val="single" w:color="3D5A80" w:sz="12"/>
          <w:right w:val="nil"/>
          <w:insideH w:val="single" w:color="C8D5E0" w:sz="4"/>
          <w:insideV w:val="nil"/>
        </w:tblBorders>
      </w:tblPr>
      <w:tblGrid>
        <w:gridCol w:w="40"/>
        <w:gridCol w:w="30"/>
        <w:gridCol w:w="30"/>
      </w:tblGrid>
      <w:tr>
        <w:trPr>
          <w:tblHeader/>
        </w:trPr>
        <w:tc>
          <w:tcPr>
            <w:tcW w:w="40" w:type="pct"/>
            <w:shd w:val="clear" w:fill="E8EDF2"/>
          </w:tcPr>
          <w:p>
            <w:pPr>
              <w:spacing w:before="40" w:after="40"/>
              <w:jc w:val="center"/>
            </w:pPr>
            <w:r>
              <w:rPr>
                <w:b/>
                <w:color w:val="1D2D3D"/>
                <w:sz w:val="20"/>
              </w:rPr>
              <w:t>Impact Type</w:t>
            </w:r>
          </w:p>
        </w:tc>
        <w:tc>
          <w:tcPr>
            <w:tcW w:w="30" w:type="pct"/>
            <w:shd w:val="clear" w:fill="E8EDF2"/>
          </w:tcPr>
          <w:p>
            <w:pPr>
              <w:spacing w:before="40" w:after="40"/>
              <w:jc w:val="center"/>
            </w:pPr>
            <w:r>
              <w:rPr>
                <w:b/>
                <w:color w:val="1D2D3D"/>
                <w:sz w:val="20"/>
              </w:rPr>
              <w:t>Value (CAD B)</w:t>
            </w:r>
          </w:p>
        </w:tc>
        <w:tc>
          <w:tcPr>
            <w:tcW w:w="30" w:type="pct"/>
            <w:shd w:val="clear" w:fill="E8EDF2"/>
          </w:tcPr>
          <w:p>
            <w:pPr>
              <w:spacing w:before="40" w:after="40"/>
              <w:jc w:val="center"/>
            </w:pPr>
            <w:r>
              <w:rPr>
                <w:b/>
                <w:color w:val="1D2D3D"/>
                <w:sz w:val="20"/>
              </w:rPr>
              <w:t>Notes</w:t>
            </w:r>
          </w:p>
        </w:tc>
      </w:tr>
      <w:tr>
        <w:tc>
          <w:tcPr>
            <w:tcW w:w="40" w:type="pct"/>
          </w:tcPr>
          <w:p>
            <w:pPr>
              <w:spacing w:before="30" w:after="30"/>
              <w:ind w:left="60"/>
            </w:pPr>
            <w:r>
              <w:rPr>
                <w:color w:val="4A5568"/>
                <w:sz w:val="20"/>
              </w:rPr>
              <w:t>Direct GDP (procurement)</w:t>
            </w:r>
          </w:p>
        </w:tc>
        <w:tc>
          <w:tcPr>
            <w:tcW w:w="30" w:type="pct"/>
          </w:tcPr>
          <w:p>
            <w:pPr>
              <w:spacing w:before="30" w:after="30"/>
              <w:ind w:left="60"/>
            </w:pPr>
            <w:r>
              <w:rPr>
                <w:color w:val="4A5568"/>
                <w:sz w:val="20"/>
              </w:rPr>
              <w:t>$3.44</w:t>
            </w:r>
          </w:p>
        </w:tc>
        <w:tc>
          <w:tcPr>
            <w:tcW w:w="30" w:type="pct"/>
          </w:tcPr>
          <w:p>
            <w:pPr>
              <w:spacing w:before="30" w:after="30"/>
              <w:ind w:left="60"/>
            </w:pPr>
            <w:r>
              <w:rPr>
                <w:color w:val="4A5568"/>
                <w:sz w:val="20"/>
              </w:rPr>
              <w:t>$9.18B x 37.5%</w:t>
            </w:r>
          </w:p>
        </w:tc>
      </w:tr>
      <w:tr>
        <w:tc>
          <w:tcPr>
            <w:tcW w:w="40" w:type="pct"/>
          </w:tcPr>
          <w:p>
            <w:pPr>
              <w:spacing w:before="30" w:after="30"/>
              <w:ind w:left="60"/>
            </w:pPr>
            <w:r>
              <w:rPr>
                <w:color w:val="4A5568"/>
                <w:sz w:val="20"/>
              </w:rPr>
              <w:t>Indirect GDP</w:t>
            </w:r>
          </w:p>
        </w:tc>
        <w:tc>
          <w:tcPr>
            <w:tcW w:w="30" w:type="pct"/>
          </w:tcPr>
          <w:p>
            <w:pPr>
              <w:spacing w:before="30" w:after="30"/>
              <w:ind w:left="60"/>
            </w:pPr>
            <w:r>
              <w:rPr>
                <w:color w:val="4A5568"/>
                <w:sz w:val="20"/>
              </w:rPr>
              <w:t>$2.48</w:t>
            </w:r>
          </w:p>
        </w:tc>
        <w:tc>
          <w:tcPr>
            <w:tcW w:w="30" w:type="pct"/>
          </w:tcPr>
          <w:p>
            <w:pPr>
              <w:spacing w:before="30" w:after="30"/>
              <w:ind w:left="60"/>
            </w:pPr>
            <w:r>
              <w:rPr>
                <w:color w:val="4A5568"/>
                <w:sz w:val="20"/>
              </w:rPr>
              <w:t>Direct x 0.72</w:t>
            </w:r>
          </w:p>
        </w:tc>
      </w:tr>
      <w:tr>
        <w:tc>
          <w:tcPr>
            <w:tcW w:w="40" w:type="pct"/>
          </w:tcPr>
          <w:p>
            <w:pPr>
              <w:spacing w:before="30" w:after="30"/>
              <w:ind w:left="60"/>
            </w:pPr>
            <w:r>
              <w:rPr>
                <w:color w:val="4A5568"/>
                <w:sz w:val="20"/>
              </w:rPr>
              <w:t>Induced GDP</w:t>
            </w:r>
          </w:p>
        </w:tc>
        <w:tc>
          <w:tcPr>
            <w:tcW w:w="30" w:type="pct"/>
          </w:tcPr>
          <w:p>
            <w:pPr>
              <w:spacing w:before="30" w:after="30"/>
              <w:ind w:left="60"/>
            </w:pPr>
            <w:r>
              <w:rPr>
                <w:color w:val="4A5568"/>
                <w:sz w:val="20"/>
              </w:rPr>
              <w:t>$1.62</w:t>
            </w:r>
          </w:p>
        </w:tc>
        <w:tc>
          <w:tcPr>
            <w:tcW w:w="30" w:type="pct"/>
          </w:tcPr>
          <w:p>
            <w:pPr>
              <w:spacing w:before="30" w:after="30"/>
              <w:ind w:left="60"/>
            </w:pPr>
            <w:r>
              <w:rPr>
                <w:color w:val="4A5568"/>
                <w:sz w:val="20"/>
              </w:rPr>
              <w:t>Direct x 0.47</w:t>
            </w:r>
          </w:p>
        </w:tc>
      </w:tr>
      <w:tr>
        <w:tc>
          <w:tcPr>
            <w:tcW w:w="40" w:type="pct"/>
          </w:tcPr>
          <w:p>
            <w:pPr>
              <w:spacing w:before="30" w:after="30"/>
              <w:ind w:left="60"/>
            </w:pPr>
            <w:r>
              <w:rPr>
                <w:color w:val="4A5568"/>
                <w:sz w:val="20"/>
              </w:rPr>
              <w:t>TOTAL (procurement)</w:t>
            </w:r>
          </w:p>
        </w:tc>
        <w:tc>
          <w:tcPr>
            <w:tcW w:w="30" w:type="pct"/>
          </w:tcPr>
          <w:p>
            <w:pPr>
              <w:spacing w:before="30" w:after="30"/>
              <w:ind w:left="60"/>
            </w:pPr>
            <w:r>
              <w:rPr>
                <w:color w:val="4A5568"/>
                <w:sz w:val="20"/>
              </w:rPr>
              <w:t>$7.54</w:t>
            </w:r>
          </w:p>
        </w:tc>
        <w:tc>
          <w:tcPr>
            <w:tcW w:w="30" w:type="pct"/>
          </w:tcPr>
          <w:p>
            <w:pPr>
              <w:spacing w:before="30" w:after="30"/>
              <w:ind w:left="60"/>
            </w:pPr>
            <w:r>
              <w:rPr>
                <w:color w:val="4A5568"/>
                <w:sz w:val="20"/>
              </w:rPr>
              <w:t>Over ~8-year delivery</w:t>
            </w:r>
          </w:p>
        </w:tc>
      </w:tr>
      <w:tr>
        <w:tc>
          <w:tcPr>
            <w:tcW w:w="40" w:type="pct"/>
          </w:tcPr>
          <w:p>
            <w:pPr>
              <w:spacing w:before="30" w:after="30"/>
              <w:ind w:left="60"/>
            </w:pPr>
            <w:r>
              <w:rPr>
                <w:color w:val="4A5568"/>
                <w:sz w:val="20"/>
              </w:rPr>
              <w:t>Direct GDP (sustainment, 10-yr)</w:t>
            </w:r>
          </w:p>
        </w:tc>
        <w:tc>
          <w:tcPr>
            <w:tcW w:w="30" w:type="pct"/>
          </w:tcPr>
          <w:p>
            <w:pPr>
              <w:spacing w:before="30" w:after="30"/>
              <w:ind w:left="60"/>
            </w:pPr>
            <w:r>
              <w:rPr>
                <w:color w:val="4A5568"/>
                <w:sz w:val="20"/>
              </w:rPr>
              <w:t>$3.09</w:t>
            </w:r>
          </w:p>
        </w:tc>
        <w:tc>
          <w:tcPr>
            <w:tcW w:w="30" w:type="pct"/>
          </w:tcPr>
          <w:p>
            <w:pPr>
              <w:spacing w:before="30" w:after="30"/>
              <w:ind w:left="60"/>
            </w:pPr>
            <w:r>
              <w:rPr>
                <w:color w:val="4A5568"/>
                <w:sz w:val="20"/>
              </w:rPr>
              <w:t>$386M/yr x 10 x 80%</w:t>
            </w:r>
          </w:p>
        </w:tc>
      </w:tr>
      <w:tr>
        <w:tc>
          <w:tcPr>
            <w:tcW w:w="40" w:type="pct"/>
          </w:tcPr>
          <w:p>
            <w:pPr>
              <w:spacing w:before="30" w:after="30"/>
              <w:ind w:left="60"/>
            </w:pPr>
            <w:r>
              <w:rPr>
                <w:color w:val="4A5568"/>
                <w:sz w:val="20"/>
              </w:rPr>
              <w:t>Indirect + Induced (sustainment)</w:t>
            </w:r>
          </w:p>
        </w:tc>
        <w:tc>
          <w:tcPr>
            <w:tcW w:w="30" w:type="pct"/>
          </w:tcPr>
          <w:p>
            <w:pPr>
              <w:spacing w:before="30" w:after="30"/>
              <w:ind w:left="60"/>
            </w:pPr>
            <w:r>
              <w:rPr>
                <w:color w:val="4A5568"/>
                <w:sz w:val="20"/>
              </w:rPr>
              <w:t>$3.67</w:t>
            </w:r>
          </w:p>
        </w:tc>
        <w:tc>
          <w:tcPr>
            <w:tcW w:w="30" w:type="pct"/>
          </w:tcPr>
          <w:p>
            <w:pPr>
              <w:spacing w:before="30" w:after="30"/>
              <w:ind w:left="60"/>
            </w:pPr>
            <w:r>
              <w:rPr>
                <w:color w:val="4A5568"/>
                <w:sz w:val="20"/>
              </w:rPr>
              <w:t>Multiplier applied</w:t>
            </w:r>
          </w:p>
        </w:tc>
      </w:tr>
      <w:tr>
        <w:tc>
          <w:tcPr>
            <w:tcW w:w="40" w:type="pct"/>
          </w:tcPr>
          <w:p>
            <w:pPr>
              <w:spacing w:before="30" w:after="30"/>
              <w:ind w:left="60"/>
            </w:pPr>
            <w:r>
              <w:rPr>
                <w:color w:val="4A5568"/>
                <w:sz w:val="20"/>
              </w:rPr>
              <w:t>TOTAL (sustainment, 10-yr)</w:t>
            </w:r>
          </w:p>
        </w:tc>
        <w:tc>
          <w:tcPr>
            <w:tcW w:w="30" w:type="pct"/>
          </w:tcPr>
          <w:p>
            <w:pPr>
              <w:spacing w:before="30" w:after="30"/>
              <w:ind w:left="60"/>
            </w:pPr>
            <w:r>
              <w:rPr>
                <w:color w:val="4A5568"/>
                <w:sz w:val="20"/>
              </w:rPr>
              <w:t>$6.76</w:t>
            </w:r>
          </w:p>
        </w:tc>
        <w:tc>
          <w:tcPr>
            <w:tcW w:w="30" w:type="pct"/>
          </w:tcPr>
          <w:p>
            <w:pPr>
              <w:spacing w:before="30" w:after="30"/>
              <w:ind w:left="60"/>
            </w:pPr>
            <w:r>
              <w:rPr>
                <w:color w:val="4A5568"/>
                <w:sz w:val="20"/>
              </w:rPr>
              <w:t/>
            </w:r>
          </w:p>
        </w:tc>
      </w:tr>
      <w:tr>
        <w:tc>
          <w:tcPr>
            <w:tcW w:w="40" w:type="pct"/>
          </w:tcPr>
          <w:p>
            <w:pPr>
              <w:spacing w:before="30" w:after="30"/>
              <w:ind w:left="60"/>
            </w:pPr>
            <w:r>
              <w:rPr>
                <w:color w:val="4A5568"/>
                <w:sz w:val="20"/>
              </w:rPr>
              <w:t>TOTAL GDP IMPACT (10 years)</w:t>
            </w:r>
          </w:p>
        </w:tc>
        <w:tc>
          <w:tcPr>
            <w:tcW w:w="30" w:type="pct"/>
          </w:tcPr>
          <w:p>
            <w:pPr>
              <w:spacing w:before="30" w:after="30"/>
              <w:ind w:left="60"/>
            </w:pPr>
            <w:r>
              <w:rPr>
                <w:color w:val="4A5568"/>
                <w:sz w:val="20"/>
              </w:rPr>
              <w:t>$14.30</w:t>
            </w:r>
          </w:p>
        </w:tc>
        <w:tc>
          <w:tcPr>
            <w:tcW w:w="30" w:type="pct"/>
          </w:tcPr>
          <w:p>
            <w:pPr>
              <w:spacing w:before="30" w:after="30"/>
              <w:ind w:left="60"/>
            </w:pPr>
            <w:r>
              <w:rPr>
                <w:color w:val="4A5568"/>
                <w:sz w:val="20"/>
              </w:rPr>
              <w:t>Procurement + sustainment</w:t>
            </w:r>
          </w:p>
        </w:tc>
      </w:tr>
    </w:tbl>
    <w:p>
      <w:pPr>
        <w:spacing w:after="120"/>
      </w:pPr>
    </w:p>
    <w:p>
      <w:pPr>
        <w:pStyle w:val="Heading2"/>
      </w:pPr>
      <w:r>
        <w:t>Procurement Savings and Reinvestment</w:t>
      </w:r>
    </w:p>
    <w:tbl>
      <w:tblPr>
        <w:tblW w:w="5000" w:type="pct"/>
        <w:tblBorders>
          <w:top w:val="single" w:color="3D5A80" w:sz="12"/>
          <w:left w:val="nil"/>
          <w:bottom w:val="single" w:color="3D5A80" w:sz="12"/>
          <w:right w:val="nil"/>
          <w:insideH w:val="single" w:color="C8D5E0" w:sz="4"/>
          <w:insideV w:val="nil"/>
        </w:tblBorders>
      </w:tblPr>
      <w:tblGrid>
        <w:gridCol w:w="35"/>
        <w:gridCol w:w="20"/>
        <w:gridCol w:w="20"/>
        <w:gridCol w:w="25"/>
      </w:tblGrid>
      <w:tr>
        <w:trPr>
          <w:tblHeader/>
        </w:trPr>
        <w:tc>
          <w:tcPr>
            <w:tcW w:w="35" w:type="pct"/>
            <w:shd w:val="clear" w:fill="E8EDF2"/>
          </w:tcPr>
          <w:p>
            <w:pPr>
              <w:spacing w:before="40" w:after="40"/>
              <w:jc w:val="center"/>
            </w:pPr>
            <w:r>
              <w:rPr>
                <w:b/>
                <w:color w:val="1D2D3D"/>
                <w:sz w:val="20"/>
              </w:rPr>
              <w:t>Metric</w:t>
            </w:r>
          </w:p>
        </w:tc>
        <w:tc>
          <w:tcPr>
            <w:tcW w:w="20" w:type="pct"/>
            <w:shd w:val="clear" w:fill="E8EDF2"/>
          </w:tcPr>
          <w:p>
            <w:pPr>
              <w:spacing w:before="40" w:after="40"/>
              <w:jc w:val="center"/>
            </w:pPr>
            <w:r>
              <w:rPr>
                <w:b/>
                <w:color w:val="1D2D3D"/>
                <w:sz w:val="20"/>
              </w:rPr>
              <w:t>F-35 Option</w:t>
            </w:r>
          </w:p>
        </w:tc>
        <w:tc>
          <w:tcPr>
            <w:tcW w:w="20" w:type="pct"/>
            <w:shd w:val="clear" w:fill="E8EDF2"/>
          </w:tcPr>
          <w:p>
            <w:pPr>
              <w:spacing w:before="40" w:after="40"/>
              <w:jc w:val="center"/>
            </w:pPr>
            <w:r>
              <w:rPr>
                <w:b/>
                <w:color w:val="1D2D3D"/>
                <w:sz w:val="20"/>
              </w:rPr>
              <w:t>Arctic Horizon</w:t>
            </w:r>
          </w:p>
        </w:tc>
        <w:tc>
          <w:tcPr>
            <w:tcW w:w="25" w:type="pct"/>
            <w:shd w:val="clear" w:fill="E8EDF2"/>
          </w:tcPr>
          <w:p>
            <w:pPr>
              <w:spacing w:before="40" w:after="40"/>
              <w:jc w:val="center"/>
            </w:pPr>
            <w:r>
              <w:rPr>
                <w:b/>
                <w:color w:val="1D2D3D"/>
                <w:sz w:val="20"/>
              </w:rPr>
              <w:t>Savings</w:t>
            </w:r>
          </w:p>
        </w:tc>
      </w:tr>
      <w:tr>
        <w:tc>
          <w:tcPr>
            <w:tcW w:w="35" w:type="pct"/>
          </w:tcPr>
          <w:p>
            <w:pPr>
              <w:spacing w:before="30" w:after="30"/>
              <w:ind w:left="60"/>
            </w:pPr>
            <w:r>
              <w:rPr>
                <w:color w:val="4A5568"/>
                <w:sz w:val="20"/>
              </w:rPr>
              <w:t>Acquisition cost</w:t>
            </w:r>
          </w:p>
        </w:tc>
        <w:tc>
          <w:tcPr>
            <w:tcW w:w="20" w:type="pct"/>
          </w:tcPr>
          <w:p>
            <w:pPr>
              <w:spacing w:before="30" w:after="30"/>
              <w:ind w:left="60"/>
            </w:pPr>
            <w:r>
              <w:rPr>
                <w:color w:val="4A5568"/>
                <w:sz w:val="20"/>
              </w:rPr>
              <w:t>$19.0B</w:t>
            </w:r>
          </w:p>
        </w:tc>
        <w:tc>
          <w:tcPr>
            <w:tcW w:w="20" w:type="pct"/>
          </w:tcPr>
          <w:p>
            <w:pPr>
              <w:spacing w:before="30" w:after="30"/>
              <w:ind w:left="60"/>
            </w:pPr>
            <w:r>
              <w:rPr>
                <w:color w:val="4A5568"/>
                <w:sz w:val="20"/>
              </w:rPr>
              <w:t>$9.76B</w:t>
            </w:r>
          </w:p>
        </w:tc>
        <w:tc>
          <w:tcPr>
            <w:tcW w:w="25" w:type="pct"/>
          </w:tcPr>
          <w:p>
            <w:pPr>
              <w:spacing w:before="30" w:after="30"/>
              <w:ind w:left="60"/>
            </w:pPr>
            <w:r>
              <w:rPr>
                <w:color w:val="4A5568"/>
                <w:sz w:val="20"/>
              </w:rPr>
              <w:t>$9.24B</w:t>
            </w:r>
          </w:p>
        </w:tc>
      </w:tr>
      <w:tr>
        <w:tc>
          <w:tcPr>
            <w:tcW w:w="35" w:type="pct"/>
          </w:tcPr>
          <w:p>
            <w:pPr>
              <w:spacing w:before="30" w:after="30"/>
              <w:ind w:left="60"/>
            </w:pPr>
            <w:r>
              <w:rPr>
                <w:color w:val="4A5568"/>
                <w:sz w:val="20"/>
              </w:rPr>
              <w:t>Annual operating cost</w:t>
            </w:r>
          </w:p>
        </w:tc>
        <w:tc>
          <w:tcPr>
            <w:tcW w:w="20" w:type="pct"/>
          </w:tcPr>
          <w:p>
            <w:pPr>
              <w:spacing w:before="30" w:after="30"/>
              <w:ind w:left="60"/>
            </w:pPr>
            <w:r>
              <w:rPr>
                <w:color w:val="4A5568"/>
                <w:sz w:val="20"/>
              </w:rPr>
              <w:t>$1.52B</w:t>
            </w:r>
          </w:p>
        </w:tc>
        <w:tc>
          <w:tcPr>
            <w:tcW w:w="20" w:type="pct"/>
          </w:tcPr>
          <w:p>
            <w:pPr>
              <w:spacing w:before="30" w:after="30"/>
              <w:ind w:left="60"/>
            </w:pPr>
            <w:r>
              <w:rPr>
                <w:color w:val="4A5568"/>
                <w:sz w:val="20"/>
              </w:rPr>
              <w:t>$386M</w:t>
            </w:r>
          </w:p>
        </w:tc>
        <w:tc>
          <w:tcPr>
            <w:tcW w:w="25" w:type="pct"/>
          </w:tcPr>
          <w:p>
            <w:pPr>
              <w:spacing w:before="30" w:after="30"/>
              <w:ind w:left="60"/>
            </w:pPr>
            <w:r>
              <w:rPr>
                <w:color w:val="4A5568"/>
                <w:sz w:val="20"/>
              </w:rPr>
              <w:t>$1.134B/yr</w:t>
            </w:r>
          </w:p>
        </w:tc>
      </w:tr>
      <w:tr>
        <w:tc>
          <w:tcPr>
            <w:tcW w:w="35" w:type="pct"/>
          </w:tcPr>
          <w:p>
            <w:pPr>
              <w:spacing w:before="30" w:after="30"/>
              <w:ind w:left="60"/>
            </w:pPr>
            <w:r>
              <w:rPr>
                <w:color w:val="4A5568"/>
                <w:sz w:val="20"/>
              </w:rPr>
              <w:t>10-year operating cost</w:t>
            </w:r>
          </w:p>
        </w:tc>
        <w:tc>
          <w:tcPr>
            <w:tcW w:w="20" w:type="pct"/>
          </w:tcPr>
          <w:p>
            <w:pPr>
              <w:spacing w:before="30" w:after="30"/>
              <w:ind w:left="60"/>
            </w:pPr>
            <w:r>
              <w:rPr>
                <w:color w:val="4A5568"/>
                <w:sz w:val="20"/>
              </w:rPr>
              <w:t>$15.2B</w:t>
            </w:r>
          </w:p>
        </w:tc>
        <w:tc>
          <w:tcPr>
            <w:tcW w:w="20" w:type="pct"/>
          </w:tcPr>
          <w:p>
            <w:pPr>
              <w:spacing w:before="30" w:after="30"/>
              <w:ind w:left="60"/>
            </w:pPr>
            <w:r>
              <w:rPr>
                <w:color w:val="4A5568"/>
                <w:sz w:val="20"/>
              </w:rPr>
              <w:t>$3.86B</w:t>
            </w:r>
          </w:p>
        </w:tc>
        <w:tc>
          <w:tcPr>
            <w:tcW w:w="25" w:type="pct"/>
          </w:tcPr>
          <w:p>
            <w:pPr>
              <w:spacing w:before="30" w:after="30"/>
              <w:ind w:left="60"/>
            </w:pPr>
            <w:r>
              <w:rPr>
                <w:color w:val="4A5568"/>
                <w:sz w:val="20"/>
              </w:rPr>
              <w:t>$11.34B</w:t>
            </w:r>
          </w:p>
        </w:tc>
      </w:tr>
      <w:tr>
        <w:tc>
          <w:tcPr>
            <w:tcW w:w="35" w:type="pct"/>
          </w:tcPr>
          <w:p>
            <w:pPr>
              <w:spacing w:before="30" w:after="30"/>
              <w:ind w:left="60"/>
            </w:pPr>
            <w:r>
              <w:rPr>
                <w:color w:val="4A5568"/>
                <w:sz w:val="20"/>
              </w:rPr>
              <w:t>20-year lifecycle cost</w:t>
            </w:r>
          </w:p>
        </w:tc>
        <w:tc>
          <w:tcPr>
            <w:tcW w:w="20" w:type="pct"/>
          </w:tcPr>
          <w:p>
            <w:pPr>
              <w:spacing w:before="30" w:after="30"/>
              <w:ind w:left="60"/>
            </w:pPr>
            <w:r>
              <w:rPr>
                <w:color w:val="4A5568"/>
                <w:sz w:val="20"/>
              </w:rPr>
              <w:t>$45.4B</w:t>
            </w:r>
          </w:p>
        </w:tc>
        <w:tc>
          <w:tcPr>
            <w:tcW w:w="20" w:type="pct"/>
          </w:tcPr>
          <w:p>
            <w:pPr>
              <w:spacing w:before="30" w:after="30"/>
              <w:ind w:left="60"/>
            </w:pPr>
            <w:r>
              <w:rPr>
                <w:color w:val="4A5568"/>
                <w:sz w:val="20"/>
              </w:rPr>
              <w:t>$17.3B</w:t>
            </w:r>
          </w:p>
        </w:tc>
        <w:tc>
          <w:tcPr>
            <w:tcW w:w="25" w:type="pct"/>
          </w:tcPr>
          <w:p>
            <w:pPr>
              <w:spacing w:before="30" w:after="30"/>
              <w:ind w:left="60"/>
            </w:pPr>
            <w:r>
              <w:rPr>
                <w:color w:val="4A5568"/>
                <w:sz w:val="20"/>
              </w:rPr>
              <w:t>$28.1B</w:t>
            </w:r>
          </w:p>
        </w:tc>
      </w:tr>
    </w:tbl>
    <w:p>
      <w:pPr>
        <w:spacing w:after="120"/>
      </w:pPr>
    </w:p>
    <w:p>
      <w:pPr>
        <w:pStyle w:val="Heading3"/>
      </w:pPr>
      <w:r>
        <w:t>Reinvestment Multiplier Effect</w:t>
      </w:r>
    </w:p>
    <w:tbl>
      <w:tblPr>
        <w:tblW w:w="5000" w:type="pct"/>
        <w:tblBorders>
          <w:top w:val="single" w:color="3D5A80" w:sz="12"/>
          <w:left w:val="nil"/>
          <w:bottom w:val="single" w:color="3D5A80" w:sz="12"/>
          <w:right w:val="nil"/>
          <w:insideH w:val="single" w:color="C8D5E0" w:sz="4"/>
          <w:insideV w:val="nil"/>
        </w:tblBorders>
      </w:tblPr>
      <w:tblGrid>
        <w:gridCol w:w="40"/>
        <w:gridCol w:w="20"/>
        <w:gridCol w:w="20"/>
        <w:gridCol w:w="20"/>
      </w:tblGrid>
      <w:tr>
        <w:trPr>
          <w:tblHeader/>
        </w:trPr>
        <w:tc>
          <w:tcPr>
            <w:tcW w:w="40" w:type="pct"/>
            <w:shd w:val="clear" w:fill="E8EDF2"/>
          </w:tcPr>
          <w:p>
            <w:pPr>
              <w:spacing w:before="40" w:after="40"/>
              <w:jc w:val="center"/>
            </w:pPr>
            <w:r>
              <w:rPr>
                <w:b/>
                <w:color w:val="1D2D3D"/>
                <w:sz w:val="20"/>
              </w:rPr>
              <w:t>Reinvestment Area</w:t>
            </w:r>
          </w:p>
        </w:tc>
        <w:tc>
          <w:tcPr>
            <w:tcW w:w="20" w:type="pct"/>
            <w:shd w:val="clear" w:fill="E8EDF2"/>
          </w:tcPr>
          <w:p>
            <w:pPr>
              <w:spacing w:before="40" w:after="40"/>
              <w:jc w:val="center"/>
            </w:pPr>
            <w:r>
              <w:rPr>
                <w:b/>
                <w:color w:val="1D2D3D"/>
                <w:sz w:val="20"/>
              </w:rPr>
              <w:t>Allocation</w:t>
            </w:r>
          </w:p>
        </w:tc>
        <w:tc>
          <w:tcPr>
            <w:tcW w:w="20" w:type="pct"/>
            <w:shd w:val="clear" w:fill="E8EDF2"/>
          </w:tcPr>
          <w:p>
            <w:pPr>
              <w:spacing w:before="40" w:after="40"/>
              <w:jc w:val="center"/>
            </w:pPr>
            <w:r>
              <w:rPr>
                <w:b/>
                <w:color w:val="1D2D3D"/>
                <w:sz w:val="20"/>
              </w:rPr>
              <w:t>Multiplier</w:t>
            </w:r>
          </w:p>
        </w:tc>
        <w:tc>
          <w:tcPr>
            <w:tcW w:w="20" w:type="pct"/>
            <w:shd w:val="clear" w:fill="E8EDF2"/>
          </w:tcPr>
          <w:p>
            <w:pPr>
              <w:spacing w:before="40" w:after="40"/>
              <w:jc w:val="center"/>
            </w:pPr>
            <w:r>
              <w:rPr>
                <w:b/>
                <w:color w:val="1D2D3D"/>
                <w:sz w:val="20"/>
              </w:rPr>
              <w:t>GDP Impact</w:t>
            </w:r>
          </w:p>
        </w:tc>
      </w:tr>
      <w:tr>
        <w:tc>
          <w:tcPr>
            <w:tcW w:w="40" w:type="pct"/>
          </w:tcPr>
          <w:p>
            <w:pPr>
              <w:spacing w:before="30" w:after="30"/>
              <w:ind w:left="60"/>
            </w:pPr>
            <w:r>
              <w:rPr>
                <w:color w:val="4A5568"/>
                <w:sz w:val="20"/>
              </w:rPr>
              <w:t>Tempest (GCAP) partnership</w:t>
            </w:r>
          </w:p>
        </w:tc>
        <w:tc>
          <w:tcPr>
            <w:tcW w:w="20" w:type="pct"/>
          </w:tcPr>
          <w:p>
            <w:pPr>
              <w:spacing w:before="30" w:after="30"/>
              <w:ind w:left="60"/>
            </w:pPr>
            <w:r>
              <w:rPr>
                <w:color w:val="4A5568"/>
                <w:sz w:val="20"/>
              </w:rPr>
              <w:t>$3.50B</w:t>
            </w:r>
          </w:p>
        </w:tc>
        <w:tc>
          <w:tcPr>
            <w:tcW w:w="20" w:type="pct"/>
          </w:tcPr>
          <w:p>
            <w:pPr>
              <w:spacing w:before="30" w:after="30"/>
              <w:ind w:left="60"/>
            </w:pPr>
            <w:r>
              <w:rPr>
                <w:color w:val="4A5568"/>
                <w:sz w:val="20"/>
              </w:rPr>
              <w:t>2.5x</w:t>
            </w:r>
          </w:p>
        </w:tc>
        <w:tc>
          <w:tcPr>
            <w:tcW w:w="20" w:type="pct"/>
          </w:tcPr>
          <w:p>
            <w:pPr>
              <w:spacing w:before="30" w:after="30"/>
              <w:ind w:left="60"/>
            </w:pPr>
            <w:r>
              <w:rPr>
                <w:color w:val="4A5568"/>
                <w:sz w:val="20"/>
              </w:rPr>
              <w:t>$8.75B</w:t>
            </w:r>
          </w:p>
        </w:tc>
      </w:tr>
      <w:tr>
        <w:tc>
          <w:tcPr>
            <w:tcW w:w="40" w:type="pct"/>
          </w:tcPr>
          <w:p>
            <w:pPr>
              <w:spacing w:before="30" w:after="30"/>
              <w:ind w:left="60"/>
            </w:pPr>
            <w:r>
              <w:rPr>
                <w:color w:val="4A5568"/>
                <w:sz w:val="20"/>
              </w:rPr>
              <w:t>Domestic R&amp;D / innovation</w:t>
            </w:r>
          </w:p>
        </w:tc>
        <w:tc>
          <w:tcPr>
            <w:tcW w:w="20" w:type="pct"/>
          </w:tcPr>
          <w:p>
            <w:pPr>
              <w:spacing w:before="30" w:after="30"/>
              <w:ind w:left="60"/>
            </w:pPr>
            <w:r>
              <w:rPr>
                <w:color w:val="4A5568"/>
                <w:sz w:val="20"/>
              </w:rPr>
              <w:t>$2.00B</w:t>
            </w:r>
          </w:p>
        </w:tc>
        <w:tc>
          <w:tcPr>
            <w:tcW w:w="20" w:type="pct"/>
          </w:tcPr>
          <w:p>
            <w:pPr>
              <w:spacing w:before="30" w:after="30"/>
              <w:ind w:left="60"/>
            </w:pPr>
            <w:r>
              <w:rPr>
                <w:color w:val="4A5568"/>
                <w:sz w:val="20"/>
              </w:rPr>
              <w:t>3.2x</w:t>
            </w:r>
          </w:p>
        </w:tc>
        <w:tc>
          <w:tcPr>
            <w:tcW w:w="20" w:type="pct"/>
          </w:tcPr>
          <w:p>
            <w:pPr>
              <w:spacing w:before="30" w:after="30"/>
              <w:ind w:left="60"/>
            </w:pPr>
            <w:r>
              <w:rPr>
                <w:color w:val="4A5568"/>
                <w:sz w:val="20"/>
              </w:rPr>
              <w:t>$6.40B</w:t>
            </w:r>
          </w:p>
        </w:tc>
      </w:tr>
      <w:tr>
        <w:tc>
          <w:tcPr>
            <w:tcW w:w="40" w:type="pct"/>
          </w:tcPr>
          <w:p>
            <w:pPr>
              <w:spacing w:before="30" w:after="30"/>
              <w:ind w:left="60"/>
            </w:pPr>
            <w:r>
              <w:rPr>
                <w:color w:val="4A5568"/>
                <w:sz w:val="20"/>
              </w:rPr>
              <w:t>Infrastructure / Arctic</w:t>
            </w:r>
          </w:p>
        </w:tc>
        <w:tc>
          <w:tcPr>
            <w:tcW w:w="20" w:type="pct"/>
          </w:tcPr>
          <w:p>
            <w:pPr>
              <w:spacing w:before="30" w:after="30"/>
              <w:ind w:left="60"/>
            </w:pPr>
            <w:r>
              <w:rPr>
                <w:color w:val="4A5568"/>
                <w:sz w:val="20"/>
              </w:rPr>
              <w:t>$2.26B</w:t>
            </w:r>
          </w:p>
        </w:tc>
        <w:tc>
          <w:tcPr>
            <w:tcW w:w="20" w:type="pct"/>
          </w:tcPr>
          <w:p>
            <w:pPr>
              <w:spacing w:before="30" w:after="30"/>
              <w:ind w:left="60"/>
            </w:pPr>
            <w:r>
              <w:rPr>
                <w:color w:val="4A5568"/>
                <w:sz w:val="20"/>
              </w:rPr>
              <w:t>1.8x</w:t>
            </w:r>
          </w:p>
        </w:tc>
        <w:tc>
          <w:tcPr>
            <w:tcW w:w="20" w:type="pct"/>
          </w:tcPr>
          <w:p>
            <w:pPr>
              <w:spacing w:before="30" w:after="30"/>
              <w:ind w:left="60"/>
            </w:pPr>
            <w:r>
              <w:rPr>
                <w:color w:val="4A5568"/>
                <w:sz w:val="20"/>
              </w:rPr>
              <w:t>$4.07B</w:t>
            </w:r>
          </w:p>
        </w:tc>
      </w:tr>
      <w:tr>
        <w:tc>
          <w:tcPr>
            <w:tcW w:w="40" w:type="pct"/>
          </w:tcPr>
          <w:p>
            <w:pPr>
              <w:spacing w:before="30" w:after="30"/>
              <w:ind w:left="60"/>
            </w:pPr>
            <w:r>
              <w:rPr>
                <w:color w:val="4A5568"/>
                <w:sz w:val="20"/>
              </w:rPr>
              <w:t>Workforce retraining</w:t>
            </w:r>
          </w:p>
        </w:tc>
        <w:tc>
          <w:tcPr>
            <w:tcW w:w="20" w:type="pct"/>
          </w:tcPr>
          <w:p>
            <w:pPr>
              <w:spacing w:before="30" w:after="30"/>
              <w:ind w:left="60"/>
            </w:pPr>
            <w:r>
              <w:rPr>
                <w:color w:val="4A5568"/>
                <w:sz w:val="20"/>
              </w:rPr>
              <w:t>$1.00B</w:t>
            </w:r>
          </w:p>
        </w:tc>
        <w:tc>
          <w:tcPr>
            <w:tcW w:w="20" w:type="pct"/>
          </w:tcPr>
          <w:p>
            <w:pPr>
              <w:spacing w:before="30" w:after="30"/>
              <w:ind w:left="60"/>
            </w:pPr>
            <w:r>
              <w:rPr>
                <w:color w:val="4A5568"/>
                <w:sz w:val="20"/>
              </w:rPr>
              <w:t>1.5x</w:t>
            </w:r>
          </w:p>
        </w:tc>
        <w:tc>
          <w:tcPr>
            <w:tcW w:w="20" w:type="pct"/>
          </w:tcPr>
          <w:p>
            <w:pPr>
              <w:spacing w:before="30" w:after="30"/>
              <w:ind w:left="60"/>
            </w:pPr>
            <w:r>
              <w:rPr>
                <w:color w:val="4A5568"/>
                <w:sz w:val="20"/>
              </w:rPr>
              <w:t>$1.50B</w:t>
            </w:r>
          </w:p>
        </w:tc>
      </w:tr>
      <w:tr>
        <w:tc>
          <w:tcPr>
            <w:tcW w:w="40" w:type="pct"/>
          </w:tcPr>
          <w:p>
            <w:pPr>
              <w:spacing w:before="30" w:after="30"/>
              <w:ind w:left="60"/>
            </w:pPr>
            <w:r>
              <w:rPr>
                <w:color w:val="4A5568"/>
                <w:sz w:val="20"/>
              </w:rPr>
              <w:t>Contingency</w:t>
            </w:r>
          </w:p>
        </w:tc>
        <w:tc>
          <w:tcPr>
            <w:tcW w:w="20" w:type="pct"/>
          </w:tcPr>
          <w:p>
            <w:pPr>
              <w:spacing w:before="30" w:after="30"/>
              <w:ind w:left="60"/>
            </w:pPr>
            <w:r>
              <w:rPr>
                <w:color w:val="4A5568"/>
                <w:sz w:val="20"/>
              </w:rPr>
              <w:t>$0.48B</w:t>
            </w:r>
          </w:p>
        </w:tc>
        <w:tc>
          <w:tcPr>
            <w:tcW w:w="20" w:type="pct"/>
          </w:tcPr>
          <w:p>
            <w:pPr>
              <w:spacing w:before="30" w:after="30"/>
              <w:ind w:left="60"/>
            </w:pPr>
            <w:r>
              <w:rPr>
                <w:color w:val="4A5568"/>
                <w:sz w:val="20"/>
              </w:rPr>
              <w:t>1.5x</w:t>
            </w:r>
          </w:p>
        </w:tc>
        <w:tc>
          <w:tcPr>
            <w:tcW w:w="20" w:type="pct"/>
          </w:tcPr>
          <w:p>
            <w:pPr>
              <w:spacing w:before="30" w:after="30"/>
              <w:ind w:left="60"/>
            </w:pPr>
            <w:r>
              <w:rPr>
                <w:color w:val="4A5568"/>
                <w:sz w:val="20"/>
              </w:rPr>
              <w:t>$0.72B</w:t>
            </w:r>
          </w:p>
        </w:tc>
      </w:tr>
      <w:tr>
        <w:tc>
          <w:tcPr>
            <w:tcW w:w="40" w:type="pct"/>
          </w:tcPr>
          <w:p>
            <w:pPr>
              <w:spacing w:before="30" w:after="30"/>
              <w:ind w:left="60"/>
            </w:pPr>
            <w:r>
              <w:rPr>
                <w:color w:val="4A5568"/>
                <w:sz w:val="20"/>
              </w:rPr>
              <w:t>TOTAL REINVESTMENT</w:t>
            </w:r>
          </w:p>
        </w:tc>
        <w:tc>
          <w:tcPr>
            <w:tcW w:w="20" w:type="pct"/>
          </w:tcPr>
          <w:p>
            <w:pPr>
              <w:spacing w:before="30" w:after="30"/>
              <w:ind w:left="60"/>
            </w:pPr>
            <w:r>
              <w:rPr>
                <w:color w:val="4A5568"/>
                <w:sz w:val="20"/>
              </w:rPr>
              <w:t>$9.24B</w:t>
            </w:r>
          </w:p>
        </w:tc>
        <w:tc>
          <w:tcPr>
            <w:tcW w:w="20" w:type="pct"/>
          </w:tcPr>
          <w:p>
            <w:pPr>
              <w:spacing w:before="30" w:after="30"/>
              <w:ind w:left="60"/>
            </w:pPr>
            <w:r>
              <w:rPr>
                <w:color w:val="4A5568"/>
                <w:sz w:val="20"/>
              </w:rPr>
              <w:t>2.27x</w:t>
            </w:r>
          </w:p>
        </w:tc>
        <w:tc>
          <w:tcPr>
            <w:tcW w:w="20" w:type="pct"/>
          </w:tcPr>
          <w:p>
            <w:pPr>
              <w:spacing w:before="30" w:after="30"/>
              <w:ind w:left="60"/>
            </w:pPr>
            <w:r>
              <w:rPr>
                <w:color w:val="4A5568"/>
                <w:sz w:val="20"/>
              </w:rPr>
              <w:t>$21.44B</w:t>
            </w:r>
          </w:p>
        </w:tc>
      </w:tr>
    </w:tbl>
    <w:p>
      <w:pPr>
        <w:spacing w:after="120"/>
      </w:pPr>
    </w:p>
    <w:p>
      <w:pPr>
        <w:pStyle w:val="Heading2"/>
      </w:pPr>
      <w:r>
        <w:t>Export Market Potential</w:t>
      </w:r>
    </w:p>
    <w:p>
      <w:r>
        <w:t>The global CCA/loyal wingman market grows from $3.2B (2025) to $10.8B (2034) at 14.8% CAGR. Canadian differentiation: ITAR-free, Arctic-optimized, open architecture, non-superpower status.</w:t>
      </w:r>
    </w:p>
    <w:tbl>
      <w:tblPr>
        <w:tblW w:w="5000" w:type="pct"/>
        <w:tblBorders>
          <w:top w:val="single" w:color="3D5A80" w:sz="12"/>
          <w:left w:val="nil"/>
          <w:bottom w:val="single" w:color="3D5A80" w:sz="12"/>
          <w:right w:val="nil"/>
          <w:insideH w:val="single" w:color="C8D5E0" w:sz="4"/>
          <w:insideV w:val="nil"/>
        </w:tblBorders>
      </w:tblPr>
      <w:tblGrid>
        <w:gridCol w:w="30"/>
        <w:gridCol w:w="25"/>
        <w:gridCol w:w="25"/>
        <w:gridCol w:w="20"/>
      </w:tblGrid>
      <w:tr>
        <w:trPr>
          <w:tblHeader/>
        </w:trPr>
        <w:tc>
          <w:tcPr>
            <w:tcW w:w="30" w:type="pct"/>
            <w:shd w:val="clear" w:fill="E8EDF2"/>
          </w:tcPr>
          <w:p>
            <w:pPr>
              <w:spacing w:before="40" w:after="40"/>
              <w:jc w:val="center"/>
            </w:pPr>
            <w:r>
              <w:rPr>
                <w:b/>
                <w:color w:val="1D2D3D"/>
                <w:sz w:val="20"/>
              </w:rPr>
              <w:t>Market</w:t>
            </w:r>
          </w:p>
        </w:tc>
        <w:tc>
          <w:tcPr>
            <w:tcW w:w="25" w:type="pct"/>
            <w:shd w:val="clear" w:fill="E8EDF2"/>
          </w:tcPr>
          <w:p>
            <w:pPr>
              <w:spacing w:before="40" w:after="40"/>
              <w:jc w:val="center"/>
            </w:pPr>
            <w:r>
              <w:rPr>
                <w:b/>
                <w:color w:val="1D2D3D"/>
                <w:sz w:val="20"/>
              </w:rPr>
              <w:t>Est. Demand</w:t>
            </w:r>
          </w:p>
        </w:tc>
        <w:tc>
          <w:tcPr>
            <w:tcW w:w="25" w:type="pct"/>
            <w:shd w:val="clear" w:fill="E8EDF2"/>
          </w:tcPr>
          <w:p>
            <w:pPr>
              <w:spacing w:before="40" w:after="40"/>
              <w:jc w:val="center"/>
            </w:pPr>
            <w:r>
              <w:rPr>
                <w:b/>
                <w:color w:val="1D2D3D"/>
                <w:sz w:val="20"/>
              </w:rPr>
              <w:t>Canadian Opportunity</w:t>
            </w:r>
          </w:p>
        </w:tc>
        <w:tc>
          <w:tcPr>
            <w:tcW w:w="20" w:type="pct"/>
            <w:shd w:val="clear" w:fill="E8EDF2"/>
          </w:tcPr>
          <w:p>
            <w:pPr>
              <w:spacing w:before="40" w:after="40"/>
              <w:jc w:val="center"/>
            </w:pPr>
            <w:r>
              <w:rPr>
                <w:b/>
                <w:color w:val="1D2D3D"/>
                <w:sz w:val="20"/>
              </w:rPr>
              <w:t>Timeline</w:t>
            </w:r>
          </w:p>
        </w:tc>
      </w:tr>
      <w:tr>
        <w:tc>
          <w:tcPr>
            <w:tcW w:w="30" w:type="pct"/>
          </w:tcPr>
          <w:p>
            <w:pPr>
              <w:spacing w:before="30" w:after="30"/>
              <w:ind w:left="60"/>
            </w:pPr>
            <w:r>
              <w:rPr>
                <w:color w:val="4A5568"/>
                <w:sz w:val="20"/>
              </w:rPr>
              <w:t>Australia</w:t>
            </w:r>
          </w:p>
        </w:tc>
        <w:tc>
          <w:tcPr>
            <w:tcW w:w="25" w:type="pct"/>
          </w:tcPr>
          <w:p>
            <w:pPr>
              <w:spacing w:before="30" w:after="30"/>
              <w:ind w:left="60"/>
            </w:pPr>
            <w:r>
              <w:rPr>
                <w:color w:val="4A5568"/>
                <w:sz w:val="20"/>
              </w:rPr>
              <w:t>36-48 Sprinter-class</w:t>
            </w:r>
          </w:p>
        </w:tc>
        <w:tc>
          <w:tcPr>
            <w:tcW w:w="25" w:type="pct"/>
          </w:tcPr>
          <w:p>
            <w:pPr>
              <w:spacing w:before="30" w:after="30"/>
              <w:ind w:left="60"/>
            </w:pPr>
            <w:r>
              <w:rPr>
                <w:color w:val="4A5568"/>
                <w:sz w:val="20"/>
              </w:rPr>
              <w:t>$180-240M</w:t>
            </w:r>
          </w:p>
        </w:tc>
        <w:tc>
          <w:tcPr>
            <w:tcW w:w="20" w:type="pct"/>
          </w:tcPr>
          <w:p>
            <w:pPr>
              <w:spacing w:before="30" w:after="30"/>
              <w:ind w:left="60"/>
            </w:pPr>
            <w:r>
              <w:rPr>
                <w:color w:val="4A5568"/>
                <w:sz w:val="20"/>
              </w:rPr>
              <w:t>2029-2033</w:t>
            </w:r>
          </w:p>
        </w:tc>
      </w:tr>
      <w:tr>
        <w:tc>
          <w:tcPr>
            <w:tcW w:w="30" w:type="pct"/>
          </w:tcPr>
          <w:p>
            <w:pPr>
              <w:spacing w:before="30" w:after="30"/>
              <w:ind w:left="60"/>
            </w:pPr>
            <w:r>
              <w:rPr>
                <w:color w:val="4A5568"/>
                <w:sz w:val="20"/>
              </w:rPr>
              <w:t>Finland</w:t>
            </w:r>
          </w:p>
        </w:tc>
        <w:tc>
          <w:tcPr>
            <w:tcW w:w="25" w:type="pct"/>
          </w:tcPr>
          <w:p>
            <w:pPr>
              <w:spacing w:before="30" w:after="30"/>
              <w:ind w:left="60"/>
            </w:pPr>
            <w:r>
              <w:rPr>
                <w:color w:val="4A5568"/>
                <w:sz w:val="20"/>
              </w:rPr>
              <w:t>24-36 Striker-class</w:t>
            </w:r>
          </w:p>
        </w:tc>
        <w:tc>
          <w:tcPr>
            <w:tcW w:w="25" w:type="pct"/>
          </w:tcPr>
          <w:p>
            <w:pPr>
              <w:spacing w:before="30" w:after="30"/>
              <w:ind w:left="60"/>
            </w:pPr>
            <w:r>
              <w:rPr>
                <w:color w:val="4A5568"/>
                <w:sz w:val="20"/>
              </w:rPr>
              <w:t>$220-330M</w:t>
            </w:r>
          </w:p>
        </w:tc>
        <w:tc>
          <w:tcPr>
            <w:tcW w:w="20" w:type="pct"/>
          </w:tcPr>
          <w:p>
            <w:pPr>
              <w:spacing w:before="30" w:after="30"/>
              <w:ind w:left="60"/>
            </w:pPr>
            <w:r>
              <w:rPr>
                <w:color w:val="4A5568"/>
                <w:sz w:val="20"/>
              </w:rPr>
              <w:t>2030-2035</w:t>
            </w:r>
          </w:p>
        </w:tc>
      </w:tr>
      <w:tr>
        <w:tc>
          <w:tcPr>
            <w:tcW w:w="30" w:type="pct"/>
          </w:tcPr>
          <w:p>
            <w:pPr>
              <w:spacing w:before="30" w:after="30"/>
              <w:ind w:left="60"/>
            </w:pPr>
            <w:r>
              <w:rPr>
                <w:color w:val="4A5568"/>
                <w:sz w:val="20"/>
              </w:rPr>
              <w:t>Poland</w:t>
            </w:r>
          </w:p>
        </w:tc>
        <w:tc>
          <w:tcPr>
            <w:tcW w:w="25" w:type="pct"/>
          </w:tcPr>
          <w:p>
            <w:pPr>
              <w:spacing w:before="30" w:after="30"/>
              <w:ind w:left="60"/>
            </w:pPr>
            <w:r>
              <w:rPr>
                <w:color w:val="4A5568"/>
                <w:sz w:val="20"/>
              </w:rPr>
              <w:t>48-72 Sprinter-class</w:t>
            </w:r>
          </w:p>
        </w:tc>
        <w:tc>
          <w:tcPr>
            <w:tcW w:w="25" w:type="pct"/>
          </w:tcPr>
          <w:p>
            <w:pPr>
              <w:spacing w:before="30" w:after="30"/>
              <w:ind w:left="60"/>
            </w:pPr>
            <w:r>
              <w:rPr>
                <w:color w:val="4A5568"/>
                <w:sz w:val="20"/>
              </w:rPr>
              <w:t>$288-432M</w:t>
            </w:r>
          </w:p>
        </w:tc>
        <w:tc>
          <w:tcPr>
            <w:tcW w:w="20" w:type="pct"/>
          </w:tcPr>
          <w:p>
            <w:pPr>
              <w:spacing w:before="30" w:after="30"/>
              <w:ind w:left="60"/>
            </w:pPr>
            <w:r>
              <w:rPr>
                <w:color w:val="4A5568"/>
                <w:sz w:val="20"/>
              </w:rPr>
              <w:t>2028-2034</w:t>
            </w:r>
          </w:p>
        </w:tc>
      </w:tr>
      <w:tr>
        <w:tc>
          <w:tcPr>
            <w:tcW w:w="30" w:type="pct"/>
          </w:tcPr>
          <w:p>
            <w:pPr>
              <w:spacing w:before="30" w:after="30"/>
              <w:ind w:left="60"/>
            </w:pPr>
            <w:r>
              <w:rPr>
                <w:color w:val="4A5568"/>
                <w:sz w:val="20"/>
              </w:rPr>
              <w:t>Other NATO</w:t>
            </w:r>
          </w:p>
        </w:tc>
        <w:tc>
          <w:tcPr>
            <w:tcW w:w="25" w:type="pct"/>
          </w:tcPr>
          <w:p>
            <w:pPr>
              <w:spacing w:before="30" w:after="30"/>
              <w:ind w:left="60"/>
            </w:pPr>
            <w:r>
              <w:rPr>
                <w:color w:val="4A5568"/>
                <w:sz w:val="20"/>
              </w:rPr>
              <w:t>60-90 mixed</w:t>
            </w:r>
          </w:p>
        </w:tc>
        <w:tc>
          <w:tcPr>
            <w:tcW w:w="25" w:type="pct"/>
          </w:tcPr>
          <w:p>
            <w:pPr>
              <w:spacing w:before="30" w:after="30"/>
              <w:ind w:left="60"/>
            </w:pPr>
            <w:r>
              <w:rPr>
                <w:color w:val="4A5568"/>
                <w:sz w:val="20"/>
              </w:rPr>
              <w:t>$400-600M</w:t>
            </w:r>
          </w:p>
        </w:tc>
        <w:tc>
          <w:tcPr>
            <w:tcW w:w="20" w:type="pct"/>
          </w:tcPr>
          <w:p>
            <w:pPr>
              <w:spacing w:before="30" w:after="30"/>
              <w:ind w:left="60"/>
            </w:pPr>
            <w:r>
              <w:rPr>
                <w:color w:val="4A5568"/>
                <w:sz w:val="20"/>
              </w:rPr>
              <w:t>2030-2040</w:t>
            </w:r>
          </w:p>
        </w:tc>
      </w:tr>
      <w:tr>
        <w:tc>
          <w:tcPr>
            <w:tcW w:w="30" w:type="pct"/>
          </w:tcPr>
          <w:p>
            <w:pPr>
              <w:spacing w:before="30" w:after="30"/>
              <w:ind w:left="60"/>
            </w:pPr>
            <w:r>
              <w:rPr>
                <w:color w:val="4A5568"/>
                <w:sz w:val="20"/>
              </w:rPr>
              <w:t>TOTAL</w:t>
            </w:r>
          </w:p>
        </w:tc>
        <w:tc>
          <w:tcPr>
            <w:tcW w:w="25" w:type="pct"/>
          </w:tcPr>
          <w:p>
            <w:pPr>
              <w:spacing w:before="30" w:after="30"/>
              <w:ind w:left="60"/>
            </w:pPr>
            <w:r>
              <w:rPr>
                <w:color w:val="4A5568"/>
                <w:sz w:val="20"/>
              </w:rPr>
              <w:t>192-294 units</w:t>
            </w:r>
          </w:p>
        </w:tc>
        <w:tc>
          <w:tcPr>
            <w:tcW w:w="25" w:type="pct"/>
          </w:tcPr>
          <w:p>
            <w:pPr>
              <w:spacing w:before="30" w:after="30"/>
              <w:ind w:left="60"/>
            </w:pPr>
            <w:r>
              <w:rPr>
                <w:color w:val="4A5568"/>
                <w:sz w:val="20"/>
              </w:rPr>
              <w:t>$1.31-2.04B</w:t>
            </w:r>
          </w:p>
        </w:tc>
        <w:tc>
          <w:tcPr>
            <w:tcW w:w="20" w:type="pct"/>
          </w:tcPr>
          <w:p>
            <w:pPr>
              <w:spacing w:before="30" w:after="30"/>
              <w:ind w:left="60"/>
            </w:pPr>
            <w:r>
              <w:rPr>
                <w:color w:val="4A5568"/>
                <w:sz w:val="20"/>
              </w:rPr>
              <w:t/>
            </w:r>
          </w:p>
        </w:tc>
      </w:tr>
    </w:tbl>
    <w:p>
      <w:pPr>
        <w:spacing w:after="120"/>
      </w:pPr>
    </w:p>
    <w:p>
      <w:pPr>
        <w:pStyle w:val="Heading2"/>
      </w:pPr>
      <w:r>
        <w:t>Workforce Transition — Auto to Aero</w:t>
      </w:r>
    </w:p>
    <w:p>
      <w:r>
        <w:t>The $930 million retraining program transitions 1,275 displaced automotive workers annually into aerospace. Partners: Centennial, Fanshawe, Mohawk, Sheridan colleges, plus Bombardier and MDA. ROI: 4.2x over ten years.</w:t>
      </w:r>
    </w:p>
    <w:tbl>
      <w:tblPr>
        <w:tblW w:w="5000" w:type="pct"/>
        <w:tblBorders>
          <w:top w:val="single" w:color="3D5A80" w:sz="12"/>
          <w:left w:val="nil"/>
          <w:bottom w:val="single" w:color="3D5A80" w:sz="12"/>
          <w:right w:val="nil"/>
          <w:insideH w:val="single" w:color="C8D5E0" w:sz="4"/>
          <w:insideV w:val="nil"/>
        </w:tblBorders>
      </w:tblPr>
      <w:tblGrid>
        <w:gridCol w:w="30"/>
        <w:gridCol w:w="30"/>
        <w:gridCol w:w="20"/>
        <w:gridCol w:w="20"/>
      </w:tblGrid>
      <w:tr>
        <w:trPr>
          <w:tblHeader/>
        </w:trPr>
        <w:tc>
          <w:tcPr>
            <w:tcW w:w="30" w:type="pct"/>
            <w:shd w:val="clear" w:fill="E8EDF2"/>
          </w:tcPr>
          <w:p>
            <w:pPr>
              <w:spacing w:before="40" w:after="40"/>
              <w:jc w:val="center"/>
            </w:pPr>
            <w:r>
              <w:rPr>
                <w:b/>
                <w:color w:val="1D2D3D"/>
                <w:sz w:val="20"/>
              </w:rPr>
              <w:t>Auto Skill</w:t>
            </w:r>
          </w:p>
        </w:tc>
        <w:tc>
          <w:tcPr>
            <w:tcW w:w="30" w:type="pct"/>
            <w:shd w:val="clear" w:fill="E8EDF2"/>
          </w:tcPr>
          <w:p>
            <w:pPr>
              <w:spacing w:before="40" w:after="40"/>
              <w:jc w:val="center"/>
            </w:pPr>
            <w:r>
              <w:rPr>
                <w:b/>
                <w:color w:val="1D2D3D"/>
                <w:sz w:val="20"/>
              </w:rPr>
              <w:t>Aerospace Application</w:t>
            </w:r>
          </w:p>
        </w:tc>
        <w:tc>
          <w:tcPr>
            <w:tcW w:w="20" w:type="pct"/>
            <w:shd w:val="clear" w:fill="E8EDF2"/>
          </w:tcPr>
          <w:p>
            <w:pPr>
              <w:spacing w:before="40" w:after="40"/>
              <w:jc w:val="center"/>
            </w:pPr>
            <w:r>
              <w:rPr>
                <w:b/>
                <w:color w:val="1D2D3D"/>
                <w:sz w:val="20"/>
              </w:rPr>
              <w:t>Retraining</w:t>
            </w:r>
          </w:p>
        </w:tc>
        <w:tc>
          <w:tcPr>
            <w:tcW w:w="20" w:type="pct"/>
            <w:shd w:val="clear" w:fill="E8EDF2"/>
          </w:tcPr>
          <w:p>
            <w:pPr>
              <w:spacing w:before="40" w:after="40"/>
              <w:jc w:val="center"/>
            </w:pPr>
            <w:r>
              <w:rPr>
                <w:b/>
                <w:color w:val="1D2D3D"/>
                <w:sz w:val="20"/>
              </w:rPr>
              <w:t>Annual</w:t>
            </w:r>
          </w:p>
        </w:tc>
      </w:tr>
      <w:tr>
        <w:tc>
          <w:tcPr>
            <w:tcW w:w="30" w:type="pct"/>
          </w:tcPr>
          <w:p>
            <w:pPr>
              <w:spacing w:before="30" w:after="30"/>
              <w:ind w:left="60"/>
            </w:pPr>
            <w:r>
              <w:rPr>
                <w:color w:val="4A5568"/>
                <w:sz w:val="20"/>
              </w:rPr>
              <w:t>CNC machining</w:t>
            </w:r>
          </w:p>
        </w:tc>
        <w:tc>
          <w:tcPr>
            <w:tcW w:w="30" w:type="pct"/>
          </w:tcPr>
          <w:p>
            <w:pPr>
              <w:spacing w:before="30" w:after="30"/>
              <w:ind w:left="60"/>
            </w:pPr>
            <w:r>
              <w:rPr>
                <w:color w:val="4A5568"/>
                <w:sz w:val="20"/>
              </w:rPr>
              <w:t>Aircraft component fabrication</w:t>
            </w:r>
          </w:p>
        </w:tc>
        <w:tc>
          <w:tcPr>
            <w:tcW w:w="20" w:type="pct"/>
          </w:tcPr>
          <w:p>
            <w:pPr>
              <w:spacing w:before="30" w:after="30"/>
              <w:ind w:left="60"/>
            </w:pPr>
            <w:r>
              <w:rPr>
                <w:color w:val="4A5568"/>
                <w:sz w:val="20"/>
              </w:rPr>
              <w:t>3-6 months</w:t>
            </w:r>
          </w:p>
        </w:tc>
        <w:tc>
          <w:tcPr>
            <w:tcW w:w="20" w:type="pct"/>
          </w:tcPr>
          <w:p>
            <w:pPr>
              <w:spacing w:before="30" w:after="30"/>
              <w:ind w:left="60"/>
            </w:pPr>
            <w:r>
              <w:rPr>
                <w:color w:val="4A5568"/>
                <w:sz w:val="20"/>
              </w:rPr>
              <w:t>280</w:t>
            </w:r>
          </w:p>
        </w:tc>
      </w:tr>
      <w:tr>
        <w:tc>
          <w:tcPr>
            <w:tcW w:w="30" w:type="pct"/>
          </w:tcPr>
          <w:p>
            <w:pPr>
              <w:spacing w:before="30" w:after="30"/>
              <w:ind w:left="60"/>
            </w:pPr>
            <w:r>
              <w:rPr>
                <w:color w:val="4A5568"/>
                <w:sz w:val="20"/>
              </w:rPr>
              <w:t>Composite manufacturing</w:t>
            </w:r>
          </w:p>
        </w:tc>
        <w:tc>
          <w:tcPr>
            <w:tcW w:w="30" w:type="pct"/>
          </w:tcPr>
          <w:p>
            <w:pPr>
              <w:spacing w:before="30" w:after="30"/>
              <w:ind w:left="60"/>
            </w:pPr>
            <w:r>
              <w:rPr>
                <w:color w:val="4A5568"/>
                <w:sz w:val="20"/>
              </w:rPr>
              <w:t>Airframe structures, RAM</w:t>
            </w:r>
          </w:p>
        </w:tc>
        <w:tc>
          <w:tcPr>
            <w:tcW w:w="20" w:type="pct"/>
          </w:tcPr>
          <w:p>
            <w:pPr>
              <w:spacing w:before="30" w:after="30"/>
              <w:ind w:left="60"/>
            </w:pPr>
            <w:r>
              <w:rPr>
                <w:color w:val="4A5568"/>
                <w:sz w:val="20"/>
              </w:rPr>
              <w:t>6-12 months</w:t>
            </w:r>
          </w:p>
        </w:tc>
        <w:tc>
          <w:tcPr>
            <w:tcW w:w="20" w:type="pct"/>
          </w:tcPr>
          <w:p>
            <w:pPr>
              <w:spacing w:before="30" w:after="30"/>
              <w:ind w:left="60"/>
            </w:pPr>
            <w:r>
              <w:rPr>
                <w:color w:val="4A5568"/>
                <w:sz w:val="20"/>
              </w:rPr>
              <w:t>195</w:t>
            </w:r>
          </w:p>
        </w:tc>
      </w:tr>
      <w:tr>
        <w:tc>
          <w:tcPr>
            <w:tcW w:w="30" w:type="pct"/>
          </w:tcPr>
          <w:p>
            <w:pPr>
              <w:spacing w:before="30" w:after="30"/>
              <w:ind w:left="60"/>
            </w:pPr>
            <w:r>
              <w:rPr>
                <w:color w:val="4A5568"/>
                <w:sz w:val="20"/>
              </w:rPr>
              <w:t>Quality control / NDT</w:t>
            </w:r>
          </w:p>
        </w:tc>
        <w:tc>
          <w:tcPr>
            <w:tcW w:w="30" w:type="pct"/>
          </w:tcPr>
          <w:p>
            <w:pPr>
              <w:spacing w:before="30" w:after="30"/>
              <w:ind w:left="60"/>
            </w:pPr>
            <w:r>
              <w:rPr>
                <w:color w:val="4A5568"/>
                <w:sz w:val="20"/>
              </w:rPr>
              <w:t>Airworthiness inspection</w:t>
            </w:r>
          </w:p>
        </w:tc>
        <w:tc>
          <w:tcPr>
            <w:tcW w:w="20" w:type="pct"/>
          </w:tcPr>
          <w:p>
            <w:pPr>
              <w:spacing w:before="30" w:after="30"/>
              <w:ind w:left="60"/>
            </w:pPr>
            <w:r>
              <w:rPr>
                <w:color w:val="4A5568"/>
                <w:sz w:val="20"/>
              </w:rPr>
              <w:t>6 months</w:t>
            </w:r>
          </w:p>
        </w:tc>
        <w:tc>
          <w:tcPr>
            <w:tcW w:w="20" w:type="pct"/>
          </w:tcPr>
          <w:p>
            <w:pPr>
              <w:spacing w:before="30" w:after="30"/>
              <w:ind w:left="60"/>
            </w:pPr>
            <w:r>
              <w:rPr>
                <w:color w:val="4A5568"/>
                <w:sz w:val="20"/>
              </w:rPr>
              <w:t>150</w:t>
            </w:r>
          </w:p>
        </w:tc>
      </w:tr>
      <w:tr>
        <w:tc>
          <w:tcPr>
            <w:tcW w:w="30" w:type="pct"/>
          </w:tcPr>
          <w:p>
            <w:pPr>
              <w:spacing w:before="30" w:after="30"/>
              <w:ind w:left="60"/>
            </w:pPr>
            <w:r>
              <w:rPr>
                <w:color w:val="4A5568"/>
                <w:sz w:val="20"/>
              </w:rPr>
              <w:t>Assembly line work</w:t>
            </w:r>
          </w:p>
        </w:tc>
        <w:tc>
          <w:tcPr>
            <w:tcW w:w="30" w:type="pct"/>
          </w:tcPr>
          <w:p>
            <w:pPr>
              <w:spacing w:before="30" w:after="30"/>
              <w:ind w:left="60"/>
            </w:pPr>
            <w:r>
              <w:rPr>
                <w:color w:val="4A5568"/>
                <w:sz w:val="20"/>
              </w:rPr>
              <w:t>Airframe assembly, integration</w:t>
            </w:r>
          </w:p>
        </w:tc>
        <w:tc>
          <w:tcPr>
            <w:tcW w:w="20" w:type="pct"/>
          </w:tcPr>
          <w:p>
            <w:pPr>
              <w:spacing w:before="30" w:after="30"/>
              <w:ind w:left="60"/>
            </w:pPr>
            <w:r>
              <w:rPr>
                <w:color w:val="4A5568"/>
                <w:sz w:val="20"/>
              </w:rPr>
              <w:t>3-6 months</w:t>
            </w:r>
          </w:p>
        </w:tc>
        <w:tc>
          <w:tcPr>
            <w:tcW w:w="20" w:type="pct"/>
          </w:tcPr>
          <w:p>
            <w:pPr>
              <w:spacing w:before="30" w:after="30"/>
              <w:ind w:left="60"/>
            </w:pPr>
            <w:r>
              <w:rPr>
                <w:color w:val="4A5568"/>
                <w:sz w:val="20"/>
              </w:rPr>
              <w:t>340</w:t>
            </w:r>
          </w:p>
        </w:tc>
      </w:tr>
      <w:tr>
        <w:tc>
          <w:tcPr>
            <w:tcW w:w="30" w:type="pct"/>
          </w:tcPr>
          <w:p>
            <w:pPr>
              <w:spacing w:before="30" w:after="30"/>
              <w:ind w:left="60"/>
            </w:pPr>
            <w:r>
              <w:rPr>
                <w:color w:val="4A5568"/>
                <w:sz w:val="20"/>
              </w:rPr>
              <w:t>Electrical systems</w:t>
            </w:r>
          </w:p>
        </w:tc>
        <w:tc>
          <w:tcPr>
            <w:tcW w:w="30" w:type="pct"/>
          </w:tcPr>
          <w:p>
            <w:pPr>
              <w:spacing w:before="30" w:after="30"/>
              <w:ind w:left="60"/>
            </w:pPr>
            <w:r>
              <w:rPr>
                <w:color w:val="4A5568"/>
                <w:sz w:val="20"/>
              </w:rPr>
              <w:t>Avionics, sensor integration</w:t>
            </w:r>
          </w:p>
        </w:tc>
        <w:tc>
          <w:tcPr>
            <w:tcW w:w="20" w:type="pct"/>
          </w:tcPr>
          <w:p>
            <w:pPr>
              <w:spacing w:before="30" w:after="30"/>
              <w:ind w:left="60"/>
            </w:pPr>
            <w:r>
              <w:rPr>
                <w:color w:val="4A5568"/>
                <w:sz w:val="20"/>
              </w:rPr>
              <w:t>6-12 months</w:t>
            </w:r>
          </w:p>
        </w:tc>
        <w:tc>
          <w:tcPr>
            <w:tcW w:w="20" w:type="pct"/>
          </w:tcPr>
          <w:p>
            <w:pPr>
              <w:spacing w:before="30" w:after="30"/>
              <w:ind w:left="60"/>
            </w:pPr>
            <w:r>
              <w:rPr>
                <w:color w:val="4A5568"/>
                <w:sz w:val="20"/>
              </w:rPr>
              <w:t>225</w:t>
            </w:r>
          </w:p>
        </w:tc>
      </w:tr>
      <w:tr>
        <w:tc>
          <w:tcPr>
            <w:tcW w:w="30" w:type="pct"/>
          </w:tcPr>
          <w:p>
            <w:pPr>
              <w:spacing w:before="30" w:after="30"/>
              <w:ind w:left="60"/>
            </w:pPr>
            <w:r>
              <w:rPr>
                <w:color w:val="4A5568"/>
                <w:sz w:val="20"/>
              </w:rPr>
              <w:t>Program management</w:t>
            </w:r>
          </w:p>
        </w:tc>
        <w:tc>
          <w:tcPr>
            <w:tcW w:w="30" w:type="pct"/>
          </w:tcPr>
          <w:p>
            <w:pPr>
              <w:spacing w:before="30" w:after="30"/>
              <w:ind w:left="60"/>
            </w:pPr>
            <w:r>
              <w:rPr>
                <w:color w:val="4A5568"/>
                <w:sz w:val="20"/>
              </w:rPr>
              <w:t>Defence procurement</w:t>
            </w:r>
          </w:p>
        </w:tc>
        <w:tc>
          <w:tcPr>
            <w:tcW w:w="20" w:type="pct"/>
          </w:tcPr>
          <w:p>
            <w:pPr>
              <w:spacing w:before="30" w:after="30"/>
              <w:ind w:left="60"/>
            </w:pPr>
            <w:r>
              <w:rPr>
                <w:color w:val="4A5568"/>
                <w:sz w:val="20"/>
              </w:rPr>
              <w:t>3-6 months</w:t>
            </w:r>
          </w:p>
        </w:tc>
        <w:tc>
          <w:tcPr>
            <w:tcW w:w="20" w:type="pct"/>
          </w:tcPr>
          <w:p>
            <w:pPr>
              <w:spacing w:before="30" w:after="30"/>
              <w:ind w:left="60"/>
            </w:pPr>
            <w:r>
              <w:rPr>
                <w:color w:val="4A5568"/>
                <w:sz w:val="20"/>
              </w:rPr>
              <w:t>85</w:t>
            </w:r>
          </w:p>
        </w:tc>
      </w:tr>
      <w:tr>
        <w:tc>
          <w:tcPr>
            <w:tcW w:w="30" w:type="pct"/>
          </w:tcPr>
          <w:p>
            <w:pPr>
              <w:spacing w:before="30" w:after="30"/>
              <w:ind w:left="60"/>
            </w:pPr>
            <w:r>
              <w:rPr>
                <w:color w:val="4A5568"/>
                <w:sz w:val="20"/>
              </w:rPr>
              <w:t>TOTAL</w:t>
            </w:r>
          </w:p>
        </w:tc>
        <w:tc>
          <w:tcPr>
            <w:tcW w:w="30" w:type="pct"/>
          </w:tcPr>
          <w:p>
            <w:pPr>
              <w:spacing w:before="30" w:after="30"/>
              <w:ind w:left="60"/>
            </w:pPr>
            <w:r>
              <w:rPr>
                <w:color w:val="4A5568"/>
                <w:sz w:val="20"/>
              </w:rPr>
              <w:t/>
            </w:r>
          </w:p>
        </w:tc>
        <w:tc>
          <w:tcPr>
            <w:tcW w:w="20" w:type="pct"/>
          </w:tcPr>
          <w:p>
            <w:pPr>
              <w:spacing w:before="30" w:after="30"/>
              <w:ind w:left="60"/>
            </w:pPr>
            <w:r>
              <w:rPr>
                <w:color w:val="4A5568"/>
                <w:sz w:val="20"/>
              </w:rPr>
              <w:t/>
            </w:r>
          </w:p>
        </w:tc>
        <w:tc>
          <w:tcPr>
            <w:tcW w:w="20" w:type="pct"/>
          </w:tcPr>
          <w:p>
            <w:pPr>
              <w:spacing w:before="30" w:after="30"/>
              <w:ind w:left="60"/>
            </w:pPr>
            <w:r>
              <w:rPr>
                <w:color w:val="4A5568"/>
                <w:sz w:val="20"/>
              </w:rPr>
              <w:t>1,275</w:t>
            </w:r>
          </w:p>
        </w:tc>
      </w:tr>
    </w:tbl>
    <w:p>
      <w:pPr>
        <w:spacing w:after="120"/>
      </w:pPr>
    </w:p>
    <w:p>
      <w:pPr>
        <w:pStyle w:val="Heading2"/>
      </w:pPr>
      <w:r>
        <w:t>Economic Sovereignty</w:t>
      </w:r>
    </w:p>
    <w:tbl>
      <w:tblPr>
        <w:tblW w:w="5000" w:type="pct"/>
        <w:tblBorders>
          <w:top w:val="single" w:color="3D5A80" w:sz="12"/>
          <w:left w:val="nil"/>
          <w:bottom w:val="single" w:color="3D5A80" w:sz="12"/>
          <w:right w:val="nil"/>
          <w:insideH w:val="single" w:color="C8D5E0" w:sz="4"/>
          <w:insideV w:val="nil"/>
        </w:tblBorders>
      </w:tblPr>
      <w:tblGrid>
        <w:gridCol w:w="30"/>
        <w:gridCol w:w="25"/>
        <w:gridCol w:w="25"/>
        <w:gridCol w:w="20"/>
      </w:tblGrid>
      <w:tr>
        <w:trPr>
          <w:tblHeader/>
        </w:trPr>
        <w:tc>
          <w:tcPr>
            <w:tcW w:w="30" w:type="pct"/>
            <w:shd w:val="clear" w:fill="E8EDF2"/>
          </w:tcPr>
          <w:p>
            <w:pPr>
              <w:spacing w:before="40" w:after="40"/>
              <w:jc w:val="center"/>
            </w:pPr>
            <w:r>
              <w:rPr>
                <w:b/>
                <w:color w:val="1D2D3D"/>
                <w:sz w:val="20"/>
              </w:rPr>
              <w:t>Dimension</w:t>
            </w:r>
          </w:p>
        </w:tc>
        <w:tc>
          <w:tcPr>
            <w:tcW w:w="25" w:type="pct"/>
            <w:shd w:val="clear" w:fill="E8EDF2"/>
          </w:tcPr>
          <w:p>
            <w:pPr>
              <w:spacing w:before="40" w:after="40"/>
              <w:jc w:val="center"/>
            </w:pPr>
            <w:r>
              <w:rPr>
                <w:b/>
                <w:color w:val="1D2D3D"/>
                <w:sz w:val="20"/>
              </w:rPr>
              <w:t>F-35</w:t>
            </w:r>
          </w:p>
        </w:tc>
        <w:tc>
          <w:tcPr>
            <w:tcW w:w="25" w:type="pct"/>
            <w:shd w:val="clear" w:fill="E8EDF2"/>
          </w:tcPr>
          <w:p>
            <w:pPr>
              <w:spacing w:before="40" w:after="40"/>
              <w:jc w:val="center"/>
            </w:pPr>
            <w:r>
              <w:rPr>
                <w:b/>
                <w:color w:val="1D2D3D"/>
                <w:sz w:val="20"/>
              </w:rPr>
              <w:t>Arctic Horizon</w:t>
            </w:r>
          </w:p>
        </w:tc>
        <w:tc>
          <w:tcPr>
            <w:tcW w:w="20" w:type="pct"/>
            <w:shd w:val="clear" w:fill="E8EDF2"/>
          </w:tcPr>
          <w:p>
            <w:pPr>
              <w:spacing w:before="40" w:after="40"/>
              <w:jc w:val="center"/>
            </w:pPr>
            <w:r>
              <w:rPr>
                <w:b/>
                <w:color w:val="1D2D3D"/>
                <w:sz w:val="20"/>
              </w:rPr>
              <w:t>Value</w:t>
            </w:r>
          </w:p>
        </w:tc>
      </w:tr>
      <w:tr>
        <w:tc>
          <w:tcPr>
            <w:tcW w:w="30" w:type="pct"/>
          </w:tcPr>
          <w:p>
            <w:pPr>
              <w:spacing w:before="30" w:after="30"/>
              <w:ind w:left="60"/>
            </w:pPr>
            <w:r>
              <w:rPr>
                <w:color w:val="4A5568"/>
                <w:sz w:val="20"/>
              </w:rPr>
              <w:t>ITAR dependency</w:t>
            </w:r>
          </w:p>
        </w:tc>
        <w:tc>
          <w:tcPr>
            <w:tcW w:w="25" w:type="pct"/>
          </w:tcPr>
          <w:p>
            <w:pPr>
              <w:spacing w:before="30" w:after="30"/>
              <w:ind w:left="60"/>
            </w:pPr>
            <w:r>
              <w:rPr>
                <w:color w:val="4A5568"/>
                <w:sz w:val="20"/>
              </w:rPr>
              <w:t>High (US-controlled)</w:t>
            </w:r>
          </w:p>
        </w:tc>
        <w:tc>
          <w:tcPr>
            <w:tcW w:w="25" w:type="pct"/>
          </w:tcPr>
          <w:p>
            <w:pPr>
              <w:spacing w:before="30" w:after="30"/>
              <w:ind w:left="60"/>
            </w:pPr>
            <w:r>
              <w:rPr>
                <w:color w:val="4A5568"/>
                <w:sz w:val="20"/>
              </w:rPr>
              <w:t>Low (Canadian)</w:t>
            </w:r>
          </w:p>
        </w:tc>
        <w:tc>
          <w:tcPr>
            <w:tcW w:w="20" w:type="pct"/>
          </w:tcPr>
          <w:p>
            <w:pPr>
              <w:spacing w:before="30" w:after="30"/>
              <w:ind w:left="60"/>
            </w:pPr>
            <w:r>
              <w:rPr>
                <w:color w:val="4A5568"/>
                <w:sz w:val="20"/>
              </w:rPr>
              <w:t>Avoid veto risk</w:t>
            </w:r>
          </w:p>
        </w:tc>
      </w:tr>
      <w:tr>
        <w:tc>
          <w:tcPr>
            <w:tcW w:w="30" w:type="pct"/>
          </w:tcPr>
          <w:p>
            <w:pPr>
              <w:spacing w:before="30" w:after="30"/>
              <w:ind w:left="60"/>
            </w:pPr>
            <w:r>
              <w:rPr>
                <w:color w:val="4A5568"/>
                <w:sz w:val="20"/>
              </w:rPr>
              <w:t>Supply chain control</w:t>
            </w:r>
          </w:p>
        </w:tc>
        <w:tc>
          <w:tcPr>
            <w:tcW w:w="25" w:type="pct"/>
          </w:tcPr>
          <w:p>
            <w:pPr>
              <w:spacing w:before="30" w:after="30"/>
              <w:ind w:left="60"/>
            </w:pPr>
            <w:r>
              <w:rPr>
                <w:color w:val="4A5568"/>
                <w:sz w:val="20"/>
              </w:rPr>
              <w:t>Limited</w:t>
            </w:r>
          </w:p>
        </w:tc>
        <w:tc>
          <w:tcPr>
            <w:tcW w:w="25" w:type="pct"/>
          </w:tcPr>
          <w:p>
            <w:pPr>
              <w:spacing w:before="30" w:after="30"/>
              <w:ind w:left="60"/>
            </w:pPr>
            <w:r>
              <w:rPr>
                <w:color w:val="4A5568"/>
                <w:sz w:val="20"/>
              </w:rPr>
              <w:t>Full visibility</w:t>
            </w:r>
          </w:p>
        </w:tc>
        <w:tc>
          <w:tcPr>
            <w:tcW w:w="20" w:type="pct"/>
          </w:tcPr>
          <w:p>
            <w:pPr>
              <w:spacing w:before="30" w:after="30"/>
              <w:ind w:left="60"/>
            </w:pPr>
            <w:r>
              <w:rPr>
                <w:color w:val="4A5568"/>
                <w:sz w:val="20"/>
              </w:rPr>
              <w:t>Resilience premium</w:t>
            </w:r>
          </w:p>
        </w:tc>
      </w:tr>
      <w:tr>
        <w:tc>
          <w:tcPr>
            <w:tcW w:w="30" w:type="pct"/>
          </w:tcPr>
          <w:p>
            <w:pPr>
              <w:spacing w:before="30" w:after="30"/>
              <w:ind w:left="60"/>
            </w:pPr>
            <w:r>
              <w:rPr>
                <w:color w:val="4A5568"/>
                <w:sz w:val="20"/>
              </w:rPr>
              <w:t>Upgrade autonomy</w:t>
            </w:r>
          </w:p>
        </w:tc>
        <w:tc>
          <w:tcPr>
            <w:tcW w:w="25" w:type="pct"/>
          </w:tcPr>
          <w:p>
            <w:pPr>
              <w:spacing w:before="30" w:after="30"/>
              <w:ind w:left="60"/>
            </w:pPr>
            <w:r>
              <w:rPr>
                <w:color w:val="4A5568"/>
                <w:sz w:val="20"/>
              </w:rPr>
              <w:t>US-determined</w:t>
            </w:r>
          </w:p>
        </w:tc>
        <w:tc>
          <w:tcPr>
            <w:tcW w:w="25" w:type="pct"/>
          </w:tcPr>
          <w:p>
            <w:pPr>
              <w:spacing w:before="30" w:after="30"/>
              <w:ind w:left="60"/>
            </w:pPr>
            <w:r>
              <w:rPr>
                <w:color w:val="4A5568"/>
                <w:sz w:val="20"/>
              </w:rPr>
              <w:t>Canadian-determined</w:t>
            </w:r>
          </w:p>
        </w:tc>
        <w:tc>
          <w:tcPr>
            <w:tcW w:w="20" w:type="pct"/>
          </w:tcPr>
          <w:p>
            <w:pPr>
              <w:spacing w:before="30" w:after="30"/>
              <w:ind w:left="60"/>
            </w:pPr>
            <w:r>
              <w:rPr>
                <w:color w:val="4A5568"/>
                <w:sz w:val="20"/>
              </w:rPr>
              <w:t>Capability agility</w:t>
            </w:r>
          </w:p>
        </w:tc>
      </w:tr>
      <w:tr>
        <w:tc>
          <w:tcPr>
            <w:tcW w:w="30" w:type="pct"/>
          </w:tcPr>
          <w:p>
            <w:pPr>
              <w:spacing w:before="30" w:after="30"/>
              <w:ind w:left="60"/>
            </w:pPr>
            <w:r>
              <w:rPr>
                <w:color w:val="4A5568"/>
                <w:sz w:val="20"/>
              </w:rPr>
              <w:t>Export control</w:t>
            </w:r>
          </w:p>
        </w:tc>
        <w:tc>
          <w:tcPr>
            <w:tcW w:w="25" w:type="pct"/>
          </w:tcPr>
          <w:p>
            <w:pPr>
              <w:spacing w:before="30" w:after="30"/>
              <w:ind w:left="60"/>
            </w:pPr>
            <w:r>
              <w:rPr>
                <w:color w:val="4A5568"/>
                <w:sz w:val="20"/>
              </w:rPr>
              <w:t>US veto</w:t>
            </w:r>
          </w:p>
        </w:tc>
        <w:tc>
          <w:tcPr>
            <w:tcW w:w="25" w:type="pct"/>
          </w:tcPr>
          <w:p>
            <w:pPr>
              <w:spacing w:before="30" w:after="30"/>
              <w:ind w:left="60"/>
            </w:pPr>
            <w:r>
              <w:rPr>
                <w:color w:val="4A5568"/>
                <w:sz w:val="20"/>
              </w:rPr>
              <w:t>Canadian authority</w:t>
            </w:r>
          </w:p>
        </w:tc>
        <w:tc>
          <w:tcPr>
            <w:tcW w:w="20" w:type="pct"/>
          </w:tcPr>
          <w:p>
            <w:pPr>
              <w:spacing w:before="30" w:after="30"/>
              <w:ind w:left="60"/>
            </w:pPr>
            <w:r>
              <w:rPr>
                <w:color w:val="4A5568"/>
                <w:sz w:val="20"/>
              </w:rPr>
              <w:t>$500M+ opportunity</w:t>
            </w:r>
          </w:p>
        </w:tc>
      </w:tr>
      <w:tr>
        <w:tc>
          <w:tcPr>
            <w:tcW w:w="30" w:type="pct"/>
          </w:tcPr>
          <w:p>
            <w:pPr>
              <w:spacing w:before="30" w:after="30"/>
              <w:ind w:left="60"/>
            </w:pPr>
            <w:r>
              <w:rPr>
                <w:color w:val="4A5568"/>
                <w:sz w:val="20"/>
              </w:rPr>
              <w:t>Source code</w:t>
            </w:r>
          </w:p>
        </w:tc>
        <w:tc>
          <w:tcPr>
            <w:tcW w:w="25" w:type="pct"/>
          </w:tcPr>
          <w:p>
            <w:pPr>
              <w:spacing w:before="30" w:after="30"/>
              <w:ind w:left="60"/>
            </w:pPr>
            <w:r>
              <w:rPr>
                <w:color w:val="4A5568"/>
                <w:sz w:val="20"/>
              </w:rPr>
              <w:t>Denied</w:t>
            </w:r>
          </w:p>
        </w:tc>
        <w:tc>
          <w:tcPr>
            <w:tcW w:w="25" w:type="pct"/>
          </w:tcPr>
          <w:p>
            <w:pPr>
              <w:spacing w:before="30" w:after="30"/>
              <w:ind w:left="60"/>
            </w:pPr>
            <w:r>
              <w:rPr>
                <w:color w:val="4A5568"/>
                <w:sz w:val="20"/>
              </w:rPr>
              <w:t>Full (Saab guarantee)</w:t>
            </w:r>
          </w:p>
        </w:tc>
        <w:tc>
          <w:tcPr>
            <w:tcW w:w="20" w:type="pct"/>
          </w:tcPr>
          <w:p>
            <w:pPr>
              <w:spacing w:before="30" w:after="30"/>
              <w:ind w:left="60"/>
            </w:pPr>
            <w:r>
              <w:rPr>
                <w:color w:val="4A5568"/>
                <w:sz w:val="20"/>
              </w:rPr>
              <w:t>Innovation enablement</w:t>
            </w:r>
          </w:p>
        </w:tc>
      </w:tr>
      <w:tr>
        <w:tc>
          <w:tcPr>
            <w:tcW w:w="30" w:type="pct"/>
          </w:tcPr>
          <w:p>
            <w:pPr>
              <w:spacing w:before="30" w:after="30"/>
              <w:ind w:left="60"/>
            </w:pPr>
            <w:r>
              <w:rPr>
                <w:color w:val="4A5568"/>
                <w:sz w:val="20"/>
              </w:rPr>
              <w:t>Maintenance IP</w:t>
            </w:r>
          </w:p>
        </w:tc>
        <w:tc>
          <w:tcPr>
            <w:tcW w:w="25" w:type="pct"/>
          </w:tcPr>
          <w:p>
            <w:pPr>
              <w:spacing w:before="30" w:after="30"/>
              <w:ind w:left="60"/>
            </w:pPr>
            <w:r>
              <w:rPr>
                <w:color w:val="4A5568"/>
                <w:sz w:val="20"/>
              </w:rPr>
              <w:t>US depot only</w:t>
            </w:r>
          </w:p>
        </w:tc>
        <w:tc>
          <w:tcPr>
            <w:tcW w:w="25" w:type="pct"/>
          </w:tcPr>
          <w:p>
            <w:pPr>
              <w:spacing w:before="30" w:after="30"/>
              <w:ind w:left="60"/>
            </w:pPr>
            <w:r>
              <w:rPr>
                <w:color w:val="4A5568"/>
                <w:sz w:val="20"/>
              </w:rPr>
              <w:t>Canadian depot</w:t>
            </w:r>
          </w:p>
        </w:tc>
        <w:tc>
          <w:tcPr>
            <w:tcW w:w="20" w:type="pct"/>
          </w:tcPr>
          <w:p>
            <w:pPr>
              <w:spacing w:before="30" w:after="30"/>
              <w:ind w:left="60"/>
            </w:pPr>
            <w:r>
              <w:rPr>
                <w:color w:val="4A5568"/>
                <w:sz w:val="20"/>
              </w:rPr>
              <w:t>$1.2B sustainment</w:t>
            </w:r>
          </w:p>
        </w:tc>
      </w:tr>
    </w:tbl>
    <w:p>
      <w:pPr>
        <w:spacing w:after="120"/>
      </w:pPr>
    </w:p>
    <w:p>
      <w:pPr>
        <w:pStyle w:val="Heading2"/>
      </w:pPr>
      <w:r>
        <w:t>Conclusion</w:t>
      </w:r>
    </w:p>
    <w:p>
      <w:r>
        <w:t>The Arctic Horizon program represents a generational opportunity for Canadian industrial policy. At roughly half the acquisition cost and one-quarter the operating cost of the F-35-only alternative, the program creates an estimated 20,295 total jobs, contributes $14.3 billion to Canadian GDP over ten years, and generates $3.78 billion in tax revenue. Combined with the $21.44 billion reinvestment GDP impact, the total 10-year economic footprint reaches $35.74 billion.</w:t>
      </w:r>
    </w:p>
    <w:p>
      <w:pPr>
        <w:sectPr>
          <w:type w:val="nextPage"/>
          <w:pgSz w:w="11906" w:h="16838"/>
          <w:pgMar w:top="1440" w:right="1440" w:bottom="1440" w:left="1440" w:header="720" w:footer="720"/>
        </w:sectPr>
      </w:pPr>
    </w:p>
    <w:p>
      <w:pPr>
        <w:pStyle w:val="Heading1"/>
      </w:pPr>
      <w:r>
        <w:t>Document 9: Canada and the Tempest (GCAP) Partnership</w:t>
      </w:r>
      <w:bookmarkStart w:name="_Doc09" w:id="10"/>
      <w:bookmarkEnd w:id="10"/>
    </w:p>
    <w:p>
      <w:r>
        <w:t>Economic Deep Dive | Document Reference: CDR-ECON-2026-001 | June 2026</w:t>
      </w:r>
    </w:p>
    <w:p>
      <w:pPr>
        <w:spacing w:after="240"/>
      </w:pPr>
    </w:p>
    <w:p>
      <w:pPr>
        <w:pStyle w:val="Heading2"/>
      </w:pPr>
      <w:r>
        <w:t>Executive Summary</w:t>
      </w:r>
    </w:p>
    <w:p>
      <w:r>
        <w:t>This document quantifies the long-term industrial and economic benefits of Canada joining the Global Combat Air Programme (GCAP) as a Tier 2 partner in developing the sixth-generation Tempest fighter. GCAP — a trilateral program between the United Kingdom, Italy, and Japan — represents a GBP 25+ billion opportunity.</w:t>
      </w:r>
    </w:p>
    <w:p>
      <w:r>
        <w:t>By leveraging the $9.24 billion in procurement savings generated by the Arctic Horizon program, Canada can enter GCAP as a genuine partner nation while maintaining credible Arctic sovereignty capabilities throughout the 2026-2035 interim period.</w:t>
      </w:r>
    </w:p>
    <w:p>
      <w:pPr>
        <w:pStyle w:val="Heading3"/>
      </w:pPr>
      <w:r>
        <w:t>Key Findings</w:t>
      </w:r>
    </w:p>
    <w:tbl>
      <w:tblPr>
        <w:tblW w:w="5000" w:type="pct"/>
        <w:tblBorders>
          <w:top w:val="single" w:color="3D5A80" w:sz="12"/>
          <w:left w:val="nil"/>
          <w:bottom w:val="single" w:color="3D5A80" w:sz="12"/>
          <w:right w:val="nil"/>
          <w:insideH w:val="single" w:color="C8D5E0" w:sz="4"/>
          <w:insideV w:val="nil"/>
        </w:tblBorders>
      </w:tblPr>
      <w:tblGrid>
        <w:gridCol w:w="45"/>
        <w:gridCol w:w="55"/>
      </w:tblGrid>
      <w:tr>
        <w:trPr>
          <w:tblHeader/>
        </w:trPr>
        <w:tc>
          <w:tcPr>
            <w:tcW w:w="45" w:type="pct"/>
            <w:shd w:val="clear" w:fill="E8EDF2"/>
          </w:tcPr>
          <w:p>
            <w:pPr>
              <w:spacing w:before="40" w:after="40"/>
              <w:jc w:val="center"/>
            </w:pPr>
            <w:r>
              <w:rPr>
                <w:b/>
                <w:color w:val="1D2D3D"/>
                <w:sz w:val="20"/>
              </w:rPr>
              <w:t>Metric</w:t>
            </w:r>
          </w:p>
        </w:tc>
        <w:tc>
          <w:tcPr>
            <w:tcW w:w="55" w:type="pct"/>
            <w:shd w:val="clear" w:fill="E8EDF2"/>
          </w:tcPr>
          <w:p>
            <w:pPr>
              <w:spacing w:before="40" w:after="40"/>
              <w:jc w:val="center"/>
            </w:pPr>
            <w:r>
              <w:rPr>
                <w:b/>
                <w:color w:val="1D2D3D"/>
                <w:sz w:val="20"/>
              </w:rPr>
              <w:t>Value</w:t>
            </w:r>
          </w:p>
        </w:tc>
      </w:tr>
      <w:tr>
        <w:tc>
          <w:tcPr>
            <w:tcW w:w="45" w:type="pct"/>
          </w:tcPr>
          <w:p>
            <w:pPr>
              <w:spacing w:before="30" w:after="30"/>
              <w:ind w:left="60"/>
            </w:pPr>
            <w:r>
              <w:rPr>
                <w:color w:val="4A5568"/>
                <w:sz w:val="20"/>
              </w:rPr>
              <w:t>Direct Jobs Created</w:t>
            </w:r>
          </w:p>
        </w:tc>
        <w:tc>
          <w:tcPr>
            <w:tcW w:w="55" w:type="pct"/>
          </w:tcPr>
          <w:p>
            <w:pPr>
              <w:spacing w:before="30" w:after="30"/>
              <w:ind w:left="60"/>
            </w:pPr>
            <w:r>
              <w:rPr>
                <w:color w:val="4A5568"/>
                <w:sz w:val="20"/>
              </w:rPr>
              <w:t>5,000 - 8,000</w:t>
            </w:r>
          </w:p>
        </w:tc>
      </w:tr>
      <w:tr>
        <w:tc>
          <w:tcPr>
            <w:tcW w:w="45" w:type="pct"/>
          </w:tcPr>
          <w:p>
            <w:pPr>
              <w:spacing w:before="30" w:after="30"/>
              <w:ind w:left="60"/>
            </w:pPr>
            <w:r>
              <w:rPr>
                <w:color w:val="4A5568"/>
                <w:sz w:val="20"/>
              </w:rPr>
              <w:t>Total Jobs (Direct + Indirect + Induced)</w:t>
            </w:r>
          </w:p>
        </w:tc>
        <w:tc>
          <w:tcPr>
            <w:tcW w:w="55" w:type="pct"/>
          </w:tcPr>
          <w:p>
            <w:pPr>
              <w:spacing w:before="30" w:after="30"/>
              <w:ind w:left="60"/>
            </w:pPr>
            <w:r>
              <w:rPr>
                <w:color w:val="4A5568"/>
                <w:sz w:val="20"/>
              </w:rPr>
              <w:t>13,000 - 21,000</w:t>
            </w:r>
          </w:p>
        </w:tc>
      </w:tr>
      <w:tr>
        <w:tc>
          <w:tcPr>
            <w:tcW w:w="45" w:type="pct"/>
          </w:tcPr>
          <w:p>
            <w:pPr>
              <w:spacing w:before="30" w:after="30"/>
              <w:ind w:left="60"/>
            </w:pPr>
            <w:r>
              <w:rPr>
                <w:color w:val="4A5568"/>
                <w:sz w:val="20"/>
              </w:rPr>
              <w:t>25-Year GDP Contribution</w:t>
            </w:r>
          </w:p>
        </w:tc>
        <w:tc>
          <w:tcPr>
            <w:tcW w:w="55" w:type="pct"/>
          </w:tcPr>
          <w:p>
            <w:pPr>
              <w:spacing w:before="30" w:after="30"/>
              <w:ind w:left="60"/>
            </w:pPr>
            <w:r>
              <w:rPr>
                <w:color w:val="4A5568"/>
                <w:sz w:val="20"/>
              </w:rPr>
              <w:t>$6.6 - $9.8 billion</w:t>
            </w:r>
          </w:p>
        </w:tc>
      </w:tr>
      <w:tr>
        <w:tc>
          <w:tcPr>
            <w:tcW w:w="45" w:type="pct"/>
          </w:tcPr>
          <w:p>
            <w:pPr>
              <w:spacing w:before="30" w:after="30"/>
              <w:ind w:left="60"/>
            </w:pPr>
            <w:r>
              <w:rPr>
                <w:color w:val="4A5568"/>
                <w:sz w:val="20"/>
              </w:rPr>
              <w:t>25-Year Tax Revenue</w:t>
            </w:r>
          </w:p>
        </w:tc>
        <w:tc>
          <w:tcPr>
            <w:tcW w:w="55" w:type="pct"/>
          </w:tcPr>
          <w:p>
            <w:pPr>
              <w:spacing w:before="30" w:after="30"/>
              <w:ind w:left="60"/>
            </w:pPr>
            <w:r>
              <w:rPr>
                <w:color w:val="4A5568"/>
                <w:sz w:val="20"/>
              </w:rPr>
              <w:t>$2.4 - $3.7 billion</w:t>
            </w:r>
          </w:p>
        </w:tc>
      </w:tr>
      <w:tr>
        <w:tc>
          <w:tcPr>
            <w:tcW w:w="45" w:type="pct"/>
          </w:tcPr>
          <w:p>
            <w:pPr>
              <w:spacing w:before="30" w:after="30"/>
              <w:ind w:left="60"/>
            </w:pPr>
            <w:r>
              <w:rPr>
                <w:color w:val="4A5568"/>
                <w:sz w:val="20"/>
              </w:rPr>
              <w:t>Canadian Industry Revenue</w:t>
            </w:r>
          </w:p>
        </w:tc>
        <w:tc>
          <w:tcPr>
            <w:tcW w:w="55" w:type="pct"/>
          </w:tcPr>
          <w:p>
            <w:pPr>
              <w:spacing w:before="30" w:after="30"/>
              <w:ind w:left="60"/>
            </w:pPr>
            <w:r>
              <w:rPr>
                <w:color w:val="4A5568"/>
                <w:sz w:val="20"/>
              </w:rPr>
              <w:t>$8.0 - $12.0 billion</w:t>
            </w:r>
          </w:p>
        </w:tc>
      </w:tr>
      <w:tr>
        <w:tc>
          <w:tcPr>
            <w:tcW w:w="45" w:type="pct"/>
          </w:tcPr>
          <w:p>
            <w:pPr>
              <w:spacing w:before="30" w:after="30"/>
              <w:ind w:left="60"/>
            </w:pPr>
            <w:r>
              <w:rPr>
                <w:color w:val="4A5568"/>
                <w:sz w:val="20"/>
              </w:rPr>
              <w:t>Export Revenue Potential (by 2055)</w:t>
            </w:r>
          </w:p>
        </w:tc>
        <w:tc>
          <w:tcPr>
            <w:tcW w:w="55" w:type="pct"/>
          </w:tcPr>
          <w:p>
            <w:pPr>
              <w:spacing w:before="30" w:after="30"/>
              <w:ind w:left="60"/>
            </w:pPr>
            <w:r>
              <w:rPr>
                <w:color w:val="4A5568"/>
                <w:sz w:val="20"/>
              </w:rPr>
              <w:t>$2.5 - $4.5 billion</w:t>
            </w:r>
          </w:p>
        </w:tc>
      </w:tr>
      <w:tr>
        <w:tc>
          <w:tcPr>
            <w:tcW w:w="45" w:type="pct"/>
          </w:tcPr>
          <w:p>
            <w:pPr>
              <w:spacing w:before="30" w:after="30"/>
              <w:ind w:left="60"/>
            </w:pPr>
            <w:r>
              <w:rPr>
                <w:color w:val="4A5568"/>
                <w:sz w:val="20"/>
              </w:rPr>
              <w:t>Return on Investment (Conservative)</w:t>
            </w:r>
          </w:p>
        </w:tc>
        <w:tc>
          <w:tcPr>
            <w:tcW w:w="55" w:type="pct"/>
          </w:tcPr>
          <w:p>
            <w:pPr>
              <w:spacing w:before="30" w:after="30"/>
              <w:ind w:left="60"/>
            </w:pPr>
            <w:r>
              <w:rPr>
                <w:color w:val="4A5568"/>
                <w:sz w:val="20"/>
              </w:rPr>
              <w:t>2.3x</w:t>
            </w:r>
          </w:p>
        </w:tc>
      </w:tr>
      <w:tr>
        <w:tc>
          <w:tcPr>
            <w:tcW w:w="45" w:type="pct"/>
          </w:tcPr>
          <w:p>
            <w:pPr>
              <w:spacing w:before="30" w:after="30"/>
              <w:ind w:left="60"/>
            </w:pPr>
            <w:r>
              <w:rPr>
                <w:color w:val="4A5568"/>
                <w:sz w:val="20"/>
              </w:rPr>
              <w:t>Return on Investment (Moderate)</w:t>
            </w:r>
          </w:p>
        </w:tc>
        <w:tc>
          <w:tcPr>
            <w:tcW w:w="55" w:type="pct"/>
          </w:tcPr>
          <w:p>
            <w:pPr>
              <w:spacing w:before="30" w:after="30"/>
              <w:ind w:left="60"/>
            </w:pPr>
            <w:r>
              <w:rPr>
                <w:color w:val="4A5568"/>
                <w:sz w:val="20"/>
              </w:rPr>
              <w:t>3.4x</w:t>
            </w:r>
          </w:p>
        </w:tc>
      </w:tr>
      <w:tr>
        <w:tc>
          <w:tcPr>
            <w:tcW w:w="45" w:type="pct"/>
          </w:tcPr>
          <w:p>
            <w:pPr>
              <w:spacing w:before="30" w:after="30"/>
              <w:ind w:left="60"/>
            </w:pPr>
            <w:r>
              <w:rPr>
                <w:color w:val="4A5568"/>
                <w:sz w:val="20"/>
              </w:rPr>
              <w:t>Comprehensive ROI (with intangibles)</w:t>
            </w:r>
          </w:p>
        </w:tc>
        <w:tc>
          <w:tcPr>
            <w:tcW w:w="55" w:type="pct"/>
          </w:tcPr>
          <w:p>
            <w:pPr>
              <w:spacing w:before="30" w:after="30"/>
              <w:ind w:left="60"/>
            </w:pPr>
            <w:r>
              <w:rPr>
                <w:color w:val="4A5568"/>
                <w:sz w:val="20"/>
              </w:rPr>
              <w:t>&gt;5x</w:t>
            </w:r>
          </w:p>
        </w:tc>
      </w:tr>
      <w:tr>
        <w:tc>
          <w:tcPr>
            <w:tcW w:w="45" w:type="pct"/>
          </w:tcPr>
          <w:p>
            <w:pPr>
              <w:spacing w:before="30" w:after="30"/>
              <w:ind w:left="60"/>
            </w:pPr>
            <w:r>
              <w:rPr>
                <w:color w:val="4A5568"/>
                <w:sz w:val="20"/>
              </w:rPr>
              <w:t>Sovereign Control</w:t>
            </w:r>
          </w:p>
        </w:tc>
        <w:tc>
          <w:tcPr>
            <w:tcW w:w="55" w:type="pct"/>
          </w:tcPr>
          <w:p>
            <w:pPr>
              <w:spacing w:before="30" w:after="30"/>
              <w:ind w:left="60"/>
            </w:pPr>
            <w:r>
              <w:rPr>
                <w:color w:val="4A5568"/>
                <w:sz w:val="20"/>
              </w:rPr>
              <w:t>Full Canadian authority</w:t>
            </w:r>
          </w:p>
        </w:tc>
      </w:tr>
      <w:tr>
        <w:tc>
          <w:tcPr>
            <w:tcW w:w="45" w:type="pct"/>
          </w:tcPr>
          <w:p>
            <w:pPr>
              <w:spacing w:before="30" w:after="30"/>
              <w:ind w:left="60"/>
            </w:pPr>
            <w:r>
              <w:rPr>
                <w:color w:val="4A5568"/>
                <w:sz w:val="20"/>
              </w:rPr>
              <w:t>ITAR Dependency</w:t>
            </w:r>
          </w:p>
        </w:tc>
        <w:tc>
          <w:tcPr>
            <w:tcW w:w="55" w:type="pct"/>
          </w:tcPr>
          <w:p>
            <w:pPr>
              <w:spacing w:before="30" w:after="30"/>
              <w:ind w:left="60"/>
            </w:pPr>
            <w:r>
              <w:rPr>
                <w:color w:val="4A5568"/>
                <w:sz w:val="20"/>
              </w:rPr>
              <w:t>Minimal to none</w:t>
            </w:r>
          </w:p>
        </w:tc>
      </w:tr>
    </w:tbl>
    <w:p>
      <w:pPr>
        <w:spacing w:after="120"/>
      </w:pPr>
    </w:p>
    <w:p>
      <w:pPr>
        <w:pStyle w:val="Heading2"/>
      </w:pPr>
      <w:r>
        <w:t>What is GCAP / Tempest?</w:t>
      </w:r>
    </w:p>
    <w:p>
      <w:r>
        <w:t>The Global Combat Air Programme is a trilateral initiative between the UK, Italy, and Japan to develop a sixth-generation combat air system. Target IOC: 2035. Programme value exceeds GBP 25 billion. Industrial partners: BAE Systems (UK), Leonardo (Italy), JAIEC (Japan). The joint venture Edgewing was created in June 2025 with equal 33.3% shareholding.</w:t>
      </w:r>
    </w:p>
    <w:p>
      <w:r>
        <w:t>The system-of-systems includes: Tempest optionally-manned fighter, collaborative combat aircraft (CCA) loyal wingman drones, advanced AI and autonomy, integrated sensor networks with multi-domain data fusion, next-generation EW, and open systems architecture.</w:t>
      </w:r>
    </w:p>
    <w:p>
      <w:pPr>
        <w:pStyle w:val="Heading2"/>
      </w:pPr>
      <w:r>
        <w:t>Direct Job Creation by Phase</w:t>
      </w:r>
    </w:p>
    <w:tbl>
      <w:tblPr>
        <w:tblW w:w="5000" w:type="pct"/>
        <w:tblBorders>
          <w:top w:val="single" w:color="3D5A80" w:sz="12"/>
          <w:left w:val="nil"/>
          <w:bottom w:val="single" w:color="3D5A80" w:sz="12"/>
          <w:right w:val="nil"/>
          <w:insideH w:val="single" w:color="C8D5E0" w:sz="4"/>
          <w:insideV w:val="nil"/>
        </w:tblBorders>
      </w:tblPr>
      <w:tblGrid>
        <w:gridCol w:w="25"/>
        <w:gridCol w:w="15"/>
        <w:gridCol w:w="15"/>
        <w:gridCol w:w="15"/>
        <w:gridCol w:w="30"/>
      </w:tblGrid>
      <w:tr>
        <w:trPr>
          <w:tblHeader/>
        </w:trPr>
        <w:tc>
          <w:tcPr>
            <w:tcW w:w="25" w:type="pct"/>
            <w:shd w:val="clear" w:fill="E8EDF2"/>
          </w:tcPr>
          <w:p>
            <w:pPr>
              <w:spacing w:before="40" w:after="40"/>
              <w:jc w:val="center"/>
            </w:pPr>
            <w:r>
              <w:rPr>
                <w:b/>
                <w:color w:val="1D2D3D"/>
                <w:sz w:val="20"/>
              </w:rPr>
              <w:t>Phase</w:t>
            </w:r>
          </w:p>
        </w:tc>
        <w:tc>
          <w:tcPr>
            <w:tcW w:w="15" w:type="pct"/>
            <w:shd w:val="clear" w:fill="E8EDF2"/>
          </w:tcPr>
          <w:p>
            <w:pPr>
              <w:spacing w:before="40" w:after="40"/>
              <w:jc w:val="center"/>
            </w:pPr>
            <w:r>
              <w:rPr>
                <w:b/>
                <w:color w:val="1D2D3D"/>
                <w:sz w:val="20"/>
              </w:rPr>
              <w:t>Direct</w:t>
            </w:r>
          </w:p>
        </w:tc>
        <w:tc>
          <w:tcPr>
            <w:tcW w:w="15" w:type="pct"/>
            <w:shd w:val="clear" w:fill="E8EDF2"/>
          </w:tcPr>
          <w:p>
            <w:pPr>
              <w:spacing w:before="40" w:after="40"/>
              <w:jc w:val="center"/>
            </w:pPr>
            <w:r>
              <w:rPr>
                <w:b/>
                <w:color w:val="1D2D3D"/>
                <w:sz w:val="20"/>
              </w:rPr>
              <w:t>Indirect</w:t>
            </w:r>
          </w:p>
        </w:tc>
        <w:tc>
          <w:tcPr>
            <w:tcW w:w="15" w:type="pct"/>
            <w:shd w:val="clear" w:fill="E8EDF2"/>
          </w:tcPr>
          <w:p>
            <w:pPr>
              <w:spacing w:before="40" w:after="40"/>
              <w:jc w:val="center"/>
            </w:pPr>
            <w:r>
              <w:rPr>
                <w:b/>
                <w:color w:val="1D2D3D"/>
                <w:sz w:val="20"/>
              </w:rPr>
              <w:t>Total</w:t>
            </w:r>
          </w:p>
        </w:tc>
        <w:tc>
          <w:tcPr>
            <w:tcW w:w="30" w:type="pct"/>
            <w:shd w:val="clear" w:fill="E8EDF2"/>
          </w:tcPr>
          <w:p>
            <w:pPr>
              <w:spacing w:before="40" w:after="40"/>
              <w:jc w:val="center"/>
            </w:pPr>
            <w:r>
              <w:rPr>
                <w:b/>
                <w:color w:val="1D2D3D"/>
                <w:sz w:val="20"/>
              </w:rPr>
              <w:t>Period</w:t>
            </w:r>
          </w:p>
        </w:tc>
      </w:tr>
      <w:tr>
        <w:tc>
          <w:tcPr>
            <w:tcW w:w="25" w:type="pct"/>
          </w:tcPr>
          <w:p>
            <w:pPr>
              <w:spacing w:before="30" w:after="30"/>
              <w:ind w:left="60"/>
            </w:pPr>
            <w:r>
              <w:rPr>
                <w:color w:val="4A5568"/>
                <w:sz w:val="20"/>
              </w:rPr>
              <w:t>Phase 1: Observer/Integration</w:t>
            </w:r>
          </w:p>
        </w:tc>
        <w:tc>
          <w:tcPr>
            <w:tcW w:w="15" w:type="pct"/>
          </w:tcPr>
          <w:p>
            <w:pPr>
              <w:spacing w:before="30" w:after="30"/>
              <w:ind w:left="60"/>
            </w:pPr>
            <w:r>
              <w:rPr>
                <w:color w:val="4A5568"/>
                <w:sz w:val="20"/>
              </w:rPr>
              <w:t>200-400</w:t>
            </w:r>
          </w:p>
        </w:tc>
        <w:tc>
          <w:tcPr>
            <w:tcW w:w="15" w:type="pct"/>
          </w:tcPr>
          <w:p>
            <w:pPr>
              <w:spacing w:before="30" w:after="30"/>
              <w:ind w:left="60"/>
            </w:pPr>
            <w:r>
              <w:rPr>
                <w:color w:val="4A5568"/>
                <w:sz w:val="20"/>
              </w:rPr>
              <w:t>400-600</w:t>
            </w:r>
          </w:p>
        </w:tc>
        <w:tc>
          <w:tcPr>
            <w:tcW w:w="15" w:type="pct"/>
          </w:tcPr>
          <w:p>
            <w:pPr>
              <w:spacing w:before="30" w:after="30"/>
              <w:ind w:left="60"/>
            </w:pPr>
            <w:r>
              <w:rPr>
                <w:color w:val="4A5568"/>
                <w:sz w:val="20"/>
              </w:rPr>
              <w:t>600-1,000</w:t>
            </w:r>
          </w:p>
        </w:tc>
        <w:tc>
          <w:tcPr>
            <w:tcW w:w="30" w:type="pct"/>
          </w:tcPr>
          <w:p>
            <w:pPr>
              <w:spacing w:before="30" w:after="30"/>
              <w:ind w:left="60"/>
            </w:pPr>
            <w:r>
              <w:rPr>
                <w:color w:val="4A5568"/>
                <w:sz w:val="20"/>
              </w:rPr>
              <w:t>2026-2030</w:t>
            </w:r>
          </w:p>
        </w:tc>
      </w:tr>
      <w:tr>
        <w:tc>
          <w:tcPr>
            <w:tcW w:w="25" w:type="pct"/>
          </w:tcPr>
          <w:p>
            <w:pPr>
              <w:spacing w:before="30" w:after="30"/>
              <w:ind w:left="60"/>
            </w:pPr>
            <w:r>
              <w:rPr>
                <w:color w:val="4A5568"/>
                <w:sz w:val="20"/>
              </w:rPr>
              <w:t>Phase 2: Tier 2 Partnership</w:t>
            </w:r>
          </w:p>
        </w:tc>
        <w:tc>
          <w:tcPr>
            <w:tcW w:w="15" w:type="pct"/>
          </w:tcPr>
          <w:p>
            <w:pPr>
              <w:spacing w:before="30" w:after="30"/>
              <w:ind w:left="60"/>
            </w:pPr>
            <w:r>
              <w:rPr>
                <w:color w:val="4A5568"/>
                <w:sz w:val="20"/>
              </w:rPr>
              <w:t>2,000-3,000</w:t>
            </w:r>
          </w:p>
        </w:tc>
        <w:tc>
          <w:tcPr>
            <w:tcW w:w="15" w:type="pct"/>
          </w:tcPr>
          <w:p>
            <w:pPr>
              <w:spacing w:before="30" w:after="30"/>
              <w:ind w:left="60"/>
            </w:pPr>
            <w:r>
              <w:rPr>
                <w:color w:val="4A5568"/>
                <w:sz w:val="20"/>
              </w:rPr>
              <w:t>3,000-5,000</w:t>
            </w:r>
          </w:p>
        </w:tc>
        <w:tc>
          <w:tcPr>
            <w:tcW w:w="15" w:type="pct"/>
          </w:tcPr>
          <w:p>
            <w:pPr>
              <w:spacing w:before="30" w:after="30"/>
              <w:ind w:left="60"/>
            </w:pPr>
            <w:r>
              <w:rPr>
                <w:color w:val="4A5568"/>
                <w:sz w:val="20"/>
              </w:rPr>
              <w:t>5,000-8,000</w:t>
            </w:r>
          </w:p>
        </w:tc>
        <w:tc>
          <w:tcPr>
            <w:tcW w:w="30" w:type="pct"/>
          </w:tcPr>
          <w:p>
            <w:pPr>
              <w:spacing w:before="30" w:after="30"/>
              <w:ind w:left="60"/>
            </w:pPr>
            <w:r>
              <w:rPr>
                <w:color w:val="4A5568"/>
                <w:sz w:val="20"/>
              </w:rPr>
              <w:t>2031-2035</w:t>
            </w:r>
          </w:p>
        </w:tc>
      </w:tr>
      <w:tr>
        <w:tc>
          <w:tcPr>
            <w:tcW w:w="25" w:type="pct"/>
          </w:tcPr>
          <w:p>
            <w:pPr>
              <w:spacing w:before="30" w:after="30"/>
              <w:ind w:left="60"/>
            </w:pPr>
            <w:r>
              <w:rPr>
                <w:color w:val="4A5568"/>
                <w:sz w:val="20"/>
              </w:rPr>
              <w:t>Phase 3: Production/Sustainment</w:t>
            </w:r>
          </w:p>
        </w:tc>
        <w:tc>
          <w:tcPr>
            <w:tcW w:w="15" w:type="pct"/>
          </w:tcPr>
          <w:p>
            <w:pPr>
              <w:spacing w:before="30" w:after="30"/>
              <w:ind w:left="60"/>
            </w:pPr>
            <w:r>
              <w:rPr>
                <w:color w:val="4A5568"/>
                <w:sz w:val="20"/>
              </w:rPr>
              <w:t>3,000-5,000</w:t>
            </w:r>
          </w:p>
        </w:tc>
        <w:tc>
          <w:tcPr>
            <w:tcW w:w="15" w:type="pct"/>
          </w:tcPr>
          <w:p>
            <w:pPr>
              <w:spacing w:before="30" w:after="30"/>
              <w:ind w:left="60"/>
            </w:pPr>
            <w:r>
              <w:rPr>
                <w:color w:val="4A5568"/>
                <w:sz w:val="20"/>
              </w:rPr>
              <w:t>5,000-8,000</w:t>
            </w:r>
          </w:p>
        </w:tc>
        <w:tc>
          <w:tcPr>
            <w:tcW w:w="15" w:type="pct"/>
          </w:tcPr>
          <w:p>
            <w:pPr>
              <w:spacing w:before="30" w:after="30"/>
              <w:ind w:left="60"/>
            </w:pPr>
            <w:r>
              <w:rPr>
                <w:color w:val="4A5568"/>
                <w:sz w:val="20"/>
              </w:rPr>
              <w:t>8,000-13,000</w:t>
            </w:r>
          </w:p>
        </w:tc>
        <w:tc>
          <w:tcPr>
            <w:tcW w:w="30" w:type="pct"/>
          </w:tcPr>
          <w:p>
            <w:pPr>
              <w:spacing w:before="30" w:after="30"/>
              <w:ind w:left="60"/>
            </w:pPr>
            <w:r>
              <w:rPr>
                <w:color w:val="4A5568"/>
                <w:sz w:val="20"/>
              </w:rPr>
              <w:t>2036-2060</w:t>
            </w:r>
          </w:p>
        </w:tc>
      </w:tr>
      <w:tr>
        <w:tc>
          <w:tcPr>
            <w:tcW w:w="25" w:type="pct"/>
          </w:tcPr>
          <w:p>
            <w:pPr>
              <w:spacing w:before="30" w:after="30"/>
              <w:ind w:left="60"/>
            </w:pPr>
            <w:r>
              <w:rPr>
                <w:color w:val="4A5568"/>
                <w:sz w:val="20"/>
              </w:rPr>
              <w:t>TOTAL (2035-2060)</w:t>
            </w:r>
          </w:p>
        </w:tc>
        <w:tc>
          <w:tcPr>
            <w:tcW w:w="15" w:type="pct"/>
          </w:tcPr>
          <w:p>
            <w:pPr>
              <w:spacing w:before="30" w:after="30"/>
              <w:ind w:left="60"/>
            </w:pPr>
            <w:r>
              <w:rPr>
                <w:color w:val="4A5568"/>
                <w:sz w:val="20"/>
              </w:rPr>
              <w:t>5,000-8,000</w:t>
            </w:r>
          </w:p>
        </w:tc>
        <w:tc>
          <w:tcPr>
            <w:tcW w:w="15" w:type="pct"/>
          </w:tcPr>
          <w:p>
            <w:pPr>
              <w:spacing w:before="30" w:after="30"/>
              <w:ind w:left="60"/>
            </w:pPr>
            <w:r>
              <w:rPr>
                <w:color w:val="4A5568"/>
                <w:sz w:val="20"/>
              </w:rPr>
              <w:t>8,000-13,000</w:t>
            </w:r>
          </w:p>
        </w:tc>
        <w:tc>
          <w:tcPr>
            <w:tcW w:w="15" w:type="pct"/>
          </w:tcPr>
          <w:p>
            <w:pPr>
              <w:spacing w:before="30" w:after="30"/>
              <w:ind w:left="60"/>
            </w:pPr>
            <w:r>
              <w:rPr>
                <w:color w:val="4A5568"/>
                <w:sz w:val="20"/>
              </w:rPr>
              <w:t>13,000-21,000</w:t>
            </w:r>
          </w:p>
        </w:tc>
        <w:tc>
          <w:tcPr>
            <w:tcW w:w="30" w:type="pct"/>
          </w:tcPr>
          <w:p>
            <w:pPr>
              <w:spacing w:before="30" w:after="30"/>
              <w:ind w:left="60"/>
            </w:pPr>
            <w:r>
              <w:rPr>
                <w:color w:val="4A5568"/>
                <w:sz w:val="20"/>
              </w:rPr>
              <w:t/>
            </w:r>
          </w:p>
        </w:tc>
      </w:tr>
    </w:tbl>
    <w:p>
      <w:pPr>
        <w:spacing w:after="120"/>
      </w:pPr>
    </w:p>
    <w:p>
      <w:pPr>
        <w:pStyle w:val="Heading3"/>
      </w:pPr>
      <w:r>
        <w:t>Regional Distribution</w:t>
      </w:r>
    </w:p>
    <w:tbl>
      <w:tblPr>
        <w:tblW w:w="5000" w:type="pct"/>
        <w:tblBorders>
          <w:top w:val="single" w:color="3D5A80" w:sz="12"/>
          <w:left w:val="nil"/>
          <w:bottom w:val="single" w:color="3D5A80" w:sz="12"/>
          <w:right w:val="nil"/>
          <w:insideH w:val="single" w:color="C8D5E0" w:sz="4"/>
          <w:insideV w:val="nil"/>
        </w:tblBorders>
      </w:tblPr>
      <w:tblGrid>
        <w:gridCol w:w="30"/>
        <w:gridCol w:w="20"/>
        <w:gridCol w:w="50"/>
      </w:tblGrid>
      <w:tr>
        <w:trPr>
          <w:tblHeader/>
        </w:trPr>
        <w:tc>
          <w:tcPr>
            <w:tcW w:w="30" w:type="pct"/>
            <w:shd w:val="clear" w:fill="E8EDF2"/>
          </w:tcPr>
          <w:p>
            <w:pPr>
              <w:spacing w:before="40" w:after="40"/>
              <w:jc w:val="center"/>
            </w:pPr>
            <w:r>
              <w:rPr>
                <w:b/>
                <w:color w:val="1D2D3D"/>
                <w:sz w:val="20"/>
              </w:rPr>
              <w:t>Province/Region</w:t>
            </w:r>
          </w:p>
        </w:tc>
        <w:tc>
          <w:tcPr>
            <w:tcW w:w="20" w:type="pct"/>
            <w:shd w:val="clear" w:fill="E8EDF2"/>
          </w:tcPr>
          <w:p>
            <w:pPr>
              <w:spacing w:before="40" w:after="40"/>
              <w:jc w:val="center"/>
            </w:pPr>
            <w:r>
              <w:rPr>
                <w:b/>
                <w:color w:val="1D2D3D"/>
                <w:sz w:val="20"/>
              </w:rPr>
              <w:t>Direct Jobs</w:t>
            </w:r>
          </w:p>
        </w:tc>
        <w:tc>
          <w:tcPr>
            <w:tcW w:w="50" w:type="pct"/>
            <w:shd w:val="clear" w:fill="E8EDF2"/>
          </w:tcPr>
          <w:p>
            <w:pPr>
              <w:spacing w:before="40" w:after="40"/>
              <w:jc w:val="center"/>
            </w:pPr>
            <w:r>
              <w:rPr>
                <w:b/>
                <w:color w:val="1D2D3D"/>
                <w:sz w:val="20"/>
              </w:rPr>
              <w:t>Key Activities</w:t>
            </w:r>
          </w:p>
        </w:tc>
      </w:tr>
      <w:tr>
        <w:tc>
          <w:tcPr>
            <w:tcW w:w="30" w:type="pct"/>
          </w:tcPr>
          <w:p>
            <w:pPr>
              <w:spacing w:before="30" w:after="30"/>
              <w:ind w:left="60"/>
            </w:pPr>
            <w:r>
              <w:rPr>
                <w:color w:val="4A5568"/>
                <w:sz w:val="20"/>
              </w:rPr>
              <w:t>Quebec (Montreal/Mirabel)</w:t>
            </w:r>
          </w:p>
        </w:tc>
        <w:tc>
          <w:tcPr>
            <w:tcW w:w="20" w:type="pct"/>
          </w:tcPr>
          <w:p>
            <w:pPr>
              <w:spacing w:before="30" w:after="30"/>
              <w:ind w:left="60"/>
            </w:pPr>
            <w:r>
              <w:rPr>
                <w:color w:val="4A5568"/>
                <w:sz w:val="20"/>
              </w:rPr>
              <w:t>2,500-4,000</w:t>
            </w:r>
          </w:p>
        </w:tc>
        <w:tc>
          <w:tcPr>
            <w:tcW w:w="50" w:type="pct"/>
          </w:tcPr>
          <w:p>
            <w:pPr>
              <w:spacing w:before="30" w:after="30"/>
              <w:ind w:left="60"/>
            </w:pPr>
            <w:r>
              <w:rPr>
                <w:color w:val="4A5568"/>
                <w:sz w:val="20"/>
              </w:rPr>
              <w:t>Aerostructures, advanced composites, final assembly</w:t>
            </w:r>
          </w:p>
        </w:tc>
      </w:tr>
      <w:tr>
        <w:tc>
          <w:tcPr>
            <w:tcW w:w="30" w:type="pct"/>
          </w:tcPr>
          <w:p>
            <w:pPr>
              <w:spacing w:before="30" w:after="30"/>
              <w:ind w:left="60"/>
            </w:pPr>
            <w:r>
              <w:rPr>
                <w:color w:val="4A5568"/>
                <w:sz w:val="20"/>
              </w:rPr>
              <w:t>Ontario (Toronto/Ottawa)</w:t>
            </w:r>
          </w:p>
        </w:tc>
        <w:tc>
          <w:tcPr>
            <w:tcW w:w="20" w:type="pct"/>
          </w:tcPr>
          <w:p>
            <w:pPr>
              <w:spacing w:before="30" w:after="30"/>
              <w:ind w:left="60"/>
            </w:pPr>
            <w:r>
              <w:rPr>
                <w:color w:val="4A5568"/>
                <w:sz w:val="20"/>
              </w:rPr>
              <w:t>1,500-2,500</w:t>
            </w:r>
          </w:p>
        </w:tc>
        <w:tc>
          <w:tcPr>
            <w:tcW w:w="50" w:type="pct"/>
          </w:tcPr>
          <w:p>
            <w:pPr>
              <w:spacing w:before="30" w:after="30"/>
              <w:ind w:left="60"/>
            </w:pPr>
            <w:r>
              <w:rPr>
                <w:color w:val="4A5568"/>
                <w:sz w:val="20"/>
              </w:rPr>
              <w:t>Mission systems, autonomy software, sensors, AI</w:t>
            </w:r>
          </w:p>
        </w:tc>
      </w:tr>
      <w:tr>
        <w:tc>
          <w:tcPr>
            <w:tcW w:w="30" w:type="pct"/>
          </w:tcPr>
          <w:p>
            <w:pPr>
              <w:spacing w:before="30" w:after="30"/>
              <w:ind w:left="60"/>
            </w:pPr>
            <w:r>
              <w:rPr>
                <w:color w:val="4A5568"/>
                <w:sz w:val="20"/>
              </w:rPr>
              <w:t>Atlantic (Halifax)</w:t>
            </w:r>
          </w:p>
        </w:tc>
        <w:tc>
          <w:tcPr>
            <w:tcW w:w="20" w:type="pct"/>
          </w:tcPr>
          <w:p>
            <w:pPr>
              <w:spacing w:before="30" w:after="30"/>
              <w:ind w:left="60"/>
            </w:pPr>
            <w:r>
              <w:rPr>
                <w:color w:val="4A5568"/>
                <w:sz w:val="20"/>
              </w:rPr>
              <w:t>500-800</w:t>
            </w:r>
          </w:p>
        </w:tc>
        <w:tc>
          <w:tcPr>
            <w:tcW w:w="50" w:type="pct"/>
          </w:tcPr>
          <w:p>
            <w:pPr>
              <w:spacing w:before="30" w:after="30"/>
              <w:ind w:left="60"/>
            </w:pPr>
            <w:r>
              <w:rPr>
                <w:color w:val="4A5568"/>
                <w:sz w:val="20"/>
              </w:rPr>
              <w:t>MRO, sustainment hub, defence electronics</w:t>
            </w:r>
          </w:p>
        </w:tc>
      </w:tr>
      <w:tr>
        <w:tc>
          <w:tcPr>
            <w:tcW w:w="30" w:type="pct"/>
          </w:tcPr>
          <w:p>
            <w:pPr>
              <w:spacing w:before="30" w:after="30"/>
              <w:ind w:left="60"/>
            </w:pPr>
            <w:r>
              <w:rPr>
                <w:color w:val="4A5568"/>
                <w:sz w:val="20"/>
              </w:rPr>
              <w:t>Western Canada</w:t>
            </w:r>
          </w:p>
        </w:tc>
        <w:tc>
          <w:tcPr>
            <w:tcW w:w="20" w:type="pct"/>
          </w:tcPr>
          <w:p>
            <w:pPr>
              <w:spacing w:before="30" w:after="30"/>
              <w:ind w:left="60"/>
            </w:pPr>
            <w:r>
              <w:rPr>
                <w:color w:val="4A5568"/>
                <w:sz w:val="20"/>
              </w:rPr>
              <w:t>300-500</w:t>
            </w:r>
          </w:p>
        </w:tc>
        <w:tc>
          <w:tcPr>
            <w:tcW w:w="50" w:type="pct"/>
          </w:tcPr>
          <w:p>
            <w:pPr>
              <w:spacing w:before="30" w:after="30"/>
              <w:ind w:left="60"/>
            </w:pPr>
            <w:r>
              <w:rPr>
                <w:color w:val="4A5568"/>
                <w:sz w:val="20"/>
              </w:rPr>
              <w:t>Supply chain, precision components, testing</w:t>
            </w:r>
          </w:p>
        </w:tc>
      </w:tr>
    </w:tbl>
    <w:p>
      <w:pPr>
        <w:spacing w:after="120"/>
      </w:pPr>
    </w:p>
    <w:p>
      <w:pPr>
        <w:pStyle w:val="Heading2"/>
      </w:pPr>
      <w:r>
        <w:t>The $9.24 Billion Bridge</w:t>
      </w:r>
    </w:p>
    <w:p>
      <w:r>
        <w:t>The Arctic Horizon programme generates $9.24 billion in acquisition savings versus the F-35-only alternative. The Economic Outlook allocates $3.5 billion to Tempest/GCAP partnership entry — funding Canada's Tier 2 work share without requiring additional defence budget allocations.</w:t>
      </w:r>
    </w:p>
    <w:p>
      <w:pPr>
        <w:pStyle w:val="Heading3"/>
      </w:pPr>
      <w:r>
        <w:t>Investment Allocation</w:t>
      </w:r>
    </w:p>
    <w:tbl>
      <w:tblPr>
        <w:tblW w:w="5000" w:type="pct"/>
        <w:tblBorders>
          <w:top w:val="single" w:color="3D5A80" w:sz="12"/>
          <w:left w:val="nil"/>
          <w:bottom w:val="single" w:color="3D5A80" w:sz="12"/>
          <w:right w:val="nil"/>
          <w:insideH w:val="single" w:color="C8D5E0" w:sz="4"/>
          <w:insideV w:val="nil"/>
        </w:tblBorders>
      </w:tblPr>
      <w:tblGrid>
        <w:gridCol w:w="45"/>
        <w:gridCol w:w="25"/>
        <w:gridCol w:w="30"/>
      </w:tblGrid>
      <w:tr>
        <w:trPr>
          <w:tblHeader/>
        </w:trPr>
        <w:tc>
          <w:tcPr>
            <w:tcW w:w="45" w:type="pct"/>
            <w:shd w:val="clear" w:fill="E8EDF2"/>
          </w:tcPr>
          <w:p>
            <w:pPr>
              <w:spacing w:before="40" w:after="40"/>
              <w:jc w:val="center"/>
            </w:pPr>
            <w:r>
              <w:rPr>
                <w:b/>
                <w:color w:val="1D2D3D"/>
                <w:sz w:val="20"/>
              </w:rPr>
              <w:t>Reinvestment Area</w:t>
            </w:r>
          </w:p>
        </w:tc>
        <w:tc>
          <w:tcPr>
            <w:tcW w:w="25" w:type="pct"/>
            <w:shd w:val="clear" w:fill="E8EDF2"/>
          </w:tcPr>
          <w:p>
            <w:pPr>
              <w:spacing w:before="40" w:after="40"/>
              <w:jc w:val="center"/>
            </w:pPr>
            <w:r>
              <w:rPr>
                <w:b/>
                <w:color w:val="1D2D3D"/>
                <w:sz w:val="20"/>
              </w:rPr>
              <w:t>Allocation (CAD B)</w:t>
            </w:r>
          </w:p>
        </w:tc>
        <w:tc>
          <w:tcPr>
            <w:tcW w:w="30" w:type="pct"/>
            <w:shd w:val="clear" w:fill="E8EDF2"/>
          </w:tcPr>
          <w:p>
            <w:pPr>
              <w:spacing w:before="40" w:after="40"/>
              <w:jc w:val="center"/>
            </w:pPr>
            <w:r>
              <w:rPr>
                <w:b/>
                <w:color w:val="1D2D3D"/>
                <w:sz w:val="20"/>
              </w:rPr>
              <w:t>Purpose</w:t>
            </w:r>
          </w:p>
        </w:tc>
      </w:tr>
      <w:tr>
        <w:tc>
          <w:tcPr>
            <w:tcW w:w="45" w:type="pct"/>
          </w:tcPr>
          <w:p>
            <w:pPr>
              <w:spacing w:before="30" w:after="30"/>
              <w:ind w:left="60"/>
            </w:pPr>
            <w:r>
              <w:rPr>
                <w:color w:val="4A5568"/>
                <w:sz w:val="20"/>
              </w:rPr>
              <w:t>GCAP entry fee &amp; work share</w:t>
            </w:r>
          </w:p>
        </w:tc>
        <w:tc>
          <w:tcPr>
            <w:tcW w:w="25" w:type="pct"/>
          </w:tcPr>
          <w:p>
            <w:pPr>
              <w:spacing w:before="30" w:after="30"/>
              <w:ind w:left="60"/>
            </w:pPr>
            <w:r>
              <w:rPr>
                <w:color w:val="4A5568"/>
                <w:sz w:val="20"/>
              </w:rPr>
              <w:t>$3.5</w:t>
            </w:r>
          </w:p>
        </w:tc>
        <w:tc>
          <w:tcPr>
            <w:tcW w:w="30" w:type="pct"/>
          </w:tcPr>
          <w:p>
            <w:pPr>
              <w:spacing w:before="30" w:after="30"/>
              <w:ind w:left="60"/>
            </w:pPr>
            <w:r>
              <w:rPr>
                <w:color w:val="4A5568"/>
                <w:sz w:val="20"/>
              </w:rPr>
              <w:t>Tier 2 partnership participation</w:t>
            </w:r>
          </w:p>
        </w:tc>
      </w:tr>
      <w:tr>
        <w:tc>
          <w:tcPr>
            <w:tcW w:w="45" w:type="pct"/>
          </w:tcPr>
          <w:p>
            <w:pPr>
              <w:spacing w:before="30" w:after="30"/>
              <w:ind w:left="60"/>
            </w:pPr>
            <w:r>
              <w:rPr>
                <w:color w:val="4A5568"/>
                <w:sz w:val="20"/>
              </w:rPr>
              <w:t>Domestic R&amp;D / innovation</w:t>
            </w:r>
          </w:p>
        </w:tc>
        <w:tc>
          <w:tcPr>
            <w:tcW w:w="25" w:type="pct"/>
          </w:tcPr>
          <w:p>
            <w:pPr>
              <w:spacing w:before="30" w:after="30"/>
              <w:ind w:left="60"/>
            </w:pPr>
            <w:r>
              <w:rPr>
                <w:color w:val="4A5568"/>
                <w:sz w:val="20"/>
              </w:rPr>
              <w:t>$2.0</w:t>
            </w:r>
          </w:p>
        </w:tc>
        <w:tc>
          <w:tcPr>
            <w:tcW w:w="30" w:type="pct"/>
          </w:tcPr>
          <w:p>
            <w:pPr>
              <w:spacing w:before="30" w:after="30"/>
              <w:ind w:left="60"/>
            </w:pPr>
            <w:r>
              <w:rPr>
                <w:color w:val="4A5568"/>
                <w:sz w:val="20"/>
              </w:rPr>
              <w:t>Autonomy, AI, sensor development</w:t>
            </w:r>
          </w:p>
        </w:tc>
      </w:tr>
      <w:tr>
        <w:tc>
          <w:tcPr>
            <w:tcW w:w="45" w:type="pct"/>
          </w:tcPr>
          <w:p>
            <w:pPr>
              <w:spacing w:before="30" w:after="30"/>
              <w:ind w:left="60"/>
            </w:pPr>
            <w:r>
              <w:rPr>
                <w:color w:val="4A5568"/>
                <w:sz w:val="20"/>
              </w:rPr>
              <w:t>Infrastructure / Arctic sovereignty</w:t>
            </w:r>
          </w:p>
        </w:tc>
        <w:tc>
          <w:tcPr>
            <w:tcW w:w="25" w:type="pct"/>
          </w:tcPr>
          <w:p>
            <w:pPr>
              <w:spacing w:before="30" w:after="30"/>
              <w:ind w:left="60"/>
            </w:pPr>
            <w:r>
              <w:rPr>
                <w:color w:val="4A5568"/>
                <w:sz w:val="20"/>
              </w:rPr>
              <w:t>$2.24</w:t>
            </w:r>
          </w:p>
        </w:tc>
        <w:tc>
          <w:tcPr>
            <w:tcW w:w="30" w:type="pct"/>
          </w:tcPr>
          <w:p>
            <w:pPr>
              <w:spacing w:before="30" w:after="30"/>
              <w:ind w:left="60"/>
            </w:pPr>
            <w:r>
              <w:rPr>
                <w:color w:val="4A5568"/>
                <w:sz w:val="20"/>
              </w:rPr>
              <w:t>Facilities, testing, basing</w:t>
            </w:r>
          </w:p>
        </w:tc>
      </w:tr>
      <w:tr>
        <w:tc>
          <w:tcPr>
            <w:tcW w:w="45" w:type="pct"/>
          </w:tcPr>
          <w:p>
            <w:pPr>
              <w:spacing w:before="30" w:after="30"/>
              <w:ind w:left="60"/>
            </w:pPr>
            <w:r>
              <w:rPr>
                <w:color w:val="4A5568"/>
                <w:sz w:val="20"/>
              </w:rPr>
              <w:t>Workforce retraining</w:t>
            </w:r>
          </w:p>
        </w:tc>
        <w:tc>
          <w:tcPr>
            <w:tcW w:w="25" w:type="pct"/>
          </w:tcPr>
          <w:p>
            <w:pPr>
              <w:spacing w:before="30" w:after="30"/>
              <w:ind w:left="60"/>
            </w:pPr>
            <w:r>
              <w:rPr>
                <w:color w:val="4A5568"/>
                <w:sz w:val="20"/>
              </w:rPr>
              <w:t>$1.0</w:t>
            </w:r>
          </w:p>
        </w:tc>
        <w:tc>
          <w:tcPr>
            <w:tcW w:w="30" w:type="pct"/>
          </w:tcPr>
          <w:p>
            <w:pPr>
              <w:spacing w:before="30" w:after="30"/>
              <w:ind w:left="60"/>
            </w:pPr>
            <w:r>
              <w:rPr>
                <w:color w:val="4A5568"/>
                <w:sz w:val="20"/>
              </w:rPr>
              <w:t>Auto-to-aero transition</w:t>
            </w:r>
          </w:p>
        </w:tc>
      </w:tr>
      <w:tr>
        <w:tc>
          <w:tcPr>
            <w:tcW w:w="45" w:type="pct"/>
          </w:tcPr>
          <w:p>
            <w:pPr>
              <w:spacing w:before="30" w:after="30"/>
              <w:ind w:left="60"/>
            </w:pPr>
            <w:r>
              <w:rPr>
                <w:color w:val="4A5568"/>
                <w:sz w:val="20"/>
              </w:rPr>
              <w:t>Contingency reserve</w:t>
            </w:r>
          </w:p>
        </w:tc>
        <w:tc>
          <w:tcPr>
            <w:tcW w:w="25" w:type="pct"/>
          </w:tcPr>
          <w:p>
            <w:pPr>
              <w:spacing w:before="30" w:after="30"/>
              <w:ind w:left="60"/>
            </w:pPr>
            <w:r>
              <w:rPr>
                <w:color w:val="4A5568"/>
                <w:sz w:val="20"/>
              </w:rPr>
              <w:t>$0.5</w:t>
            </w:r>
          </w:p>
        </w:tc>
        <w:tc>
          <w:tcPr>
            <w:tcW w:w="30" w:type="pct"/>
          </w:tcPr>
          <w:p>
            <w:pPr>
              <w:spacing w:before="30" w:after="30"/>
              <w:ind w:left="60"/>
            </w:pPr>
            <w:r>
              <w:rPr>
                <w:color w:val="4A5568"/>
                <w:sz w:val="20"/>
              </w:rPr>
              <w:t>Risk mitigation buffer</w:t>
            </w:r>
          </w:p>
        </w:tc>
      </w:tr>
      <w:tr>
        <w:tc>
          <w:tcPr>
            <w:tcW w:w="45" w:type="pct"/>
          </w:tcPr>
          <w:p>
            <w:pPr>
              <w:spacing w:before="30" w:after="30"/>
              <w:ind w:left="60"/>
            </w:pPr>
            <w:r>
              <w:rPr>
                <w:color w:val="4A5568"/>
                <w:sz w:val="20"/>
              </w:rPr>
              <w:t>TOTAL REINVESTMENT</w:t>
            </w:r>
          </w:p>
        </w:tc>
        <w:tc>
          <w:tcPr>
            <w:tcW w:w="25" w:type="pct"/>
          </w:tcPr>
          <w:p>
            <w:pPr>
              <w:spacing w:before="30" w:after="30"/>
              <w:ind w:left="60"/>
            </w:pPr>
            <w:r>
              <w:rPr>
                <w:color w:val="4A5568"/>
                <w:sz w:val="20"/>
              </w:rPr>
              <w:t>$9.24</w:t>
            </w:r>
          </w:p>
        </w:tc>
        <w:tc>
          <w:tcPr>
            <w:tcW w:w="30" w:type="pct"/>
          </w:tcPr>
          <w:p>
            <w:pPr>
              <w:spacing w:before="30" w:after="30"/>
              <w:ind w:left="60"/>
            </w:pPr>
            <w:r>
              <w:rPr>
                <w:color w:val="4A5568"/>
                <w:sz w:val="20"/>
              </w:rPr>
              <w:t/>
            </w:r>
          </w:p>
        </w:tc>
      </w:tr>
    </w:tbl>
    <w:p>
      <w:pPr>
        <w:spacing w:after="120"/>
      </w:pPr>
    </w:p>
    <w:p>
      <w:pPr>
        <w:pStyle w:val="Heading3"/>
      </w:pPr>
      <w:r>
        <w:t>ROI Projection</w:t>
      </w:r>
    </w:p>
    <w:p>
      <w:r>
        <w:t>With a $3.5 billion entry investment generating $8.0-12.0 billion in Canadian industry revenue, the conservative ROI is 2.3x and moderate ROI is 3.4x. When incorporating GDP multiplier effects, ITAR independence value, and export revenue, the comprehensive economic return exceeds 5x on the initial investment.</w:t>
      </w:r>
    </w:p>
    <w:p>
      <w:pPr>
        <w:pStyle w:val="Heading2"/>
      </w:pPr>
      <w:r>
        <w:t>Supply Chain and SME Impact</w:t>
      </w:r>
    </w:p>
    <w:p>
      <w:r>
        <w:t>GCAP participation would catalyse 250-350 Canadian companies in the supply chain at peak production. Tier 1 (8-12 firms): aerostructures, mission systems, propulsion — $2.0-3.5B contract value. Tier 2 (40-60 firms): composites, actuators, avionics — $1.5-2.5B. SMEs (200-300): $1.5-2.5B in contracts.</w:t>
      </w:r>
    </w:p>
    <w:p>
      <w:pPr>
        <w:pStyle w:val="Heading2"/>
      </w:pPr>
      <w:r>
        <w:t>Export Market Potential</w:t>
      </w:r>
    </w:p>
    <w:tbl>
      <w:tblPr>
        <w:tblW w:w="5000" w:type="pct"/>
        <w:tblBorders>
          <w:top w:val="single" w:color="3D5A80" w:sz="12"/>
          <w:left w:val="nil"/>
          <w:bottom w:val="single" w:color="3D5A80" w:sz="12"/>
          <w:right w:val="nil"/>
          <w:insideH w:val="single" w:color="C8D5E0" w:sz="4"/>
          <w:insideV w:val="nil"/>
        </w:tblBorders>
      </w:tblPr>
      <w:tblGrid>
        <w:gridCol w:w="25"/>
        <w:gridCol w:w="25"/>
        <w:gridCol w:w="25"/>
        <w:gridCol w:w="25"/>
      </w:tblGrid>
      <w:tr>
        <w:trPr>
          <w:tblHeader/>
        </w:trPr>
        <w:tc>
          <w:tcPr>
            <w:tcW w:w="25" w:type="pct"/>
            <w:shd w:val="clear" w:fill="E8EDF2"/>
          </w:tcPr>
          <w:p>
            <w:pPr>
              <w:spacing w:before="40" w:after="40"/>
              <w:jc w:val="center"/>
            </w:pPr>
            <w:r>
              <w:rPr>
                <w:b/>
                <w:color w:val="1D2D3D"/>
                <w:sz w:val="20"/>
              </w:rPr>
              <w:t>Market</w:t>
            </w:r>
          </w:p>
        </w:tc>
        <w:tc>
          <w:tcPr>
            <w:tcW w:w="25" w:type="pct"/>
            <w:shd w:val="clear" w:fill="E8EDF2"/>
          </w:tcPr>
          <w:p>
            <w:pPr>
              <w:spacing w:before="40" w:after="40"/>
              <w:jc w:val="center"/>
            </w:pPr>
            <w:r>
              <w:rPr>
                <w:b/>
                <w:color w:val="1D2D3D"/>
                <w:sz w:val="20"/>
              </w:rPr>
              <w:t>Est. Demand</w:t>
            </w:r>
          </w:p>
        </w:tc>
        <w:tc>
          <w:tcPr>
            <w:tcW w:w="25" w:type="pct"/>
            <w:shd w:val="clear" w:fill="E8EDF2"/>
          </w:tcPr>
          <w:p>
            <w:pPr>
              <w:spacing w:before="40" w:after="40"/>
              <w:jc w:val="center"/>
            </w:pPr>
            <w:r>
              <w:rPr>
                <w:b/>
                <w:color w:val="1D2D3D"/>
                <w:sz w:val="20"/>
              </w:rPr>
              <w:t>Opportunity</w:t>
            </w:r>
          </w:p>
        </w:tc>
        <w:tc>
          <w:tcPr>
            <w:tcW w:w="25" w:type="pct"/>
            <w:shd w:val="clear" w:fill="E8EDF2"/>
          </w:tcPr>
          <w:p>
            <w:pPr>
              <w:spacing w:before="40" w:after="40"/>
              <w:jc w:val="center"/>
            </w:pPr>
            <w:r>
              <w:rPr>
                <w:b/>
                <w:color w:val="1D2D3D"/>
                <w:sz w:val="20"/>
              </w:rPr>
              <w:t>Timeline</w:t>
            </w:r>
          </w:p>
        </w:tc>
      </w:tr>
      <w:tr>
        <w:tc>
          <w:tcPr>
            <w:tcW w:w="25" w:type="pct"/>
          </w:tcPr>
          <w:p>
            <w:pPr>
              <w:spacing w:before="30" w:after="30"/>
              <w:ind w:left="60"/>
            </w:pPr>
            <w:r>
              <w:rPr>
                <w:color w:val="4A5568"/>
                <w:sz w:val="20"/>
              </w:rPr>
              <w:t>Australia</w:t>
            </w:r>
          </w:p>
        </w:tc>
        <w:tc>
          <w:tcPr>
            <w:tcW w:w="25" w:type="pct"/>
          </w:tcPr>
          <w:p>
            <w:pPr>
              <w:spacing w:before="30" w:after="30"/>
              <w:ind w:left="60"/>
            </w:pPr>
            <w:r>
              <w:rPr>
                <w:color w:val="4A5568"/>
                <w:sz w:val="20"/>
              </w:rPr>
              <w:t>36-48 units</w:t>
            </w:r>
          </w:p>
        </w:tc>
        <w:tc>
          <w:tcPr>
            <w:tcW w:w="25" w:type="pct"/>
          </w:tcPr>
          <w:p>
            <w:pPr>
              <w:spacing w:before="30" w:after="30"/>
              <w:ind w:left="60"/>
            </w:pPr>
            <w:r>
              <w:rPr>
                <w:color w:val="4A5568"/>
                <w:sz w:val="20"/>
              </w:rPr>
              <w:t>$0.5-1.0B</w:t>
            </w:r>
          </w:p>
        </w:tc>
        <w:tc>
          <w:tcPr>
            <w:tcW w:w="25" w:type="pct"/>
          </w:tcPr>
          <w:p>
            <w:pPr>
              <w:spacing w:before="30" w:after="30"/>
              <w:ind w:left="60"/>
            </w:pPr>
            <w:r>
              <w:rPr>
                <w:color w:val="4A5568"/>
                <w:sz w:val="20"/>
              </w:rPr>
              <w:t>2030-2040</w:t>
            </w:r>
          </w:p>
        </w:tc>
      </w:tr>
      <w:tr>
        <w:tc>
          <w:tcPr>
            <w:tcW w:w="25" w:type="pct"/>
          </w:tcPr>
          <w:p>
            <w:pPr>
              <w:spacing w:before="30" w:after="30"/>
              <w:ind w:left="60"/>
            </w:pPr>
            <w:r>
              <w:rPr>
                <w:color w:val="4A5568"/>
                <w:sz w:val="20"/>
              </w:rPr>
              <w:t>Poland</w:t>
            </w:r>
          </w:p>
        </w:tc>
        <w:tc>
          <w:tcPr>
            <w:tcW w:w="25" w:type="pct"/>
          </w:tcPr>
          <w:p>
            <w:pPr>
              <w:spacing w:before="30" w:after="30"/>
              <w:ind w:left="60"/>
            </w:pPr>
            <w:r>
              <w:rPr>
                <w:color w:val="4A5568"/>
                <w:sz w:val="20"/>
              </w:rPr>
              <w:t>48-72 units</w:t>
            </w:r>
          </w:p>
        </w:tc>
        <w:tc>
          <w:tcPr>
            <w:tcW w:w="25" w:type="pct"/>
          </w:tcPr>
          <w:p>
            <w:pPr>
              <w:spacing w:before="30" w:after="30"/>
              <w:ind w:left="60"/>
            </w:pPr>
            <w:r>
              <w:rPr>
                <w:color w:val="4A5568"/>
                <w:sz w:val="20"/>
              </w:rPr>
              <w:t>$0.5-1.0B</w:t>
            </w:r>
          </w:p>
        </w:tc>
        <w:tc>
          <w:tcPr>
            <w:tcW w:w="25" w:type="pct"/>
          </w:tcPr>
          <w:p>
            <w:pPr>
              <w:spacing w:before="30" w:after="30"/>
              <w:ind w:left="60"/>
            </w:pPr>
            <w:r>
              <w:rPr>
                <w:color w:val="4A5568"/>
                <w:sz w:val="20"/>
              </w:rPr>
              <w:t>2030-2045</w:t>
            </w:r>
          </w:p>
        </w:tc>
      </w:tr>
      <w:tr>
        <w:tc>
          <w:tcPr>
            <w:tcW w:w="25" w:type="pct"/>
          </w:tcPr>
          <w:p>
            <w:pPr>
              <w:spacing w:before="30" w:after="30"/>
              <w:ind w:left="60"/>
            </w:pPr>
            <w:r>
              <w:rPr>
                <w:color w:val="4A5568"/>
                <w:sz w:val="20"/>
              </w:rPr>
              <w:t>Other NATO (Baltic, C. Europe)</w:t>
            </w:r>
          </w:p>
        </w:tc>
        <w:tc>
          <w:tcPr>
            <w:tcW w:w="25" w:type="pct"/>
          </w:tcPr>
          <w:p>
            <w:pPr>
              <w:spacing w:before="30" w:after="30"/>
              <w:ind w:left="60"/>
            </w:pPr>
            <w:r>
              <w:rPr>
                <w:color w:val="4A5568"/>
                <w:sz w:val="20"/>
              </w:rPr>
              <w:t>60-90 units</w:t>
            </w:r>
          </w:p>
        </w:tc>
        <w:tc>
          <w:tcPr>
            <w:tcW w:w="25" w:type="pct"/>
          </w:tcPr>
          <w:p>
            <w:pPr>
              <w:spacing w:before="30" w:after="30"/>
              <w:ind w:left="60"/>
            </w:pPr>
            <w:r>
              <w:rPr>
                <w:color w:val="4A5568"/>
                <w:sz w:val="20"/>
              </w:rPr>
              <w:t>$1.0-1.5B</w:t>
            </w:r>
          </w:p>
        </w:tc>
        <w:tc>
          <w:tcPr>
            <w:tcW w:w="25" w:type="pct"/>
          </w:tcPr>
          <w:p>
            <w:pPr>
              <w:spacing w:before="30" w:after="30"/>
              <w:ind w:left="60"/>
            </w:pPr>
            <w:r>
              <w:rPr>
                <w:color w:val="4A5568"/>
                <w:sz w:val="20"/>
              </w:rPr>
              <w:t>2035-2045</w:t>
            </w:r>
          </w:p>
        </w:tc>
      </w:tr>
      <w:tr>
        <w:tc>
          <w:tcPr>
            <w:tcW w:w="25" w:type="pct"/>
          </w:tcPr>
          <w:p>
            <w:pPr>
              <w:spacing w:before="30" w:after="30"/>
              <w:ind w:left="60"/>
            </w:pPr>
            <w:r>
              <w:rPr>
                <w:color w:val="4A5568"/>
                <w:sz w:val="20"/>
              </w:rPr>
              <w:t>Nordic states</w:t>
            </w:r>
          </w:p>
        </w:tc>
        <w:tc>
          <w:tcPr>
            <w:tcW w:w="25" w:type="pct"/>
          </w:tcPr>
          <w:p>
            <w:pPr>
              <w:spacing w:before="30" w:after="30"/>
              <w:ind w:left="60"/>
            </w:pPr>
            <w:r>
              <w:rPr>
                <w:color w:val="4A5568"/>
                <w:sz w:val="20"/>
              </w:rPr>
              <w:t>24-36 units</w:t>
            </w:r>
          </w:p>
        </w:tc>
        <w:tc>
          <w:tcPr>
            <w:tcW w:w="25" w:type="pct"/>
          </w:tcPr>
          <w:p>
            <w:pPr>
              <w:spacing w:before="30" w:after="30"/>
              <w:ind w:left="60"/>
            </w:pPr>
            <w:r>
              <w:rPr>
                <w:color w:val="4A5568"/>
                <w:sz w:val="20"/>
              </w:rPr>
              <w:t>$0.5-1.0B</w:t>
            </w:r>
          </w:p>
        </w:tc>
        <w:tc>
          <w:tcPr>
            <w:tcW w:w="25" w:type="pct"/>
          </w:tcPr>
          <w:p>
            <w:pPr>
              <w:spacing w:before="30" w:after="30"/>
              <w:ind w:left="60"/>
            </w:pPr>
            <w:r>
              <w:rPr>
                <w:color w:val="4A5568"/>
                <w:sz w:val="20"/>
              </w:rPr>
              <w:t>2035-2045</w:t>
            </w:r>
          </w:p>
        </w:tc>
      </w:tr>
      <w:tr>
        <w:tc>
          <w:tcPr>
            <w:tcW w:w="25" w:type="pct"/>
          </w:tcPr>
          <w:p>
            <w:pPr>
              <w:spacing w:before="30" w:after="30"/>
              <w:ind w:left="60"/>
            </w:pPr>
            <w:r>
              <w:rPr>
                <w:color w:val="4A5568"/>
                <w:sz w:val="20"/>
              </w:rPr>
              <w:t>TOTAL</w:t>
            </w:r>
          </w:p>
        </w:tc>
        <w:tc>
          <w:tcPr>
            <w:tcW w:w="25" w:type="pct"/>
          </w:tcPr>
          <w:p>
            <w:pPr>
              <w:spacing w:before="30" w:after="30"/>
              <w:ind w:left="60"/>
            </w:pPr>
            <w:r>
              <w:rPr>
                <w:color w:val="4A5568"/>
                <w:sz w:val="20"/>
              </w:rPr>
              <w:t>168-246 units</w:t>
            </w:r>
          </w:p>
        </w:tc>
        <w:tc>
          <w:tcPr>
            <w:tcW w:w="25" w:type="pct"/>
          </w:tcPr>
          <w:p>
            <w:pPr>
              <w:spacing w:before="30" w:after="30"/>
              <w:ind w:left="60"/>
            </w:pPr>
            <w:r>
              <w:rPr>
                <w:color w:val="4A5568"/>
                <w:sz w:val="20"/>
              </w:rPr>
              <w:t>$2.5-4.5B</w:t>
            </w:r>
          </w:p>
        </w:tc>
        <w:tc>
          <w:tcPr>
            <w:tcW w:w="25" w:type="pct"/>
          </w:tcPr>
          <w:p>
            <w:pPr>
              <w:spacing w:before="30" w:after="30"/>
              <w:ind w:left="60"/>
            </w:pPr>
            <w:r>
              <w:rPr>
                <w:color w:val="4A5568"/>
                <w:sz w:val="20"/>
              </w:rPr>
              <w:t/>
            </w:r>
          </w:p>
        </w:tc>
      </w:tr>
    </w:tbl>
    <w:p>
      <w:pPr>
        <w:spacing w:after="120"/>
      </w:pPr>
    </w:p>
    <w:p>
      <w:pPr>
        <w:pStyle w:val="Heading2"/>
      </w:pPr>
      <w:r>
        <w:t>Economic Sovereignty Benefits</w:t>
      </w:r>
    </w:p>
    <w:p>
      <w:pPr>
        <w:pStyle w:val="Normal"/>
      </w:pPr>
      <w:r>
        <w:rPr>
          <w:rFonts w:ascii="Calibri" w:hAnsi="Calibri" w:eastAsia="Microsoft YaHei" w:cs="Calibri"/>
          <w:color w:val="1D2D3D"/>
          <w:sz w:val="22"/>
          <w:szCs w:val="22"/>
        </w:rPr>
        <w:t>For seven decades, Canada has accepted severe constraints on sovereign control over its air combat capability. GCAP Tier 2 partnership fundamentally changes this: Canadian-controlled design authority, full supply chain visibility, export authority resting with the Canadian government, source code access, and maintenance IP held in Canada worth an estimated $1.2 billion.</w:t>
      </w:r>
    </w:p>
    <w:p>
      <w:pPr>
        <w:pStyle w:val="Normal"/>
      </w:pPr>
      <w:r>
        <w:rPr>
          <w:rFonts w:ascii="Calibri" w:hAnsi="Calibri" w:eastAsia="Microsoft YaHei" w:cs="Calibri"/>
          <w:color w:val="1D2D3D"/>
          <w:sz w:val="22"/>
          <w:szCs w:val="22"/>
        </w:rPr>
        <w:t>A Canada that possesses genuine alternatives to US defence technology can negotiate from a position of equality. This 'walk-away' credibility is worth an estimated $2-3 billion in improved contract terms over 20 years across all defence procurement.</w:t>
      </w:r>
    </w:p>
    <w:p>
      <w:pPr>
        <w:pStyle w:val="Heading2"/>
      </w:pPr>
      <w:r>
        <w:rPr>
          <w:rFonts w:ascii="Calibri" w:hAnsi="Calibri" w:eastAsia="Microsoft YaHei" w:cs="Calibri"/>
          <w:b/>
          <w:color w:val="1D2D3D"/>
          <w:sz w:val="30"/>
          <w:szCs w:val="30"/>
        </w:rPr>
        <w:t>Risk Assessment</w:t>
      </w:r>
    </w:p>
    <w:tbl>
      <w:tblPr>
        <w:tblW w:w="5000" w:type="pct"/>
        <w:tblBorders>
          <w:top w:val="single" w:color="3D5A80" w:sz="12"/>
          <w:left w:val="nil"/>
          <w:bottom w:val="single" w:color="3D5A80" w:sz="12"/>
          <w:right w:val="nil"/>
          <w:insideH w:val="single" w:color="C8D5E0" w:sz="4"/>
          <w:insideV w:val="nil"/>
        </w:tblBorders>
      </w:tblPr>
      <w:tblGrid>
        <w:gridCol w:w="30"/>
        <w:gridCol w:w="15"/>
        <w:gridCol w:w="15"/>
        <w:gridCol w:w="40"/>
      </w:tblGrid>
      <w:tr>
        <w:trPr>
          <w:tblHeader w:val="1"/>
        </w:trPr>
        <w:tc>
          <w:tcPr>
            <w:tcW w:w="30" w:type="pct"/>
            <w:shd w:val="clear" w:fill="E8EDF2" w:color="auto"/>
          </w:tcPr>
          <w:p>
            <w:pPr>
              <w:pStyle w:val="Normal"/>
              <w:spacing w:before="40" w:after="40"/>
              <w:jc w:val="center"/>
            </w:pPr>
            <w:r>
              <w:rPr>
                <w:b/>
                <w:color w:val="1D2D3D"/>
                <w:sz w:val="20"/>
                <w:rFonts w:ascii="Calibri" w:hAnsi="Calibri" w:eastAsia="Microsoft YaHei" w:cs="Calibri"/>
                <w:szCs w:val="20"/>
              </w:rPr>
              <w:t>Risk</w:t>
            </w:r>
          </w:p>
        </w:tc>
        <w:tc>
          <w:tcPr>
            <w:tcW w:w="15" w:type="pct"/>
            <w:shd w:val="clear" w:fill="E8EDF2" w:color="auto"/>
          </w:tcPr>
          <w:p>
            <w:pPr>
              <w:pStyle w:val="Normal"/>
              <w:spacing w:before="40" w:after="40"/>
              <w:jc w:val="center"/>
            </w:pPr>
            <w:r>
              <w:rPr>
                <w:b/>
                <w:color w:val="1D2D3D"/>
                <w:sz w:val="20"/>
                <w:rFonts w:ascii="Calibri" w:hAnsi="Calibri" w:eastAsia="Microsoft YaHei" w:cs="Calibri"/>
                <w:szCs w:val="20"/>
              </w:rPr>
              <w:t>Probability</w:t>
            </w:r>
          </w:p>
        </w:tc>
        <w:tc>
          <w:tcPr>
            <w:tcW w:w="15" w:type="pct"/>
            <w:shd w:val="clear" w:fill="E8EDF2" w:color="auto"/>
          </w:tcPr>
          <w:p>
            <w:pPr>
              <w:pStyle w:val="Normal"/>
              <w:spacing w:before="40" w:after="40"/>
              <w:jc w:val="center"/>
            </w:pPr>
            <w:r>
              <w:rPr>
                <w:b/>
                <w:color w:val="1D2D3D"/>
                <w:sz w:val="20"/>
                <w:rFonts w:ascii="Calibri" w:hAnsi="Calibri" w:eastAsia="Microsoft YaHei" w:cs="Calibri"/>
                <w:szCs w:val="20"/>
              </w:rPr>
              <w:t>Impact</w:t>
            </w:r>
          </w:p>
        </w:tc>
        <w:tc>
          <w:tcPr>
            <w:tcW w:w="40" w:type="pct"/>
            <w:shd w:val="clear" w:fill="E8EDF2" w:color="auto"/>
          </w:tcPr>
          <w:p>
            <w:pPr>
              <w:pStyle w:val="Normal"/>
              <w:spacing w:before="40" w:after="40"/>
              <w:jc w:val="center"/>
            </w:pPr>
            <w:r>
              <w:rPr>
                <w:b/>
                <w:color w:val="1D2D3D"/>
                <w:sz w:val="20"/>
                <w:rFonts w:ascii="Calibri" w:hAnsi="Calibri" w:eastAsia="Microsoft YaHei" w:cs="Calibri"/>
                <w:szCs w:val="20"/>
              </w:rPr>
              <w:t>Mitigation</w:t>
            </w:r>
          </w:p>
        </w:tc>
      </w:tr>
      <w:tr>
        <w:tc>
          <w:tcPr>
            <w:tcW w:w="30" w:type="pct"/>
          </w:tcPr>
          <w:p>
            <w:pPr>
              <w:pStyle w:val="Normal"/>
              <w:spacing w:before="30" w:after="30"/>
              <w:ind w:left="60"/>
            </w:pPr>
            <w:r>
              <w:rPr>
                <w:color w:val="4A5568"/>
                <w:sz w:val="20"/>
                <w:rFonts w:ascii="Calibri" w:hAnsi="Calibri" w:eastAsia="Microsoft YaHei" w:cs="Calibri"/>
                <w:szCs w:val="20"/>
              </w:rPr>
              <w:t>GCAP programme delays</w:t>
            </w:r>
          </w:p>
        </w:tc>
        <w:tc>
          <w:tcPr>
            <w:tcW w:w="15" w:type="pct"/>
          </w:tcPr>
          <w:p>
            <w:pPr>
              <w:pStyle w:val="Normal"/>
              <w:spacing w:before="30" w:after="30"/>
              <w:ind w:left="60"/>
            </w:pPr>
            <w:r>
              <w:rPr>
                <w:color w:val="4A5568"/>
                <w:sz w:val="20"/>
                <w:rFonts w:ascii="Calibri" w:hAnsi="Calibri" w:eastAsia="Microsoft YaHei" w:cs="Calibri"/>
                <w:szCs w:val="20"/>
              </w:rPr>
              <w:t>Medium</w:t>
            </w:r>
          </w:p>
        </w:tc>
        <w:tc>
          <w:tcPr>
            <w:tcW w:w="15" w:type="pct"/>
          </w:tcPr>
          <w:p>
            <w:pPr>
              <w:pStyle w:val="Normal"/>
              <w:spacing w:before="30" w:after="30"/>
              <w:ind w:left="60"/>
            </w:pPr>
            <w:r>
              <w:rPr>
                <w:color w:val="4A5568"/>
                <w:sz w:val="20"/>
                <w:rFonts w:ascii="Calibri" w:hAnsi="Calibri" w:eastAsia="Microsoft YaHei" w:cs="Calibri"/>
                <w:szCs w:val="20"/>
              </w:rPr>
              <w:t>High</w:t>
            </w:r>
          </w:p>
        </w:tc>
        <w:tc>
          <w:tcPr>
            <w:tcW w:w="40" w:type="pct"/>
          </w:tcPr>
          <w:p>
            <w:pPr>
              <w:pStyle w:val="Normal"/>
              <w:spacing w:before="30" w:after="30"/>
              <w:ind w:left="60"/>
            </w:pPr>
            <w:r>
              <w:rPr>
                <w:color w:val="4A5568"/>
                <w:sz w:val="20"/>
                <w:rFonts w:ascii="Calibri" w:hAnsi="Calibri" w:eastAsia="Microsoft YaHei" w:cs="Calibri"/>
                <w:szCs w:val="20"/>
              </w:rPr>
              <w:t>Phased partnership; Gripen bridge</w:t>
            </w:r>
          </w:p>
        </w:tc>
      </w:tr>
      <w:tr>
        <w:tc>
          <w:tcPr>
            <w:tcW w:w="30" w:type="pct"/>
          </w:tcPr>
          <w:p>
            <w:pPr>
              <w:pStyle w:val="Normal"/>
              <w:spacing w:before="30" w:after="30"/>
              <w:ind w:left="60"/>
            </w:pPr>
            <w:r>
              <w:rPr>
                <w:color w:val="4A5568"/>
                <w:sz w:val="20"/>
                <w:rFonts w:ascii="Calibri" w:hAnsi="Calibri" w:eastAsia="Microsoft YaHei" w:cs="Calibri"/>
                <w:szCs w:val="20"/>
              </w:rPr>
              <w:t>ITAR/export control on subsystems</w:t>
            </w:r>
          </w:p>
        </w:tc>
        <w:tc>
          <w:tcPr>
            <w:tcW w:w="15" w:type="pct"/>
          </w:tcPr>
          <w:p>
            <w:pPr>
              <w:pStyle w:val="Normal"/>
              <w:spacing w:before="30" w:after="30"/>
              <w:ind w:left="60"/>
            </w:pPr>
            <w:r>
              <w:rPr>
                <w:color w:val="4A5568"/>
                <w:sz w:val="20"/>
                <w:rFonts w:ascii="Calibri" w:hAnsi="Calibri" w:eastAsia="Microsoft YaHei" w:cs="Calibri"/>
                <w:szCs w:val="20"/>
              </w:rPr>
              <w:t>Low</w:t>
            </w:r>
          </w:p>
        </w:tc>
        <w:tc>
          <w:tcPr>
            <w:tcW w:w="15" w:type="pct"/>
          </w:tcPr>
          <w:p>
            <w:pPr>
              <w:pStyle w:val="Normal"/>
              <w:spacing w:before="30" w:after="30"/>
              <w:ind w:left="60"/>
            </w:pPr>
            <w:r>
              <w:rPr>
                <w:color w:val="4A5568"/>
                <w:sz w:val="20"/>
                <w:rFonts w:ascii="Calibri" w:hAnsi="Calibri" w:eastAsia="Microsoft YaHei" w:cs="Calibri"/>
                <w:szCs w:val="20"/>
              </w:rPr>
              <w:t>Critical</w:t>
            </w:r>
          </w:p>
        </w:tc>
        <w:tc>
          <w:tcPr>
            <w:tcW w:w="40" w:type="pct"/>
          </w:tcPr>
          <w:p>
            <w:pPr>
              <w:pStyle w:val="Normal"/>
              <w:spacing w:before="30" w:after="30"/>
              <w:ind w:left="60"/>
            </w:pPr>
            <w:r>
              <w:rPr>
                <w:color w:val="4A5568"/>
                <w:sz w:val="20"/>
                <w:rFonts w:ascii="Calibri" w:hAnsi="Calibri" w:eastAsia="Microsoft YaHei" w:cs="Calibri"/>
                <w:szCs w:val="20"/>
              </w:rPr>
              <w:t>Canadian-controlled design</w:t>
            </w:r>
          </w:p>
        </w:tc>
      </w:tr>
      <w:tr>
        <w:tc>
          <w:tcPr>
            <w:tcW w:w="30" w:type="pct"/>
          </w:tcPr>
          <w:p>
            <w:pPr>
              <w:pStyle w:val="Normal"/>
              <w:spacing w:before="30" w:after="30"/>
              <w:ind w:left="60"/>
            </w:pPr>
            <w:r>
              <w:rPr>
                <w:color w:val="4A5568"/>
                <w:sz w:val="20"/>
                <w:rFonts w:ascii="Calibri" w:hAnsi="Calibri" w:eastAsia="Microsoft YaHei" w:cs="Calibri"/>
                <w:szCs w:val="20"/>
              </w:rPr>
              <w:t>Cost overruns</w:t>
            </w:r>
          </w:p>
        </w:tc>
        <w:tc>
          <w:tcPr>
            <w:tcW w:w="15" w:type="pct"/>
          </w:tcPr>
          <w:p>
            <w:pPr>
              <w:pStyle w:val="Normal"/>
              <w:spacing w:before="30" w:after="30"/>
              <w:ind w:left="60"/>
            </w:pPr>
            <w:r>
              <w:rPr>
                <w:color w:val="4A5568"/>
                <w:sz w:val="20"/>
                <w:rFonts w:ascii="Calibri" w:hAnsi="Calibri" w:eastAsia="Microsoft YaHei" w:cs="Calibri"/>
                <w:szCs w:val="20"/>
              </w:rPr>
              <w:t>Medium</w:t>
            </w:r>
          </w:p>
        </w:tc>
        <w:tc>
          <w:tcPr>
            <w:tcW w:w="15" w:type="pct"/>
          </w:tcPr>
          <w:p>
            <w:pPr>
              <w:pStyle w:val="Normal"/>
              <w:spacing w:before="30" w:after="30"/>
              <w:ind w:left="60"/>
            </w:pPr>
            <w:r>
              <w:rPr>
                <w:color w:val="4A5568"/>
                <w:sz w:val="20"/>
                <w:rFonts w:ascii="Calibri" w:hAnsi="Calibri" w:eastAsia="Microsoft YaHei" w:cs="Calibri"/>
                <w:szCs w:val="20"/>
              </w:rPr>
              <w:t>High</w:t>
            </w:r>
          </w:p>
        </w:tc>
        <w:tc>
          <w:tcPr>
            <w:tcW w:w="40" w:type="pct"/>
          </w:tcPr>
          <w:p>
            <w:pPr>
              <w:pStyle w:val="Normal"/>
              <w:spacing w:before="30" w:after="30"/>
              <w:ind w:left="60"/>
            </w:pPr>
            <w:r>
              <w:rPr>
                <w:color w:val="4A5568"/>
                <w:sz w:val="20"/>
                <w:rFonts w:ascii="Calibri" w:hAnsi="Calibri" w:eastAsia="Microsoft YaHei" w:cs="Calibri"/>
                <w:szCs w:val="20"/>
              </w:rPr>
              <w:t>Tier 2 capped work share</w:t>
            </w:r>
          </w:p>
        </w:tc>
      </w:tr>
      <w:tr>
        <w:tc>
          <w:tcPr>
            <w:tcW w:w="30" w:type="pct"/>
          </w:tcPr>
          <w:p>
            <w:pPr>
              <w:pStyle w:val="Normal"/>
              <w:spacing w:before="30" w:after="30"/>
              <w:ind w:left="60"/>
            </w:pPr>
            <w:r>
              <w:rPr>
                <w:color w:val="4A5568"/>
                <w:sz w:val="20"/>
                <w:rFonts w:ascii="Calibri" w:hAnsi="Calibri" w:eastAsia="Microsoft YaHei" w:cs="Calibri"/>
                <w:szCs w:val="20"/>
              </w:rPr>
              <w:t>Technology transfer restrictions</w:t>
            </w:r>
          </w:p>
        </w:tc>
        <w:tc>
          <w:tcPr>
            <w:tcW w:w="15" w:type="pct"/>
          </w:tcPr>
          <w:p>
            <w:pPr>
              <w:pStyle w:val="Normal"/>
              <w:spacing w:before="30" w:after="30"/>
              <w:ind w:left="60"/>
            </w:pPr>
            <w:r>
              <w:rPr>
                <w:color w:val="4A5568"/>
                <w:sz w:val="20"/>
                <w:rFonts w:ascii="Calibri" w:hAnsi="Calibri" w:eastAsia="Microsoft YaHei" w:cs="Calibri"/>
                <w:szCs w:val="20"/>
              </w:rPr>
              <w:t>Medium</w:t>
            </w:r>
          </w:p>
        </w:tc>
        <w:tc>
          <w:tcPr>
            <w:tcW w:w="15" w:type="pct"/>
          </w:tcPr>
          <w:p>
            <w:pPr>
              <w:pStyle w:val="Normal"/>
              <w:spacing w:before="30" w:after="30"/>
              <w:ind w:left="60"/>
            </w:pPr>
            <w:r>
              <w:rPr>
                <w:color w:val="4A5568"/>
                <w:sz w:val="20"/>
                <w:rFonts w:ascii="Calibri" w:hAnsi="Calibri" w:eastAsia="Microsoft YaHei" w:cs="Calibri"/>
                <w:szCs w:val="20"/>
              </w:rPr>
              <w:t>High</w:t>
            </w:r>
          </w:p>
        </w:tc>
        <w:tc>
          <w:tcPr>
            <w:tcW w:w="40" w:type="pct"/>
          </w:tcPr>
          <w:p>
            <w:pPr>
              <w:pStyle w:val="Normal"/>
              <w:spacing w:before="30" w:after="30"/>
              <w:ind w:left="60"/>
            </w:pPr>
            <w:r>
              <w:rPr>
                <w:color w:val="4A5568"/>
                <w:sz w:val="20"/>
                <w:rFonts w:ascii="Calibri" w:hAnsi="Calibri" w:eastAsia="Microsoft YaHei" w:cs="Calibri"/>
                <w:szCs w:val="20"/>
              </w:rPr>
              <w:t>Negotiated IP framework</w:t>
            </w:r>
          </w:p>
        </w:tc>
      </w:tr>
      <w:tr>
        <w:tc>
          <w:tcPr>
            <w:tcW w:w="30" w:type="pct"/>
          </w:tcPr>
          <w:p>
            <w:pPr>
              <w:pStyle w:val="Normal"/>
              <w:spacing w:before="30" w:after="30"/>
              <w:ind w:left="60"/>
            </w:pPr>
            <w:r>
              <w:rPr>
                <w:color w:val="4A5568"/>
                <w:sz w:val="20"/>
                <w:rFonts w:ascii="Calibri" w:hAnsi="Calibri" w:eastAsia="Microsoft YaHei" w:cs="Calibri"/>
                <w:szCs w:val="20"/>
              </w:rPr>
              <w:t>Exchange rate fluctuation</w:t>
            </w:r>
          </w:p>
        </w:tc>
        <w:tc>
          <w:tcPr>
            <w:tcW w:w="15" w:type="pct"/>
          </w:tcPr>
          <w:p>
            <w:pPr>
              <w:pStyle w:val="Normal"/>
              <w:spacing w:before="30" w:after="30"/>
              <w:ind w:left="60"/>
            </w:pPr>
            <w:r>
              <w:rPr>
                <w:color w:val="4A5568"/>
                <w:sz w:val="20"/>
                <w:rFonts w:ascii="Calibri" w:hAnsi="Calibri" w:eastAsia="Microsoft YaHei" w:cs="Calibri"/>
                <w:szCs w:val="20"/>
              </w:rPr>
              <w:t>High</w:t>
            </w:r>
          </w:p>
        </w:tc>
        <w:tc>
          <w:tcPr>
            <w:tcW w:w="15" w:type="pct"/>
          </w:tcPr>
          <w:p>
            <w:pPr>
              <w:pStyle w:val="Normal"/>
              <w:spacing w:before="30" w:after="30"/>
              <w:ind w:left="60"/>
            </w:pPr>
            <w:r>
              <w:rPr>
                <w:color w:val="4A5568"/>
                <w:sz w:val="20"/>
                <w:rFonts w:ascii="Calibri" w:hAnsi="Calibri" w:eastAsia="Microsoft YaHei" w:cs="Calibri"/>
                <w:szCs w:val="20"/>
              </w:rPr>
              <w:t>Medium</w:t>
            </w:r>
          </w:p>
        </w:tc>
        <w:tc>
          <w:tcPr>
            <w:tcW w:w="40" w:type="pct"/>
          </w:tcPr>
          <w:p>
            <w:pPr>
              <w:pStyle w:val="Normal"/>
              <w:spacing w:before="30" w:after="30"/>
              <w:ind w:left="60"/>
            </w:pPr>
            <w:r>
              <w:rPr>
                <w:color w:val="4A5568"/>
                <w:sz w:val="20"/>
                <w:rFonts w:ascii="Calibri" w:hAnsi="Calibri" w:eastAsia="Microsoft YaHei" w:cs="Calibri"/>
                <w:szCs w:val="20"/>
              </w:rPr>
              <w:t>Hedging; local production</w:t>
            </w:r>
          </w:p>
        </w:tc>
      </w:tr>
    </w:tbl>
    <w:p>
      <w:pPr>
        <w:pStyle w:val="Normal"/>
        <w:spacing w:after="120"/>
      </w:pPr>
    </w:p>
    <w:p>
      <w:pPr>
        <w:pStyle w:val="Heading2"/>
      </w:pPr>
      <w:r>
        <w:rPr>
          <w:rFonts w:ascii="Calibri" w:hAnsi="Calibri" w:eastAsia="Microsoft YaHei" w:cs="Calibri"/>
          <w:b/>
          <w:color w:val="1D2D3D"/>
          <w:sz w:val="30"/>
          <w:szCs w:val="30"/>
        </w:rPr>
        <w:t>Conclusion and Recommendations</w:t>
      </w:r>
    </w:p>
    <w:p>
      <w:pPr>
        <w:pStyle w:val="Normal"/>
      </w:pPr>
      <w:r>
        <w:rPr>
          <w:rFonts w:ascii="Calibri" w:hAnsi="Calibri" w:eastAsia="Microsoft YaHei" w:cs="Calibri"/>
          <w:color w:val="1D2D3D"/>
          <w:sz w:val="22"/>
          <w:szCs w:val="22"/>
        </w:rPr>
        <w:t>The economic case for Canadian participation in GCAP is clear, compelling, and comprehensive. As a Tier 2 partner, Canada would generate 5,000-8,000 direct jobs and 13,000-21,000 total jobs. GDP contribution would reach $6.6-9.8 billion over 25 years. Export potential of $2.5-4.5 billion would establish Canadian aerospace as a significant player in the global sixth-generation market.</w:t>
      </w:r>
    </w:p>
    <w:p>
      <w:pPr>
        <w:pStyle w:val="Normal"/>
      </w:pPr>
      <w:r>
        <w:rPr>
          <w:rFonts w:ascii="Calibri" w:hAnsi="Calibri" w:eastAsia="Microsoft YaHei" w:cs="Calibri"/>
          <w:color w:val="1D2D3D"/>
          <w:sz w:val="22"/>
          <w:szCs w:val="22"/>
        </w:rPr>
        <w:t>The window for Canada to join GCAP as a meaningful partner is narrow and closing. The three core nations are advancing rapidly, and the industrial architecture is being established now. If Canada delays beyond the 2026-2027 entry point, it risks being relegated to customer status — able to buy the aircraft but unable to participate in its creation. The Arctic Horizon programme has given Canada the means. The question is whether Canada has the will.</w:t>
      </w:r>
    </w:p>
    <w:p>
      <w:pPr>
        <w:pStyle w:val="Heading3"/>
      </w:pPr>
      <w:r>
        <w:rPr>
          <w:rFonts w:ascii="Calibri" w:hAnsi="Calibri" w:eastAsia="Microsoft YaHei" w:cs="Calibri"/>
          <w:b/>
          <w:color w:val="4A5568"/>
          <w:sz w:val="26"/>
          <w:szCs w:val="26"/>
        </w:rPr>
        <w:t>Recommendations</w:t>
      </w:r>
    </w:p>
    <w:p>
      <w:pPr>
        <w:pStyle w:val="Normal"/>
        <w:spacing w:after="80"/>
        <w:ind w:left="720" w:hanging="360"/>
      </w:pPr>
      <w:r>
        <w:rPr>
          <w:rFonts w:ascii="Calibri" w:hAnsi="Calibri" w:eastAsia="Microsoft YaHei" w:cs="Calibri"/>
          <w:color w:val="1D2D3D"/>
          <w:sz w:val="22"/>
          <w:szCs w:val="22"/>
        </w:rPr>
        <w:t xml:space="preserve">•  1. Proceed with observer status immediately, securing the July 2026 ministerial meeting window</w:t>
      </w:r>
    </w:p>
    <w:p>
      <w:pPr>
        <w:pStyle w:val="Normal"/>
        <w:spacing w:after="80"/>
        <w:ind w:left="720" w:hanging="360"/>
      </w:pPr>
      <w:r>
        <w:rPr>
          <w:rFonts w:ascii="Calibri" w:hAnsi="Calibri" w:eastAsia="Microsoft YaHei" w:cs="Calibri"/>
          <w:color w:val="1D2D3D"/>
          <w:sz w:val="22"/>
          <w:szCs w:val="22"/>
        </w:rPr>
        <w:t xml:space="preserve">•  2. Allocate $3.5 billion from Arctic Horizon savings to GCAP entry</w:t>
      </w:r>
    </w:p>
    <w:p>
      <w:pPr>
        <w:pStyle w:val="Normal"/>
        <w:spacing w:after="80"/>
        <w:ind w:left="720" w:hanging="360"/>
      </w:pPr>
      <w:r>
        <w:rPr>
          <w:rFonts w:ascii="Calibri" w:hAnsi="Calibri" w:eastAsia="Microsoft YaHei" w:cs="Calibri"/>
          <w:color w:val="1D2D3D"/>
          <w:sz w:val="22"/>
          <w:szCs w:val="22"/>
        </w:rPr>
        <w:t xml:space="preserve">•  3. Establish a dedicated GCAP industrial office within ISED</w:t>
      </w:r>
    </w:p>
    <w:p>
      <w:pPr>
        <w:pStyle w:val="Normal"/>
        <w:spacing w:after="80"/>
        <w:ind w:left="720" w:hanging="360"/>
      </w:pPr>
      <w:r>
        <w:rPr>
          <w:rFonts w:ascii="Calibri" w:hAnsi="Calibri" w:eastAsia="Microsoft YaHei" w:cs="Calibri"/>
          <w:color w:val="1D2D3D"/>
          <w:sz w:val="22"/>
          <w:szCs w:val="22"/>
        </w:rPr>
        <w:t xml:space="preserve">•  4. Develop a comprehensive IP strategy with source code access as a condition of partnership</w:t>
      </w:r>
    </w:p>
    <w:p>
      <w:pPr>
        <w:pStyle w:val="Normal"/>
        <w:spacing w:after="80"/>
        <w:ind w:left="720" w:hanging="360"/>
      </w:pPr>
      <w:r>
        <w:rPr>
          <w:rFonts w:ascii="Calibri" w:hAnsi="Calibri" w:eastAsia="Microsoft YaHei" w:cs="Calibri"/>
          <w:color w:val="1D2D3D"/>
          <w:sz w:val="22"/>
          <w:szCs w:val="22"/>
        </w:rPr>
        <w:t xml:space="preserve">•  5. Pursue export opportunities through CCC, prioritising Australia, Poland, and Nordic states</w:t>
      </w:r>
    </w:p>
    <w:p>
      <w:pPr>
        <w:pStyle w:val="Normal"/>
        <w:spacing w:after="80"/>
        <w:ind w:left="720" w:hanging="360"/>
      </w:pPr>
      <w:r>
        <w:rPr>
          <w:rFonts w:ascii="Calibri" w:hAnsi="Calibri" w:eastAsia="Microsoft YaHei" w:cs="Calibri"/>
          <w:color w:val="1D2D3D"/>
          <w:sz w:val="22"/>
          <w:szCs w:val="22"/>
        </w:rPr>
        <w:t xml:space="preserve">•  6. Extend the $1.0 billion workforce retraining programme to include GCAP-specific skills</w:t>
      </w:r>
    </w:p>
    <w:p>
      <w:pPr>
        <w:pStyle w:val="Normal"/>
        <w:spacing w:after="80"/>
        <w:ind w:left="720" w:hanging="360"/>
      </w:pPr>
      <w:r>
        <w:rPr>
          <w:rFonts w:ascii="Calibri" w:hAnsi="Calibri" w:eastAsia="Microsoft YaHei" w:cs="Calibri"/>
          <w:color w:val="1D2D3D"/>
          <w:sz w:val="22"/>
          <w:szCs w:val="22"/>
        </w:rPr>
        <w:t xml:space="preserve">•  7. Leverage Arctic Horizon drone experience to strengthen Canada's bid for CCA work share</w:t>
      </w:r>
    </w:p>
    <w:p>
      <w:pPr>
        <w:pStyle w:val="Heading2"/>
      </w:pPr>
      <w:r>
        <w:rPr>
          <w:rFonts w:ascii="Calibri" w:hAnsi="Calibri" w:eastAsia="Microsoft YaHei" w:cs="Calibri"/>
          <w:b/>
          <w:color w:val="1D2D3D"/>
          <w:sz w:val="30"/>
          <w:szCs w:val="30"/>
        </w:rPr>
        <w:t>2. Detailed System Subcomponents</w:t>
      </w:r>
    </w:p>
    <w:p>
      <w:pPr>
        <w:pStyle w:val="Heading3"/>
      </w:pPr>
      <w:r>
        <w:rPr>
          <w:rFonts w:ascii="Calibri" w:hAnsi="Calibri" w:eastAsia="Microsoft YaHei" w:cs="Calibri"/>
          <w:b/>
          <w:color w:val="4A5568"/>
          <w:sz w:val="26"/>
          <w:szCs w:val="26"/>
        </w:rPr>
        <w:t>2.1 Open Systems Gateway (OSG) — The "Babel Fish" Core</w:t>
      </w:r>
    </w:p>
    <w:p>
      <w:pPr>
        <w:pStyle w:val="Normal"/>
      </w:pPr>
      <w:r>
        <w:rPr>
          <w:rFonts w:ascii="Calibri" w:hAnsi="Calibri" w:eastAsia="Microsoft YaHei" w:cs="Calibri"/>
          <w:color w:val="1D2D3D"/>
          <w:sz w:val="22"/>
          <w:szCs w:val="22"/>
        </w:rPr>
        <w:t>The Open Systems Gateway is the central processing unit that acts as the data translation bridge. It ensures that each platform receives data in its native format so that onboard systems can integrate the information without modification. The Canadian implementation is derived from the Skunk Works OSG architecture demonstrated in Project Deimos and Ramstein Flag, re-engineered by CAE Canada under sovereign Canadian control to eliminate ITAR dependencies.</w:t>
      </w:r>
    </w:p>
    <w:p>
      <w:pPr>
        <w:pStyle w:val="Heading3"/>
      </w:pPr>
      <w:r>
        <w:rPr>
          <w:rFonts w:ascii="Calibri" w:hAnsi="Calibri" w:eastAsia="Microsoft YaHei" w:cs="Calibri"/>
          <w:b/>
          <w:color w:val="4A5568"/>
          <w:sz w:val="26"/>
          <w:szCs w:val="26"/>
        </w:rPr>
        <w:t>OSG Physical Specifications</w:t>
      </w:r>
    </w:p>
    <w:tbl>
      <w:tblPr>
        <w:tblBorders>
          <w:top w:val="single" w:space="0"/>
          <w:left w:val="nil" w:space="0"/>
          <w:bottom w:val="single" w:space="0"/>
          <w:right w:val="nil" w:space="0"/>
          <w:insideH w:val="single" w:space="0"/>
          <w:insideV w:val="nil" w:space="0"/>
        </w:tblBorders>
        <w:tblW w:w="5000" w:type="pct"/>
        <w:tblLayout w:type="fixed"/>
      </w:tblPr>
      <w:tblGrid>
        <w:gridCol w:w="50"/>
        <w:gridCol w:w="70"/>
      </w:tblGrid>
      <w:tr>
        <w:trPr>
          <w:tblHeader w:val="1"/>
        </w:trPr>
        <w:tc>
          <w:tcPr>
            <w:tcW w:w="50" w:type="dxa"/>
            <w:shd w:val="clear" w:color="auto" w:fill="E8EDF2"/>
          </w:tcPr>
          <w:p>
            <w:pPr>
              <w:pStyle w:val="Normal"/>
              <w:jc w:val="center"/>
              <w:spacing w:before="40" w:after="40"/>
            </w:pPr>
            <w:r>
              <w:rPr>
                <w:rFonts w:ascii="Calibri" w:hAnsi="Calibri" w:eastAsia="Microsoft YaHei"/>
                <w:color w:val="1D2D3D"/>
                <w:sz w:val="20"/>
                <w:b/>
                <w:szCs w:val="20"/>
              </w:rPr>
              <w:t>Parameter</w:t>
            </w:r>
          </w:p>
        </w:tc>
        <w:tc>
          <w:tcPr>
            <w:tcW w:w="70" w:type="dxa"/>
            <w:shd w:val="clear" w:color="auto" w:fill="E8EDF2"/>
          </w:tcPr>
          <w:p>
            <w:pPr>
              <w:pStyle w:val="Normal"/>
              <w:jc w:val="center"/>
              <w:spacing w:before="40" w:after="40"/>
            </w:pPr>
            <w:r>
              <w:rPr>
                <w:rFonts w:ascii="Calibri" w:hAnsi="Calibri" w:eastAsia="Microsoft YaHei"/>
                <w:color w:val="1D2D3D"/>
                <w:sz w:val="20"/>
                <w:b/>
                <w:szCs w:val="20"/>
              </w:rPr>
              <w:t>Value</w:t>
            </w:r>
          </w:p>
        </w:tc>
      </w:tr>
      <w:tr>
        <w:tc>
          <w:tcPr>
            <w:tcW w:w="50" w:type="dxa"/>
          </w:tcPr>
          <w:p>
            <w:pPr>
              <w:pStyle w:val="Normal"/>
              <w:ind w:left="60"/>
              <w:spacing w:before="30" w:after="30"/>
            </w:pPr>
            <w:r>
              <w:rPr>
                <w:rFonts w:ascii="Calibri" w:hAnsi="Calibri" w:eastAsia="Microsoft YaHei"/>
                <w:color w:val="4A5568"/>
                <w:sz w:val="20"/>
                <w:szCs w:val="20"/>
              </w:rPr>
              <w:t>Chassis Form Factor</w:t>
            </w:r>
          </w:p>
        </w:tc>
        <w:tc>
          <w:tcPr>
            <w:tcW w:w="70" w:type="dxa"/>
          </w:tcPr>
          <w:p>
            <w:pPr>
              <w:pStyle w:val="Normal"/>
              <w:ind w:left="60"/>
              <w:spacing w:before="30" w:after="30"/>
            </w:pPr>
            <w:r>
              <w:rPr>
                <w:rFonts w:ascii="Calibri" w:hAnsi="Calibri" w:eastAsia="Microsoft YaHei"/>
                <w:color w:val="4A5568"/>
                <w:sz w:val="20"/>
                <w:szCs w:val="20"/>
              </w:rPr>
              <w:t>3/4 ATR Short (3.75" H x 12.5" W x 14.0" D)</w:t>
            </w:r>
          </w:p>
        </w:tc>
      </w:tr>
      <w:tr>
        <w:tc>
          <w:tcPr>
            <w:tcW w:w="50" w:type="dxa"/>
          </w:tcPr>
          <w:p>
            <w:pPr>
              <w:pStyle w:val="Normal"/>
              <w:ind w:left="60"/>
              <w:spacing w:before="30" w:after="30"/>
            </w:pPr>
            <w:r>
              <w:rPr>
                <w:rFonts w:ascii="Calibri" w:hAnsi="Calibri" w:eastAsia="Microsoft YaHei"/>
                <w:color w:val="4A5568"/>
                <w:sz w:val="20"/>
                <w:szCs w:val="20"/>
              </w:rPr>
              <w:t>Total System Weight</w:t>
            </w:r>
          </w:p>
        </w:tc>
        <w:tc>
          <w:tcPr>
            <w:tcW w:w="70" w:type="dxa"/>
          </w:tcPr>
          <w:p>
            <w:pPr>
              <w:pStyle w:val="Normal"/>
              <w:ind w:left="60"/>
              <w:spacing w:before="30" w:after="30"/>
            </w:pPr>
            <w:r>
              <w:rPr>
                <w:rFonts w:ascii="Calibri" w:hAnsi="Calibri" w:eastAsia="Microsoft YaHei"/>
                <w:color w:val="4A5568"/>
                <w:sz w:val="20"/>
                <w:szCs w:val="20"/>
              </w:rPr>
              <w:t>18.4 kg (40.6 lb)</w:t>
            </w:r>
          </w:p>
        </w:tc>
      </w:tr>
      <w:tr>
        <w:tc>
          <w:tcPr>
            <w:tcW w:w="50" w:type="dxa"/>
          </w:tcPr>
          <w:p>
            <w:pPr>
              <w:pStyle w:val="Normal"/>
              <w:ind w:left="60"/>
              <w:spacing w:before="30" w:after="30"/>
            </w:pPr>
            <w:r>
              <w:rPr>
                <w:rFonts w:ascii="Calibri" w:hAnsi="Calibri" w:eastAsia="Microsoft YaHei"/>
                <w:color w:val="4A5568"/>
                <w:sz w:val="20"/>
                <w:szCs w:val="20"/>
              </w:rPr>
              <w:t>Processing Architecture</w:t>
            </w:r>
          </w:p>
        </w:tc>
        <w:tc>
          <w:tcPr>
            <w:tcW w:w="70" w:type="dxa"/>
          </w:tcPr>
          <w:p>
            <w:pPr>
              <w:pStyle w:val="Normal"/>
              <w:ind w:left="60"/>
              <w:spacing w:before="30" w:after="30"/>
            </w:pPr>
            <w:r>
              <w:rPr>
                <w:rFonts w:ascii="Calibri" w:hAnsi="Calibri" w:eastAsia="Microsoft YaHei"/>
                <w:color w:val="4A5568"/>
                <w:sz w:val="20"/>
                <w:szCs w:val="20"/>
              </w:rPr>
              <w:t>Intel Xeon D-2183T (8-core, 16-thread, 2.5 GHz base) + Xilinx XCVU9P-L2FFVB2104E FPGA</w:t>
            </w:r>
          </w:p>
        </w:tc>
      </w:tr>
      <w:tr>
        <w:tc>
          <w:tcPr>
            <w:tcW w:w="50" w:type="dxa"/>
          </w:tcPr>
          <w:p>
            <w:pPr>
              <w:pStyle w:val="Normal"/>
              <w:ind w:left="60"/>
              <w:spacing w:before="30" w:after="30"/>
            </w:pPr>
            <w:r>
              <w:rPr>
                <w:rFonts w:ascii="Calibri" w:hAnsi="Calibri" w:eastAsia="Microsoft YaHei"/>
                <w:color w:val="4A5568"/>
                <w:sz w:val="20"/>
                <w:szCs w:val="20"/>
              </w:rPr>
              <w:t>System Memory</w:t>
            </w:r>
          </w:p>
        </w:tc>
        <w:tc>
          <w:tcPr>
            <w:tcW w:w="70" w:type="dxa"/>
          </w:tcPr>
          <w:p>
            <w:pPr>
              <w:pStyle w:val="Normal"/>
              <w:ind w:left="60"/>
              <w:spacing w:before="30" w:after="30"/>
            </w:pPr>
            <w:r>
              <w:rPr>
                <w:rFonts w:ascii="Calibri" w:hAnsi="Calibri" w:eastAsia="Microsoft YaHei"/>
                <w:color w:val="4A5568"/>
                <w:sz w:val="20"/>
                <w:szCs w:val="20"/>
              </w:rPr>
              <w:t>64 GB DDR4-2666 ECC SDRAM (2 x 32 GB SO-DIMM)</w:t>
            </w:r>
          </w:p>
        </w:tc>
      </w:tr>
      <w:tr>
        <w:tc>
          <w:tcPr>
            <w:tcW w:w="50" w:type="dxa"/>
          </w:tcPr>
          <w:p>
            <w:pPr>
              <w:pStyle w:val="Normal"/>
              <w:ind w:left="60"/>
              <w:spacing w:before="30" w:after="30"/>
            </w:pPr>
            <w:r>
              <w:rPr>
                <w:rFonts w:ascii="Calibri" w:hAnsi="Calibri" w:eastAsia="Microsoft YaHei"/>
                <w:color w:val="4A5568"/>
                <w:sz w:val="20"/>
                <w:szCs w:val="20"/>
              </w:rPr>
              <w:t>Storage</w:t>
            </w:r>
          </w:p>
        </w:tc>
        <w:tc>
          <w:tcPr>
            <w:tcW w:w="70" w:type="dxa"/>
          </w:tcPr>
          <w:p>
            <w:pPr>
              <w:pStyle w:val="Normal"/>
              <w:ind w:left="60"/>
              <w:spacing w:before="30" w:after="30"/>
            </w:pPr>
            <w:r>
              <w:rPr>
                <w:rFonts w:ascii="Calibri" w:hAnsi="Calibri" w:eastAsia="Microsoft YaHei"/>
                <w:color w:val="4A5568"/>
                <w:sz w:val="20"/>
                <w:szCs w:val="20"/>
              </w:rPr>
              <w:t>2 x 1 TB NVMe SSD (RAID 1, Samsung PM9A3 M.2 22110, -40 to +85 deg C)</w:t>
            </w:r>
          </w:p>
        </w:tc>
      </w:tr>
      <w:tr>
        <w:tc>
          <w:tcPr>
            <w:tcW w:w="50" w:type="dxa"/>
          </w:tcPr>
          <w:p>
            <w:pPr>
              <w:pStyle w:val="Normal"/>
              <w:ind w:left="60"/>
              <w:spacing w:before="30" w:after="30"/>
            </w:pPr>
            <w:r>
              <w:rPr>
                <w:rFonts w:ascii="Calibri" w:hAnsi="Calibri" w:eastAsia="Microsoft YaHei"/>
                <w:color w:val="4A5568"/>
                <w:sz w:val="20"/>
                <w:szCs w:val="20"/>
              </w:rPr>
              <w:t>Cooling</w:t>
            </w:r>
          </w:p>
        </w:tc>
        <w:tc>
          <w:tcPr>
            <w:tcW w:w="70" w:type="dxa"/>
          </w:tcPr>
          <w:p>
            <w:pPr>
              <w:pStyle w:val="Normal"/>
              <w:ind w:left="60"/>
              <w:spacing w:before="30" w:after="30"/>
            </w:pPr>
            <w:r>
              <w:rPr>
                <w:rFonts w:ascii="Calibri" w:hAnsi="Calibri" w:eastAsia="Microsoft YaHei"/>
                <w:color w:val="4A5568"/>
                <w:sz w:val="20"/>
                <w:szCs w:val="20"/>
              </w:rPr>
              <w:t>Liquid cooling, 50/50 propylene glycol-water, 450 W heat rejection via cold plate to Striker weapons bay wall</w:t>
            </w:r>
          </w:p>
        </w:tc>
      </w:tr>
      <w:tr>
        <w:tc>
          <w:tcPr>
            <w:tcW w:w="50" w:type="dxa"/>
          </w:tcPr>
          <w:p>
            <w:pPr>
              <w:pStyle w:val="Normal"/>
              <w:ind w:left="60"/>
              <w:spacing w:before="30" w:after="30"/>
            </w:pPr>
            <w:r>
              <w:rPr>
                <w:rFonts w:ascii="Calibri" w:hAnsi="Calibri" w:eastAsia="Microsoft YaHei"/>
                <w:color w:val="4A5568"/>
                <w:sz w:val="20"/>
                <w:szCs w:val="20"/>
              </w:rPr>
              <w:t>Operating Temperature</w:t>
            </w:r>
          </w:p>
        </w:tc>
        <w:tc>
          <w:tcPr>
            <w:tcW w:w="70" w:type="dxa"/>
          </w:tcPr>
          <w:p>
            <w:pPr>
              <w:pStyle w:val="Normal"/>
              <w:ind w:left="60"/>
              <w:spacing w:before="30" w:after="30"/>
            </w:pPr>
            <w:r>
              <w:rPr>
                <w:rFonts w:ascii="Calibri" w:hAnsi="Calibri" w:eastAsia="Microsoft YaHei"/>
                <w:color w:val="4A5568"/>
                <w:sz w:val="20"/>
                <w:szCs w:val="20"/>
              </w:rPr>
              <w:t>-55 deg C to +71 deg C (MIL-STD-810H, Method 501.7 / 502.7)</w:t>
            </w:r>
          </w:p>
        </w:tc>
      </w:tr>
      <w:tr>
        <w:tc>
          <w:tcPr>
            <w:tcW w:w="50" w:type="dxa"/>
          </w:tcPr>
          <w:p>
            <w:pPr>
              <w:pStyle w:val="Normal"/>
              <w:ind w:left="60"/>
              <w:spacing w:before="30" w:after="30"/>
            </w:pPr>
            <w:r>
              <w:rPr>
                <w:rFonts w:ascii="Calibri" w:hAnsi="Calibri" w:eastAsia="Microsoft YaHei"/>
                <w:color w:val="4A5568"/>
                <w:sz w:val="20"/>
                <w:szCs w:val="20"/>
              </w:rPr>
              <w:t>Power Input</w:t>
            </w:r>
          </w:p>
        </w:tc>
        <w:tc>
          <w:tcPr>
            <w:tcW w:w="70" w:type="dxa"/>
          </w:tcPr>
          <w:p>
            <w:pPr>
              <w:pStyle w:val="Normal"/>
              <w:ind w:left="60"/>
              <w:spacing w:before="30" w:after="30"/>
            </w:pPr>
            <w:r>
              <w:rPr>
                <w:rFonts w:ascii="Calibri" w:hAnsi="Calibri" w:eastAsia="Microsoft YaHei"/>
                <w:color w:val="4A5568"/>
                <w:sz w:val="20"/>
                <w:szCs w:val="20"/>
              </w:rPr>
              <w:t>28 VDC MIL-STD-704F (22-32 V range), 350 W peak, 285 W sustained</w:t>
            </w:r>
          </w:p>
        </w:tc>
      </w:tr>
      <w:tr>
        <w:tc>
          <w:tcPr>
            <w:tcW w:w="50" w:type="dxa"/>
          </w:tcPr>
          <w:p>
            <w:pPr>
              <w:pStyle w:val="Normal"/>
              <w:ind w:left="60"/>
              <w:spacing w:before="30" w:after="30"/>
            </w:pPr>
            <w:r>
              <w:rPr>
                <w:rFonts w:ascii="Calibri" w:hAnsi="Calibri" w:eastAsia="Microsoft YaHei"/>
                <w:color w:val="4A5568"/>
                <w:sz w:val="20"/>
                <w:szCs w:val="20"/>
              </w:rPr>
              <w:t>Operating System</w:t>
            </w:r>
          </w:p>
        </w:tc>
        <w:tc>
          <w:tcPr>
            <w:tcW w:w="70" w:type="dxa"/>
          </w:tcPr>
          <w:p>
            <w:pPr>
              <w:pStyle w:val="Normal"/>
              <w:ind w:left="60"/>
              <w:spacing w:before="30" w:after="30"/>
            </w:pPr>
            <w:r>
              <w:rPr>
                <w:rFonts w:ascii="Calibri" w:hAnsi="Calibri" w:eastAsia="Microsoft YaHei"/>
                <w:color w:val="4A5568"/>
                <w:sz w:val="20"/>
                <w:szCs w:val="20"/>
              </w:rPr>
              <w:t>Red Hat Enterprise Linux 8.8 Real-Time (Military-Grade), DO-178C certifiable</w:t>
            </w:r>
          </w:p>
        </w:tc>
      </w:tr>
      <w:tr>
        <w:tc>
          <w:tcPr>
            <w:tcW w:w="50" w:type="dxa"/>
          </w:tcPr>
          <w:p>
            <w:pPr>
              <w:pStyle w:val="Normal"/>
              <w:ind w:left="60"/>
              <w:spacing w:before="30" w:after="30"/>
            </w:pPr>
            <w:r>
              <w:rPr>
                <w:rFonts w:ascii="Calibri" w:hAnsi="Calibri" w:eastAsia="Microsoft YaHei"/>
                <w:color w:val="4A5568"/>
                <w:sz w:val="20"/>
                <w:szCs w:val="20"/>
              </w:rPr>
              <w:t>Translation Latency</w:t>
            </w:r>
          </w:p>
        </w:tc>
        <w:tc>
          <w:tcPr>
            <w:tcW w:w="70" w:type="dxa"/>
          </w:tcPr>
          <w:p>
            <w:pPr>
              <w:pStyle w:val="Normal"/>
              <w:ind w:left="60"/>
              <w:spacing w:before="30" w:after="30"/>
            </w:pPr>
            <w:r>
              <w:rPr>
                <w:rFonts w:ascii="Calibri" w:hAnsi="Calibri" w:eastAsia="Microsoft YaHei"/>
                <w:color w:val="4A5568"/>
                <w:sz w:val="20"/>
                <w:szCs w:val="20"/>
              </w:rPr>
              <w:t>&lt; 50 ms end-to-end (MADL to Link 16, verified via HW timestamping)</w:t>
            </w:r>
          </w:p>
        </w:tc>
      </w:tr>
      <w:tr>
        <w:tc>
          <w:tcPr>
            <w:tcW w:w="50" w:type="dxa"/>
          </w:tcPr>
          <w:p>
            <w:pPr>
              <w:pStyle w:val="Normal"/>
              <w:ind w:left="60"/>
              <w:spacing w:before="30" w:after="30"/>
            </w:pPr>
            <w:r>
              <w:rPr>
                <w:rFonts w:ascii="Calibri" w:hAnsi="Calibri" w:eastAsia="Microsoft YaHei"/>
                <w:color w:val="4A5568"/>
                <w:sz w:val="20"/>
                <w:szCs w:val="20"/>
              </w:rPr>
              <w:t>Encryption</w:t>
            </w:r>
          </w:p>
        </w:tc>
        <w:tc>
          <w:tcPr>
            <w:tcW w:w="70" w:type="dxa"/>
          </w:tcPr>
          <w:p>
            <w:pPr>
              <w:pStyle w:val="Normal"/>
              <w:ind w:left="60"/>
              <w:spacing w:before="30" w:after="30"/>
            </w:pPr>
            <w:r>
              <w:rPr>
                <w:rFonts w:ascii="Calibri" w:hAnsi="Calibri" w:eastAsia="Microsoft YaHei"/>
                <w:color w:val="4A5568"/>
                <w:sz w:val="20"/>
                <w:szCs w:val="20"/>
              </w:rPr>
              <w:t>AES-256-GCM (hardware-accelerated via FPGA), dynamic key rotation every 60 seconds</w:t>
            </w:r>
          </w:p>
        </w:tc>
      </w:tr>
    </w:tbl>
    <w:p>
      <w:pPr>
        <w:pStyle w:val="Heading3"/>
      </w:pPr>
      <w:r>
        <w:rPr>
          <w:rFonts w:ascii="Calibri" w:hAnsi="Calibri" w:eastAsia="Microsoft YaHei" w:cs="Calibri"/>
          <w:b/>
          <w:color w:val="4A5568"/>
          <w:sz w:val="26"/>
          <w:szCs w:val="26"/>
        </w:rPr>
        <w:t>2.2 Software-Defined Radio (SDR) — The Hardware Backbone</w:t>
      </w:r>
    </w:p>
    <w:p>
      <w:pPr>
        <w:pStyle w:val="Normal"/>
      </w:pPr>
      <w:r>
        <w:rPr>
          <w:rFonts w:ascii="Calibri" w:hAnsi="Calibri" w:eastAsia="Microsoft YaHei" w:cs="Calibri"/>
          <w:color w:val="1D2D3D"/>
          <w:sz w:val="22"/>
          <w:szCs w:val="22"/>
        </w:rPr>
        <w:t>The SDR subsystem is based on the Northrop Grumman Freedom 550, a proven multi-channel, software-defined radio that has been demonstrated in live exercises bridging MADL, IFDL, and Link 16. The Canadian variant (NG-F550-OSA-CA) is an OMS-compliant derivative with specific waveform licenses for the Arctic Horizon datalink ecosystem.</w:t>
      </w:r>
    </w:p>
    <w:tbl>
      <w:tblPr>
        <w:tblBorders>
          <w:top w:val="single" w:space="0"/>
          <w:left w:val="nil" w:space="0"/>
          <w:bottom w:val="single" w:space="0"/>
          <w:right w:val="nil" w:space="0"/>
          <w:insideH w:val="single" w:space="0"/>
          <w:insideV w:val="nil" w:space="0"/>
        </w:tblBorders>
        <w:tblW w:w="5000" w:type="pct"/>
        <w:tblLayout w:type="fixed"/>
      </w:tblPr>
      <w:tblGrid>
        <w:gridCol w:w="50"/>
        <w:gridCol w:w="70"/>
      </w:tblGrid>
      <w:tr>
        <w:trPr>
          <w:tblHeader w:val="1"/>
        </w:trPr>
        <w:tc>
          <w:tcPr>
            <w:tcW w:w="50" w:type="dxa"/>
            <w:shd w:val="clear" w:color="auto" w:fill="E8EDF2"/>
          </w:tcPr>
          <w:p>
            <w:pPr>
              <w:pStyle w:val="Normal"/>
              <w:jc w:val="center"/>
              <w:spacing w:before="40" w:after="40"/>
            </w:pPr>
            <w:r>
              <w:rPr>
                <w:rFonts w:ascii="Calibri" w:hAnsi="Calibri" w:eastAsia="Microsoft YaHei"/>
                <w:color w:val="1D2D3D"/>
                <w:sz w:val="20"/>
                <w:b/>
                <w:szCs w:val="20"/>
              </w:rPr>
              <w:t>Parameter</w:t>
            </w:r>
          </w:p>
        </w:tc>
        <w:tc>
          <w:tcPr>
            <w:tcW w:w="70" w:type="dxa"/>
            <w:shd w:val="clear" w:color="auto" w:fill="E8EDF2"/>
          </w:tcPr>
          <w:p>
            <w:pPr>
              <w:pStyle w:val="Normal"/>
              <w:jc w:val="center"/>
              <w:spacing w:before="40" w:after="40"/>
            </w:pPr>
            <w:r>
              <w:rPr>
                <w:rFonts w:ascii="Calibri" w:hAnsi="Calibri" w:eastAsia="Microsoft YaHei"/>
                <w:color w:val="1D2D3D"/>
                <w:sz w:val="20"/>
                <w:b/>
                <w:szCs w:val="20"/>
              </w:rPr>
              <w:t>Value</w:t>
            </w:r>
          </w:p>
        </w:tc>
      </w:tr>
      <w:tr>
        <w:tc>
          <w:tcPr>
            <w:tcW w:w="50" w:type="dxa"/>
          </w:tcPr>
          <w:p>
            <w:pPr>
              <w:pStyle w:val="Normal"/>
              <w:ind w:left="60"/>
              <w:spacing w:before="30" w:after="30"/>
            </w:pPr>
            <w:r>
              <w:rPr>
                <w:rFonts w:ascii="Calibri" w:hAnsi="Calibri" w:eastAsia="Microsoft YaHei"/>
                <w:color w:val="4A5568"/>
                <w:sz w:val="20"/>
                <w:szCs w:val="20"/>
              </w:rPr>
              <w:t>Frequency Range</w:t>
            </w:r>
          </w:p>
        </w:tc>
        <w:tc>
          <w:tcPr>
            <w:tcW w:w="70" w:type="dxa"/>
          </w:tcPr>
          <w:p>
            <w:pPr>
              <w:pStyle w:val="Normal"/>
              <w:ind w:left="60"/>
              <w:spacing w:before="30" w:after="30"/>
            </w:pPr>
            <w:r>
              <w:rPr>
                <w:rFonts w:ascii="Calibri" w:hAnsi="Calibri" w:eastAsia="Microsoft YaHei"/>
                <w:color w:val="4A5568"/>
                <w:sz w:val="20"/>
                <w:szCs w:val="20"/>
              </w:rPr>
              <w:t>0.5 MHz - 40 GHz (continuous coverage via 6 switchable RF front-ends)</w:t>
            </w:r>
          </w:p>
        </w:tc>
      </w:tr>
      <w:tr>
        <w:tc>
          <w:tcPr>
            <w:tcW w:w="50" w:type="dxa"/>
          </w:tcPr>
          <w:p>
            <w:pPr>
              <w:pStyle w:val="Normal"/>
              <w:ind w:left="60"/>
              <w:spacing w:before="30" w:after="30"/>
            </w:pPr>
            <w:r>
              <w:rPr>
                <w:rFonts w:ascii="Calibri" w:hAnsi="Calibri" w:eastAsia="Microsoft YaHei"/>
                <w:color w:val="4A5568"/>
                <w:sz w:val="20"/>
                <w:szCs w:val="20"/>
              </w:rPr>
              <w:t>Instantaneous Bandwidth</w:t>
            </w:r>
          </w:p>
        </w:tc>
        <w:tc>
          <w:tcPr>
            <w:tcW w:w="70" w:type="dxa"/>
          </w:tcPr>
          <w:p>
            <w:pPr>
              <w:pStyle w:val="Normal"/>
              <w:ind w:left="60"/>
              <w:spacing w:before="30" w:after="30"/>
            </w:pPr>
            <w:r>
              <w:rPr>
                <w:rFonts w:ascii="Calibri" w:hAnsi="Calibri" w:eastAsia="Microsoft YaHei"/>
                <w:color w:val="4A5568"/>
                <w:sz w:val="20"/>
                <w:szCs w:val="20"/>
              </w:rPr>
              <w:t>Up to 2 GHz per channel (4 GSPS ADC/DAC, 16-bit resolution)</w:t>
            </w:r>
          </w:p>
        </w:tc>
      </w:tr>
      <w:tr>
        <w:tc>
          <w:tcPr>
            <w:tcW w:w="50" w:type="dxa"/>
          </w:tcPr>
          <w:p>
            <w:pPr>
              <w:pStyle w:val="Normal"/>
              <w:ind w:left="60"/>
              <w:spacing w:before="30" w:after="30"/>
            </w:pPr>
            <w:r>
              <w:rPr>
                <w:rFonts w:ascii="Calibri" w:hAnsi="Calibri" w:eastAsia="Microsoft YaHei"/>
                <w:color w:val="4A5568"/>
                <w:sz w:val="20"/>
                <w:szCs w:val="20"/>
              </w:rPr>
              <w:t>Waveforms (Simultaneous)</w:t>
            </w:r>
          </w:p>
        </w:tc>
        <w:tc>
          <w:tcPr>
            <w:tcW w:w="70" w:type="dxa"/>
          </w:tcPr>
          <w:p>
            <w:pPr>
              <w:pStyle w:val="Normal"/>
              <w:ind w:left="60"/>
              <w:spacing w:before="30" w:after="30"/>
            </w:pPr>
            <w:r>
              <w:rPr>
                <w:rFonts w:ascii="Calibri" w:hAnsi="Calibri" w:eastAsia="Microsoft YaHei"/>
                <w:color w:val="4A5568"/>
                <w:sz w:val="20"/>
                <w:szCs w:val="20"/>
              </w:rPr>
              <w:t>MADL, IFDL, Link 16, TTNT, SATCOM (Ku/Ka), UHF/VHF, HAVE QUICK I/II</w:t>
            </w:r>
          </w:p>
        </w:tc>
      </w:tr>
      <w:tr>
        <w:tc>
          <w:tcPr>
            <w:tcW w:w="50" w:type="dxa"/>
          </w:tcPr>
          <w:p>
            <w:pPr>
              <w:pStyle w:val="Normal"/>
              <w:ind w:left="60"/>
              <w:spacing w:before="30" w:after="30"/>
            </w:pPr>
            <w:r>
              <w:rPr>
                <w:rFonts w:ascii="Calibri" w:hAnsi="Calibri" w:eastAsia="Microsoft YaHei"/>
                <w:color w:val="4A5568"/>
                <w:sz w:val="20"/>
                <w:szCs w:val="20"/>
              </w:rPr>
              <w:t>Modulation Schemes</w:t>
            </w:r>
          </w:p>
        </w:tc>
        <w:tc>
          <w:tcPr>
            <w:tcW w:w="70" w:type="dxa"/>
          </w:tcPr>
          <w:p>
            <w:pPr>
              <w:pStyle w:val="Normal"/>
              <w:ind w:left="60"/>
              <w:spacing w:before="30" w:after="30"/>
            </w:pPr>
            <w:r>
              <w:rPr>
                <w:rFonts w:ascii="Calibri" w:hAnsi="Calibri" w:eastAsia="Microsoft YaHei"/>
                <w:color w:val="4A5568"/>
                <w:sz w:val="20"/>
                <w:szCs w:val="20"/>
              </w:rPr>
              <w:t>OFDM, FSK, PSK (BPSK/QPSK/8PSK), QAM (16/64/256), DSSS, FHSS (software-defined)</w:t>
            </w:r>
          </w:p>
        </w:tc>
      </w:tr>
      <w:tr>
        <w:tc>
          <w:tcPr>
            <w:tcW w:w="50" w:type="dxa"/>
          </w:tcPr>
          <w:p>
            <w:pPr>
              <w:pStyle w:val="Normal"/>
              <w:ind w:left="60"/>
              <w:spacing w:before="30" w:after="30"/>
            </w:pPr>
            <w:r>
              <w:rPr>
                <w:rFonts w:ascii="Calibri" w:hAnsi="Calibri" w:eastAsia="Microsoft YaHei"/>
                <w:color w:val="4A5568"/>
                <w:sz w:val="20"/>
                <w:szCs w:val="20"/>
              </w:rPr>
              <w:t>LPI/LPD Support</w:t>
            </w:r>
          </w:p>
        </w:tc>
        <w:tc>
          <w:tcPr>
            <w:tcW w:w="70" w:type="dxa"/>
          </w:tcPr>
          <w:p>
            <w:pPr>
              <w:pStyle w:val="Normal"/>
              <w:ind w:left="60"/>
              <w:spacing w:before="30" w:after="30"/>
            </w:pPr>
            <w:r>
              <w:rPr>
                <w:rFonts w:ascii="Calibri" w:hAnsi="Calibri" w:eastAsia="Microsoft YaHei"/>
                <w:color w:val="4A5568"/>
                <w:sz w:val="20"/>
                <w:szCs w:val="20"/>
              </w:rPr>
              <w:t>Directional beamforming, frequency-hopping (10,000+ hops/sec), power control</w:t>
            </w:r>
          </w:p>
        </w:tc>
      </w:tr>
      <w:tr>
        <w:tc>
          <w:tcPr>
            <w:tcW w:w="50" w:type="dxa"/>
          </w:tcPr>
          <w:p>
            <w:pPr>
              <w:pStyle w:val="Normal"/>
              <w:ind w:left="60"/>
              <w:spacing w:before="30" w:after="30"/>
            </w:pPr>
            <w:r>
              <w:rPr>
                <w:rFonts w:ascii="Calibri" w:hAnsi="Calibri" w:eastAsia="Microsoft YaHei"/>
                <w:color w:val="4A5568"/>
                <w:sz w:val="20"/>
                <w:szCs w:val="20"/>
              </w:rPr>
              <w:t>Antenna Interface</w:t>
            </w:r>
          </w:p>
        </w:tc>
        <w:tc>
          <w:tcPr>
            <w:tcW w:w="70" w:type="dxa"/>
          </w:tcPr>
          <w:p>
            <w:pPr>
              <w:pStyle w:val="Normal"/>
              <w:ind w:left="60"/>
              <w:spacing w:before="30" w:after="30"/>
            </w:pPr>
            <w:r>
              <w:rPr>
                <w:rFonts w:ascii="Calibri" w:hAnsi="Calibri" w:eastAsia="Microsoft YaHei"/>
                <w:color w:val="4A5568"/>
                <w:sz w:val="20"/>
                <w:szCs w:val="20"/>
              </w:rPr>
              <w:t>4-port, electronically scanned array (ESA) with +/-60 deg azimuth, +/-45 deg elevation</w:t>
            </w:r>
          </w:p>
        </w:tc>
      </w:tr>
      <w:tr>
        <w:tc>
          <w:tcPr>
            <w:tcW w:w="50" w:type="dxa"/>
          </w:tcPr>
          <w:p>
            <w:pPr>
              <w:pStyle w:val="Normal"/>
              <w:ind w:left="60"/>
              <w:spacing w:before="30" w:after="30"/>
            </w:pPr>
            <w:r>
              <w:rPr>
                <w:rFonts w:ascii="Calibri" w:hAnsi="Calibri" w:eastAsia="Microsoft YaHei"/>
                <w:color w:val="4A5568"/>
                <w:sz w:val="20"/>
                <w:szCs w:val="20"/>
              </w:rPr>
              <w:t>Data Rates</w:t>
            </w:r>
          </w:p>
        </w:tc>
        <w:tc>
          <w:tcPr>
            <w:tcW w:w="70" w:type="dxa"/>
          </w:tcPr>
          <w:p>
            <w:pPr>
              <w:pStyle w:val="Normal"/>
              <w:ind w:left="60"/>
              <w:spacing w:before="30" w:after="30"/>
            </w:pPr>
            <w:r>
              <w:rPr>
                <w:rFonts w:ascii="Calibri" w:hAnsi="Calibri" w:eastAsia="Microsoft YaHei"/>
                <w:color w:val="4A5568"/>
                <w:sz w:val="20"/>
                <w:szCs w:val="20"/>
              </w:rPr>
              <w:t>100 Mbps (MADL), 31.6 kbps - 1 Mbps (Link 16), 20 Mbps (TTNT), 50 Mbps (SATCOM)</w:t>
            </w:r>
          </w:p>
        </w:tc>
      </w:tr>
      <w:tr>
        <w:tc>
          <w:tcPr>
            <w:tcW w:w="50" w:type="dxa"/>
          </w:tcPr>
          <w:p>
            <w:pPr>
              <w:pStyle w:val="Normal"/>
              <w:ind w:left="60"/>
              <w:spacing w:before="30" w:after="30"/>
            </w:pPr>
            <w:r>
              <w:rPr>
                <w:rFonts w:ascii="Calibri" w:hAnsi="Calibri" w:eastAsia="Microsoft YaHei"/>
                <w:color w:val="4A5568"/>
                <w:sz w:val="20"/>
                <w:szCs w:val="20"/>
              </w:rPr>
              <w:t>Weight</w:t>
            </w:r>
          </w:p>
        </w:tc>
        <w:tc>
          <w:tcPr>
            <w:tcW w:w="70" w:type="dxa"/>
          </w:tcPr>
          <w:p>
            <w:pPr>
              <w:pStyle w:val="Normal"/>
              <w:ind w:left="60"/>
              <w:spacing w:before="30" w:after="30"/>
            </w:pPr>
            <w:r>
              <w:rPr>
                <w:rFonts w:ascii="Calibri" w:hAnsi="Calibri" w:eastAsia="Microsoft YaHei"/>
                <w:color w:val="4A5568"/>
                <w:sz w:val="20"/>
                <w:szCs w:val="20"/>
              </w:rPr>
              <w:t>9.2 kg (20.3 lb) including RF front-ends</w:t>
            </w:r>
          </w:p>
        </w:tc>
      </w:tr>
      <w:tr>
        <w:tc>
          <w:tcPr>
            <w:tcW w:w="50" w:type="dxa"/>
          </w:tcPr>
          <w:p>
            <w:pPr>
              <w:pStyle w:val="Normal"/>
              <w:ind w:left="60"/>
              <w:spacing w:before="30" w:after="30"/>
            </w:pPr>
            <w:r>
              <w:rPr>
                <w:rFonts w:ascii="Calibri" w:hAnsi="Calibri" w:eastAsia="Microsoft YaHei"/>
                <w:color w:val="4A5568"/>
                <w:sz w:val="20"/>
                <w:szCs w:val="20"/>
              </w:rPr>
              <w:t>Power Consumption</w:t>
            </w:r>
          </w:p>
        </w:tc>
        <w:tc>
          <w:tcPr>
            <w:tcW w:w="70" w:type="dxa"/>
          </w:tcPr>
          <w:p>
            <w:pPr>
              <w:pStyle w:val="Normal"/>
              <w:ind w:left="60"/>
              <w:spacing w:before="30" w:after="30"/>
            </w:pPr>
            <w:r>
              <w:rPr>
                <w:rFonts w:ascii="Calibri" w:hAnsi="Calibri" w:eastAsia="Microsoft YaHei"/>
                <w:color w:val="4A5568"/>
                <w:sz w:val="20"/>
                <w:szCs w:val="20"/>
              </w:rPr>
              <w:t>28 VDC, 180 W (peak TX), 95 W (receive/monitor mode)</w:t>
            </w:r>
          </w:p>
        </w:tc>
      </w:tr>
    </w:tbl>
    <w:p>
      <w:pPr>
        <w:pStyle w:val="Heading3"/>
      </w:pPr>
      <w:r>
        <w:rPr>
          <w:rFonts w:ascii="Calibri" w:hAnsi="Calibri" w:eastAsia="Microsoft YaHei" w:cs="Calibri"/>
          <w:b/>
          <w:color w:val="4A5568"/>
          <w:sz w:val="26"/>
          <w:szCs w:val="26"/>
        </w:rPr>
        <w:t>2.3 MADL Terminal — Receiving the F-35 Whisper</w:t>
      </w:r>
    </w:p>
    <w:p>
      <w:pPr>
        <w:pStyle w:val="Normal"/>
      </w:pPr>
      <w:r>
        <w:rPr>
          <w:rFonts w:ascii="Calibri" w:hAnsi="Calibri" w:eastAsia="Microsoft YaHei" w:cs="Calibri"/>
          <w:color w:val="1D2D3D"/>
          <w:sz w:val="22"/>
          <w:szCs w:val="22"/>
        </w:rPr>
        <w:t>The MADL terminal is the most technically challenging component of Gateway One. The Multifunction Advanced Data Link was developed by Northrop Grumman as part of the F-35's AN/ASQ-242 Communications, Navigation and Identification (CNI) avionics suite. It is a directional, Ku-band (12-18 GHz) datalink that uses active phased-array antennas for narrow-beam transmission with fast frequency-hopping — providing low probability of intercept/detection essential for fifth-generation stealth operations.</w:t>
      </w:r>
    </w:p>
    <w:p>
      <w:pPr>
        <w:pStyle w:val="Normal"/>
      </w:pPr>
      <w:r>
        <w:rPr>
          <w:rFonts w:ascii="Calibri" w:hAnsi="Calibri" w:eastAsia="Microsoft YaHei" w:cs="Calibri"/>
          <w:color w:val="1D2D3D"/>
          <w:sz w:val="22"/>
          <w:szCs w:val="22"/>
        </w:rPr>
        <w:t>The MADL waveform is ITAR-controlled. Canada must negotiate access under a Technology Sharing Agreement (TSA), as the United Kingdom and Netherlands have done. The Canadian TSA would provide the MADL waveform specification (Version 3.2) and the JREAP-C encapsulation format, but not the F-35 CNI source code — consistent with Skunk Works' OSG model, where the gateway translates MADL data without requiring F-35 avionics modification.</w:t>
      </w:r>
    </w:p>
    <w:tbl>
      <w:tblPr>
        <w:tblBorders>
          <w:top w:val="single" w:space="0"/>
          <w:left w:val="nil" w:space="0"/>
          <w:bottom w:val="single" w:space="0"/>
          <w:right w:val="nil" w:space="0"/>
          <w:insideH w:val="single" w:space="0"/>
          <w:insideV w:val="nil" w:space="0"/>
        </w:tblBorders>
        <w:tblW w:w="5000" w:type="pct"/>
        <w:tblLayout w:type="fixed"/>
      </w:tblPr>
      <w:tblGrid>
        <w:gridCol w:w="50"/>
        <w:gridCol w:w="70"/>
      </w:tblGrid>
      <w:tr>
        <w:trPr>
          <w:tblHeader w:val="1"/>
        </w:trPr>
        <w:tc>
          <w:tcPr>
            <w:tcW w:w="50" w:type="dxa"/>
            <w:shd w:val="clear" w:color="auto" w:fill="E8EDF2"/>
          </w:tcPr>
          <w:p>
            <w:pPr>
              <w:pStyle w:val="Normal"/>
              <w:jc w:val="center"/>
              <w:spacing w:before="40" w:after="40"/>
            </w:pPr>
            <w:r>
              <w:rPr>
                <w:rFonts w:ascii="Calibri" w:hAnsi="Calibri" w:eastAsia="Microsoft YaHei"/>
                <w:color w:val="1D2D3D"/>
                <w:sz w:val="20"/>
                <w:b/>
                <w:szCs w:val="20"/>
              </w:rPr>
              <w:t>Parameter</w:t>
            </w:r>
          </w:p>
        </w:tc>
        <w:tc>
          <w:tcPr>
            <w:tcW w:w="70" w:type="dxa"/>
            <w:shd w:val="clear" w:color="auto" w:fill="E8EDF2"/>
          </w:tcPr>
          <w:p>
            <w:pPr>
              <w:pStyle w:val="Normal"/>
              <w:jc w:val="center"/>
              <w:spacing w:before="40" w:after="40"/>
            </w:pPr>
            <w:r>
              <w:rPr>
                <w:rFonts w:ascii="Calibri" w:hAnsi="Calibri" w:eastAsia="Microsoft YaHei"/>
                <w:color w:val="1D2D3D"/>
                <w:sz w:val="20"/>
                <w:b/>
                <w:szCs w:val="20"/>
              </w:rPr>
              <w:t>Value</w:t>
            </w:r>
          </w:p>
        </w:tc>
      </w:tr>
      <w:tr>
        <w:tc>
          <w:tcPr>
            <w:tcW w:w="50" w:type="dxa"/>
          </w:tcPr>
          <w:p>
            <w:pPr>
              <w:pStyle w:val="Normal"/>
              <w:ind w:left="60"/>
              <w:spacing w:before="30" w:after="30"/>
            </w:pPr>
            <w:r>
              <w:rPr>
                <w:rFonts w:ascii="Calibri" w:hAnsi="Calibri" w:eastAsia="Microsoft YaHei"/>
                <w:color w:val="4A5568"/>
                <w:sz w:val="20"/>
                <w:szCs w:val="20"/>
              </w:rPr>
              <w:t>Frequency Band</w:t>
            </w:r>
          </w:p>
        </w:tc>
        <w:tc>
          <w:tcPr>
            <w:tcW w:w="70" w:type="dxa"/>
          </w:tcPr>
          <w:p>
            <w:pPr>
              <w:pStyle w:val="Normal"/>
              <w:ind w:left="60"/>
              <w:spacing w:before="30" w:after="30"/>
            </w:pPr>
            <w:r>
              <w:rPr>
                <w:rFonts w:ascii="Calibri" w:hAnsi="Calibri" w:eastAsia="Microsoft YaHei"/>
                <w:color w:val="4A5568"/>
                <w:sz w:val="20"/>
                <w:szCs w:val="20"/>
              </w:rPr>
              <w:t>Ku-band: 12-18 GHz (ITAR-controlled allocation)</w:t>
            </w:r>
          </w:p>
        </w:tc>
      </w:tr>
      <w:tr>
        <w:tc>
          <w:tcPr>
            <w:tcW w:w="50" w:type="dxa"/>
          </w:tcPr>
          <w:p>
            <w:pPr>
              <w:pStyle w:val="Normal"/>
              <w:ind w:left="60"/>
              <w:spacing w:before="30" w:after="30"/>
            </w:pPr>
            <w:r>
              <w:rPr>
                <w:rFonts w:ascii="Calibri" w:hAnsi="Calibri" w:eastAsia="Microsoft YaHei"/>
                <w:color w:val="4A5568"/>
                <w:sz w:val="20"/>
                <w:szCs w:val="20"/>
              </w:rPr>
              <w:t>Data Rate</w:t>
            </w:r>
          </w:p>
        </w:tc>
        <w:tc>
          <w:tcPr>
            <w:tcW w:w="70" w:type="dxa"/>
          </w:tcPr>
          <w:p>
            <w:pPr>
              <w:pStyle w:val="Normal"/>
              <w:ind w:left="60"/>
              <w:spacing w:before="30" w:after="30"/>
            </w:pPr>
            <w:r>
              <w:rPr>
                <w:rFonts w:ascii="Calibri" w:hAnsi="Calibri" w:eastAsia="Microsoft YaHei"/>
                <w:color w:val="4A5568"/>
                <w:sz w:val="20"/>
                <w:szCs w:val="20"/>
              </w:rPr>
              <w:t>Up to 100 Mbps (directional burst)</w:t>
            </w:r>
          </w:p>
        </w:tc>
      </w:tr>
      <w:tr>
        <w:tc>
          <w:tcPr>
            <w:tcW w:w="50" w:type="dxa"/>
          </w:tcPr>
          <w:p>
            <w:pPr>
              <w:pStyle w:val="Normal"/>
              <w:ind w:left="60"/>
              <w:spacing w:before="30" w:after="30"/>
            </w:pPr>
            <w:r>
              <w:rPr>
                <w:rFonts w:ascii="Calibri" w:hAnsi="Calibri" w:eastAsia="Microsoft YaHei"/>
                <w:color w:val="4A5568"/>
                <w:sz w:val="20"/>
                <w:szCs w:val="20"/>
              </w:rPr>
              <w:t>Range</w:t>
            </w:r>
          </w:p>
        </w:tc>
        <w:tc>
          <w:tcPr>
            <w:tcW w:w="70" w:type="dxa"/>
          </w:tcPr>
          <w:p>
            <w:pPr>
              <w:pStyle w:val="Normal"/>
              <w:ind w:left="60"/>
              <w:spacing w:before="30" w:after="30"/>
            </w:pPr>
            <w:r>
              <w:rPr>
                <w:rFonts w:ascii="Calibri" w:hAnsi="Calibri" w:eastAsia="Microsoft YaHei"/>
                <w:color w:val="4A5568"/>
                <w:sz w:val="20"/>
                <w:szCs w:val="20"/>
              </w:rPr>
              <w:t>50-100 nm direct; up to 200 nm with gateway relay extension</w:t>
            </w:r>
          </w:p>
        </w:tc>
      </w:tr>
      <w:tr>
        <w:tc>
          <w:tcPr>
            <w:tcW w:w="50" w:type="dxa"/>
          </w:tcPr>
          <w:p>
            <w:pPr>
              <w:pStyle w:val="Normal"/>
              <w:ind w:left="60"/>
              <w:spacing w:before="30" w:after="30"/>
            </w:pPr>
            <w:r>
              <w:rPr>
                <w:rFonts w:ascii="Calibri" w:hAnsi="Calibri" w:eastAsia="Microsoft YaHei"/>
                <w:color w:val="4A5568"/>
                <w:sz w:val="20"/>
                <w:szCs w:val="20"/>
              </w:rPr>
              <w:t>Antenna Configuration</w:t>
            </w:r>
          </w:p>
        </w:tc>
        <w:tc>
          <w:tcPr>
            <w:tcW w:w="70" w:type="dxa"/>
          </w:tcPr>
          <w:p>
            <w:pPr>
              <w:pStyle w:val="Normal"/>
              <w:ind w:left="60"/>
              <w:spacing w:before="30" w:after="30"/>
            </w:pPr>
            <w:r>
              <w:rPr>
                <w:rFonts w:ascii="Calibri" w:hAnsi="Calibri" w:eastAsia="Microsoft YaHei"/>
                <w:color w:val="4A5568"/>
                <w:sz w:val="20"/>
                <w:szCs w:val="20"/>
              </w:rPr>
              <w:t>6 active phased-array panels (spherical coverage), 128 elements each</w:t>
            </w:r>
          </w:p>
        </w:tc>
      </w:tr>
      <w:tr>
        <w:tc>
          <w:tcPr>
            <w:tcW w:w="50" w:type="dxa"/>
          </w:tcPr>
          <w:p>
            <w:pPr>
              <w:pStyle w:val="Normal"/>
              <w:ind w:left="60"/>
              <w:spacing w:before="30" w:after="30"/>
            </w:pPr>
            <w:r>
              <w:rPr>
                <w:rFonts w:ascii="Calibri" w:hAnsi="Calibri" w:eastAsia="Microsoft YaHei"/>
                <w:color w:val="4A5568"/>
                <w:sz w:val="20"/>
                <w:szCs w:val="20"/>
              </w:rPr>
              <w:t>LPI/LPD Features</w:t>
            </w:r>
          </w:p>
        </w:tc>
        <w:tc>
          <w:tcPr>
            <w:tcW w:w="70" w:type="dxa"/>
          </w:tcPr>
          <w:p>
            <w:pPr>
              <w:pStyle w:val="Normal"/>
              <w:ind w:left="60"/>
              <w:spacing w:before="30" w:after="30"/>
            </w:pPr>
            <w:r>
              <w:rPr>
                <w:rFonts w:ascii="Calibri" w:hAnsi="Calibri" w:eastAsia="Microsoft YaHei"/>
                <w:color w:val="4A5568"/>
                <w:sz w:val="20"/>
                <w:szCs w:val="20"/>
              </w:rPr>
              <w:t>Directional beam (3 dB beamwidth: 12 deg), fast hopping (10,000+ hops/sec), spread-spectrum</w:t>
            </w:r>
          </w:p>
        </w:tc>
      </w:tr>
      <w:tr>
        <w:tc>
          <w:tcPr>
            <w:tcW w:w="50" w:type="dxa"/>
          </w:tcPr>
          <w:p>
            <w:pPr>
              <w:pStyle w:val="Normal"/>
              <w:ind w:left="60"/>
              <w:spacing w:before="30" w:after="30"/>
            </w:pPr>
            <w:r>
              <w:rPr>
                <w:rFonts w:ascii="Calibri" w:hAnsi="Calibri" w:eastAsia="Microsoft YaHei"/>
                <w:color w:val="4A5568"/>
                <w:sz w:val="20"/>
                <w:szCs w:val="20"/>
              </w:rPr>
              <w:t>Anti-Jam</w:t>
            </w:r>
          </w:p>
        </w:tc>
        <w:tc>
          <w:tcPr>
            <w:tcW w:w="70" w:type="dxa"/>
          </w:tcPr>
          <w:p>
            <w:pPr>
              <w:pStyle w:val="Normal"/>
              <w:ind w:left="60"/>
              <w:spacing w:before="30" w:after="30"/>
            </w:pPr>
            <w:r>
              <w:rPr>
                <w:rFonts w:ascii="Calibri" w:hAnsi="Calibri" w:eastAsia="Microsoft YaHei"/>
                <w:color w:val="4A5568"/>
                <w:sz w:val="20"/>
                <w:szCs w:val="20"/>
              </w:rPr>
              <w:t>Adaptive null-steering (4 nulls simultaneously), 30 dB J/S improvement</w:t>
            </w:r>
          </w:p>
        </w:tc>
      </w:tr>
      <w:tr>
        <w:tc>
          <w:tcPr>
            <w:tcW w:w="50" w:type="dxa"/>
          </w:tcPr>
          <w:p>
            <w:pPr>
              <w:pStyle w:val="Normal"/>
              <w:ind w:left="60"/>
              <w:spacing w:before="30" w:after="30"/>
            </w:pPr>
            <w:r>
              <w:rPr>
                <w:rFonts w:ascii="Calibri" w:hAnsi="Calibri" w:eastAsia="Microsoft YaHei"/>
                <w:color w:val="4A5568"/>
                <w:sz w:val="20"/>
                <w:szCs w:val="20"/>
              </w:rPr>
              <w:t>Receive Sensitivity</w:t>
            </w:r>
          </w:p>
        </w:tc>
        <w:tc>
          <w:tcPr>
            <w:tcW w:w="70" w:type="dxa"/>
          </w:tcPr>
          <w:p>
            <w:pPr>
              <w:pStyle w:val="Normal"/>
              <w:ind w:left="60"/>
              <w:spacing w:before="30" w:after="30"/>
            </w:pPr>
            <w:r>
              <w:rPr>
                <w:rFonts w:ascii="Calibri" w:hAnsi="Calibri" w:eastAsia="Microsoft YaHei"/>
                <w:color w:val="4A5568"/>
                <w:sz w:val="20"/>
                <w:szCs w:val="20"/>
              </w:rPr>
              <w:t>-105 dBm (at 100 Mbps, BER &lt; 1E-6)</w:t>
            </w:r>
          </w:p>
        </w:tc>
      </w:tr>
    </w:tbl>
    <w:p>
      <w:pPr>
        <w:pStyle w:val="Heading3"/>
      </w:pPr>
      <w:r>
        <w:rPr>
          <w:rFonts w:ascii="Calibri" w:hAnsi="Calibri" w:eastAsia="Microsoft YaHei" w:cs="Calibri"/>
          <w:b/>
          <w:color w:val="4A5568"/>
          <w:sz w:val="26"/>
          <w:szCs w:val="26"/>
        </w:rPr>
        <w:t>2.4 Link 16 Terminal (MIDS-LVT-2 Canadian Variant)</w:t>
      </w:r>
    </w:p>
    <w:p>
      <w:pPr>
        <w:pStyle w:val="Normal"/>
      </w:pPr>
      <w:r>
        <w:rPr>
          <w:rFonts w:ascii="Calibri" w:hAnsi="Calibri" w:eastAsia="Microsoft YaHei" w:cs="Calibri"/>
          <w:color w:val="1D2D3D"/>
          <w:sz w:val="22"/>
          <w:szCs w:val="22"/>
        </w:rPr>
        <w:t>The Link 16 terminal provides NATO-standard connectivity to the Gripen E, ground C2 systems, and allied forces. Gateway One uses the L3Harris MIDS-LVT(2) terminal in a Canadian configuration (L3H-MIDS-LVT-2-CA) with enhanced throughput (1.2 Mbps) and full J-series message compatibility.</w:t>
      </w:r>
    </w:p>
    <w:tbl>
      <w:tblPr>
        <w:tblBorders>
          <w:top w:val="single" w:space="0"/>
          <w:left w:val="nil" w:space="0"/>
          <w:bottom w:val="single" w:space="0"/>
          <w:right w:val="nil" w:space="0"/>
          <w:insideH w:val="single" w:space="0"/>
          <w:insideV w:val="nil" w:space="0"/>
        </w:tblBorders>
        <w:tblW w:w="5000" w:type="pct"/>
        <w:tblLayout w:type="fixed"/>
      </w:tblPr>
      <w:tblGrid>
        <w:gridCol w:w="50"/>
        <w:gridCol w:w="70"/>
      </w:tblGrid>
      <w:tr>
        <w:trPr>
          <w:tblHeader w:val="1"/>
        </w:trPr>
        <w:tc>
          <w:tcPr>
            <w:tcW w:w="50" w:type="dxa"/>
            <w:shd w:val="clear" w:color="auto" w:fill="E8EDF2"/>
          </w:tcPr>
          <w:p>
            <w:pPr>
              <w:pStyle w:val="Normal"/>
              <w:jc w:val="center"/>
              <w:spacing w:before="40" w:after="40"/>
            </w:pPr>
            <w:r>
              <w:rPr>
                <w:rFonts w:ascii="Calibri" w:hAnsi="Calibri" w:eastAsia="Microsoft YaHei"/>
                <w:color w:val="1D2D3D"/>
                <w:sz w:val="20"/>
                <w:b/>
                <w:szCs w:val="20"/>
              </w:rPr>
              <w:t>Parameter</w:t>
            </w:r>
          </w:p>
        </w:tc>
        <w:tc>
          <w:tcPr>
            <w:tcW w:w="70" w:type="dxa"/>
            <w:shd w:val="clear" w:color="auto" w:fill="E8EDF2"/>
          </w:tcPr>
          <w:p>
            <w:pPr>
              <w:pStyle w:val="Normal"/>
              <w:jc w:val="center"/>
              <w:spacing w:before="40" w:after="40"/>
            </w:pPr>
            <w:r>
              <w:rPr>
                <w:rFonts w:ascii="Calibri" w:hAnsi="Calibri" w:eastAsia="Microsoft YaHei"/>
                <w:color w:val="1D2D3D"/>
                <w:sz w:val="20"/>
                <w:b/>
                <w:szCs w:val="20"/>
              </w:rPr>
              <w:t>Value</w:t>
            </w:r>
          </w:p>
        </w:tc>
      </w:tr>
      <w:tr>
        <w:tc>
          <w:tcPr>
            <w:tcW w:w="50" w:type="dxa"/>
          </w:tcPr>
          <w:p>
            <w:pPr>
              <w:pStyle w:val="Normal"/>
              <w:ind w:left="60"/>
              <w:spacing w:before="30" w:after="30"/>
            </w:pPr>
            <w:r>
              <w:rPr>
                <w:rFonts w:ascii="Calibri" w:hAnsi="Calibri" w:eastAsia="Microsoft YaHei"/>
                <w:color w:val="4A5568"/>
                <w:sz w:val="20"/>
                <w:szCs w:val="20"/>
              </w:rPr>
              <w:t>Frequency</w:t>
            </w:r>
          </w:p>
        </w:tc>
        <w:tc>
          <w:tcPr>
            <w:tcW w:w="70" w:type="dxa"/>
          </w:tcPr>
          <w:p>
            <w:pPr>
              <w:pStyle w:val="Normal"/>
              <w:ind w:left="60"/>
              <w:spacing w:before="30" w:after="30"/>
            </w:pPr>
            <w:r>
              <w:rPr>
                <w:rFonts w:ascii="Calibri" w:hAnsi="Calibri" w:eastAsia="Microsoft YaHei"/>
                <w:color w:val="4A5568"/>
                <w:sz w:val="20"/>
                <w:szCs w:val="20"/>
              </w:rPr>
              <w:t>960-1215 MHz (L-band)</w:t>
            </w:r>
          </w:p>
        </w:tc>
      </w:tr>
      <w:tr>
        <w:tc>
          <w:tcPr>
            <w:tcW w:w="50" w:type="dxa"/>
          </w:tcPr>
          <w:p>
            <w:pPr>
              <w:pStyle w:val="Normal"/>
              <w:ind w:left="60"/>
              <w:spacing w:before="30" w:after="30"/>
            </w:pPr>
            <w:r>
              <w:rPr>
                <w:rFonts w:ascii="Calibri" w:hAnsi="Calibri" w:eastAsia="Microsoft YaHei"/>
                <w:color w:val="4A5568"/>
                <w:sz w:val="20"/>
                <w:szCs w:val="20"/>
              </w:rPr>
              <w:t>Data Rate</w:t>
            </w:r>
          </w:p>
        </w:tc>
        <w:tc>
          <w:tcPr>
            <w:tcW w:w="70" w:type="dxa"/>
          </w:tcPr>
          <w:p>
            <w:pPr>
              <w:pStyle w:val="Normal"/>
              <w:ind w:left="60"/>
              <w:spacing w:before="30" w:after="30"/>
            </w:pPr>
            <w:r>
              <w:rPr>
                <w:rFonts w:ascii="Calibri" w:hAnsi="Calibri" w:eastAsia="Microsoft YaHei"/>
                <w:color w:val="4A5568"/>
                <w:sz w:val="20"/>
                <w:szCs w:val="20"/>
              </w:rPr>
              <w:t>31.6 kbps (standard) / 1.2 Mbps (enhanced throughput, BU2 firmware)</w:t>
            </w:r>
          </w:p>
        </w:tc>
      </w:tr>
      <w:tr>
        <w:tc>
          <w:tcPr>
            <w:tcW w:w="50" w:type="dxa"/>
          </w:tcPr>
          <w:p>
            <w:pPr>
              <w:pStyle w:val="Normal"/>
              <w:ind w:left="60"/>
              <w:spacing w:before="30" w:after="30"/>
            </w:pPr>
            <w:r>
              <w:rPr>
                <w:rFonts w:ascii="Calibri" w:hAnsi="Calibri" w:eastAsia="Microsoft YaHei"/>
                <w:color w:val="4A5568"/>
                <w:sz w:val="20"/>
                <w:szCs w:val="20"/>
              </w:rPr>
              <w:t>Output Power</w:t>
            </w:r>
          </w:p>
        </w:tc>
        <w:tc>
          <w:tcPr>
            <w:tcW w:w="70" w:type="dxa"/>
          </w:tcPr>
          <w:p>
            <w:pPr>
              <w:pStyle w:val="Normal"/>
              <w:ind w:left="60"/>
              <w:spacing w:before="30" w:after="30"/>
            </w:pPr>
            <w:r>
              <w:rPr>
                <w:rFonts w:ascii="Calibri" w:hAnsi="Calibri" w:eastAsia="Microsoft YaHei"/>
                <w:color w:val="4A5568"/>
                <w:sz w:val="20"/>
                <w:szCs w:val="20"/>
              </w:rPr>
              <w:t>1 W / 25 W / 200 W selectable (HPA-200 interface)</w:t>
            </w:r>
          </w:p>
        </w:tc>
      </w:tr>
      <w:tr>
        <w:tc>
          <w:tcPr>
            <w:tcW w:w="50" w:type="dxa"/>
          </w:tcPr>
          <w:p>
            <w:pPr>
              <w:pStyle w:val="Normal"/>
              <w:ind w:left="60"/>
              <w:spacing w:before="30" w:after="30"/>
            </w:pPr>
            <w:r>
              <w:rPr>
                <w:rFonts w:ascii="Calibri" w:hAnsi="Calibri" w:eastAsia="Microsoft YaHei"/>
                <w:color w:val="4A5568"/>
                <w:sz w:val="20"/>
                <w:szCs w:val="20"/>
              </w:rPr>
              <w:t>TDMA</w:t>
            </w:r>
          </w:p>
        </w:tc>
        <w:tc>
          <w:tcPr>
            <w:tcW w:w="70" w:type="dxa"/>
          </w:tcPr>
          <w:p>
            <w:pPr>
              <w:pStyle w:val="Normal"/>
              <w:ind w:left="60"/>
              <w:spacing w:before="30" w:after="30"/>
            </w:pPr>
            <w:r>
              <w:rPr>
                <w:rFonts w:ascii="Calibri" w:hAnsi="Calibri" w:eastAsia="Microsoft YaHei"/>
                <w:color w:val="4A5568"/>
                <w:sz w:val="20"/>
                <w:szCs w:val="20"/>
              </w:rPr>
              <w:t>128 time slots/sec, network participation group (NPG) selectable</w:t>
            </w:r>
          </w:p>
        </w:tc>
      </w:tr>
      <w:tr>
        <w:tc>
          <w:tcPr>
            <w:tcW w:w="50" w:type="dxa"/>
          </w:tcPr>
          <w:p>
            <w:pPr>
              <w:pStyle w:val="Normal"/>
              <w:ind w:left="60"/>
              <w:spacing w:before="30" w:after="30"/>
            </w:pPr>
            <w:r>
              <w:rPr>
                <w:rFonts w:ascii="Calibri" w:hAnsi="Calibri" w:eastAsia="Microsoft YaHei"/>
                <w:color w:val="4A5568"/>
                <w:sz w:val="20"/>
                <w:szCs w:val="20"/>
              </w:rPr>
              <w:t>Range</w:t>
            </w:r>
          </w:p>
        </w:tc>
        <w:tc>
          <w:tcPr>
            <w:tcW w:w="70" w:type="dxa"/>
          </w:tcPr>
          <w:p>
            <w:pPr>
              <w:pStyle w:val="Normal"/>
              <w:ind w:left="60"/>
              <w:spacing w:before="30" w:after="30"/>
            </w:pPr>
            <w:r>
              <w:rPr>
                <w:rFonts w:ascii="Calibri" w:hAnsi="Calibri" w:eastAsia="Microsoft YaHei"/>
                <w:color w:val="4A5568"/>
                <w:sz w:val="20"/>
                <w:szCs w:val="20"/>
              </w:rPr>
              <w:t>300+ nm (air-to-air), 200+ nm (air-to-ground)</w:t>
            </w:r>
          </w:p>
        </w:tc>
      </w:tr>
      <w:tr>
        <w:tc>
          <w:tcPr>
            <w:tcW w:w="50" w:type="dxa"/>
          </w:tcPr>
          <w:p>
            <w:pPr>
              <w:pStyle w:val="Normal"/>
              <w:ind w:left="60"/>
              <w:spacing w:before="30" w:after="30"/>
            </w:pPr>
            <w:r>
              <w:rPr>
                <w:rFonts w:ascii="Calibri" w:hAnsi="Calibri" w:eastAsia="Microsoft YaHei"/>
                <w:color w:val="4A5568"/>
                <w:sz w:val="20"/>
                <w:szCs w:val="20"/>
              </w:rPr>
              <w:t>Host Interface</w:t>
            </w:r>
          </w:p>
        </w:tc>
        <w:tc>
          <w:tcPr>
            <w:tcW w:w="70" w:type="dxa"/>
          </w:tcPr>
          <w:p>
            <w:pPr>
              <w:pStyle w:val="Normal"/>
              <w:ind w:left="60"/>
              <w:spacing w:before="30" w:after="30"/>
            </w:pPr>
            <w:r>
              <w:rPr>
                <w:rFonts w:ascii="Calibri" w:hAnsi="Calibri" w:eastAsia="Microsoft YaHei"/>
                <w:color w:val="4A5568"/>
                <w:sz w:val="20"/>
                <w:szCs w:val="20"/>
              </w:rPr>
              <w:t>Dual ADDSI (enhanced X.25 + Ethernet 10/100/1000Base-T), MIL-STD-1553B</w:t>
            </w:r>
          </w:p>
        </w:tc>
      </w:tr>
      <w:tr>
        <w:tc>
          <w:tcPr>
            <w:tcW w:w="50" w:type="dxa"/>
          </w:tcPr>
          <w:p>
            <w:pPr>
              <w:pStyle w:val="Normal"/>
              <w:ind w:left="60"/>
              <w:spacing w:before="30" w:after="30"/>
            </w:pPr>
            <w:r>
              <w:rPr>
                <w:rFonts w:ascii="Calibri" w:hAnsi="Calibri" w:eastAsia="Microsoft YaHei"/>
                <w:color w:val="4A5568"/>
                <w:sz w:val="20"/>
                <w:szCs w:val="20"/>
              </w:rPr>
              <w:t>Terminal Weight</w:t>
            </w:r>
          </w:p>
        </w:tc>
        <w:tc>
          <w:tcPr>
            <w:tcW w:w="70" w:type="dxa"/>
          </w:tcPr>
          <w:p>
            <w:pPr>
              <w:pStyle w:val="Normal"/>
              <w:ind w:left="60"/>
              <w:spacing w:before="30" w:after="30"/>
            </w:pPr>
            <w:r>
              <w:rPr>
                <w:rFonts w:ascii="Calibri" w:hAnsi="Calibri" w:eastAsia="Microsoft YaHei"/>
                <w:color w:val="4A5568"/>
                <w:sz w:val="20"/>
                <w:szCs w:val="20"/>
              </w:rPr>
              <w:t>36.7 kg total (17.4 kg terminal + 11.6 kg PSU + 4.6 kg cooler + 3.1 kg mount)</w:t>
            </w:r>
          </w:p>
        </w:tc>
      </w:tr>
      <w:tr>
        <w:tc>
          <w:tcPr>
            <w:tcW w:w="50" w:type="dxa"/>
          </w:tcPr>
          <w:p>
            <w:pPr>
              <w:pStyle w:val="Normal"/>
              <w:ind w:left="60"/>
              <w:spacing w:before="30" w:after="30"/>
            </w:pPr>
            <w:r>
              <w:rPr>
                <w:rFonts w:ascii="Calibri" w:hAnsi="Calibri" w:eastAsia="Microsoft YaHei"/>
                <w:color w:val="4A5568"/>
                <w:sz w:val="20"/>
                <w:szCs w:val="20"/>
              </w:rPr>
              <w:t>Crypto</w:t>
            </w:r>
          </w:p>
        </w:tc>
        <w:tc>
          <w:tcPr>
            <w:tcW w:w="70" w:type="dxa"/>
          </w:tcPr>
          <w:p>
            <w:pPr>
              <w:pStyle w:val="Normal"/>
              <w:ind w:left="60"/>
              <w:spacing w:before="30" w:after="30"/>
            </w:pPr>
            <w:r>
              <w:rPr>
                <w:rFonts w:ascii="Calibri" w:hAnsi="Calibri" w:eastAsia="Microsoft YaHei"/>
                <w:color w:val="4A5568"/>
                <w:sz w:val="20"/>
                <w:szCs w:val="20"/>
              </w:rPr>
              <w:t>DS-101 keyfill, SKL modern crypto module, AN/ARN-155(V) AES-256</w:t>
            </w:r>
          </w:p>
        </w:tc>
      </w:tr>
    </w:tbl>
    <w:p>
      <w:pPr>
        <w:pStyle w:val="Heading3"/>
      </w:pPr>
      <w:r>
        <w:rPr>
          <w:rFonts w:ascii="Calibri" w:hAnsi="Calibri" w:eastAsia="Microsoft YaHei" w:cs="Calibri"/>
          <w:b/>
          <w:color w:val="4A5568"/>
          <w:sz w:val="26"/>
          <w:szCs w:val="26"/>
        </w:rPr>
        <w:t>2.5 TTNT Modem — The High-Bandwidth Mesh</w:t>
      </w:r>
    </w:p>
    <w:p>
      <w:pPr>
        <w:pStyle w:val="Normal"/>
      </w:pPr>
      <w:r>
        <w:rPr>
          <w:rFonts w:ascii="Calibri" w:hAnsi="Calibri" w:eastAsia="Microsoft YaHei" w:cs="Calibri"/>
          <w:color w:val="1D2D3D"/>
          <w:sz w:val="22"/>
          <w:szCs w:val="22"/>
        </w:rPr>
        <w:t>The Tactical Targeting Network Technology (TTNT) modem provides the high-bandwidth mesh backbone connecting Gateway One to Striker and Sprinter UAVs, as well as ground-based C2 nodes. Based on the Collins Aerospace TTNT-1000, this IP-based ad-hoc network delivers the throughput required for real-time sensor-to-shooter operations.</w:t>
      </w:r>
    </w:p>
    <w:tbl>
      <w:tblPr>
        <w:tblBorders>
          <w:top w:val="single" w:space="0"/>
          <w:left w:val="nil" w:space="0"/>
          <w:bottom w:val="single" w:space="0"/>
          <w:right w:val="nil" w:space="0"/>
          <w:insideH w:val="single" w:space="0"/>
          <w:insideV w:val="nil" w:space="0"/>
        </w:tblBorders>
        <w:tblW w:w="5000" w:type="pct"/>
        <w:tblLayout w:type="fixed"/>
      </w:tblPr>
      <w:tblGrid>
        <w:gridCol w:w="50"/>
        <w:gridCol w:w="70"/>
      </w:tblGrid>
      <w:tr>
        <w:trPr>
          <w:tblHeader w:val="1"/>
        </w:trPr>
        <w:tc>
          <w:tcPr>
            <w:tcW w:w="50" w:type="dxa"/>
            <w:shd w:val="clear" w:color="auto" w:fill="E8EDF2"/>
          </w:tcPr>
          <w:p>
            <w:pPr>
              <w:pStyle w:val="Normal"/>
              <w:jc w:val="center"/>
              <w:spacing w:before="40" w:after="40"/>
            </w:pPr>
            <w:r>
              <w:rPr>
                <w:rFonts w:ascii="Calibri" w:hAnsi="Calibri" w:eastAsia="Microsoft YaHei"/>
                <w:color w:val="1D2D3D"/>
                <w:sz w:val="20"/>
                <w:b/>
                <w:szCs w:val="20"/>
              </w:rPr>
              <w:t>Parameter</w:t>
            </w:r>
          </w:p>
        </w:tc>
        <w:tc>
          <w:tcPr>
            <w:tcW w:w="70" w:type="dxa"/>
            <w:shd w:val="clear" w:color="auto" w:fill="E8EDF2"/>
          </w:tcPr>
          <w:p>
            <w:pPr>
              <w:pStyle w:val="Normal"/>
              <w:jc w:val="center"/>
              <w:spacing w:before="40" w:after="40"/>
            </w:pPr>
            <w:r>
              <w:rPr>
                <w:rFonts w:ascii="Calibri" w:hAnsi="Calibri" w:eastAsia="Microsoft YaHei"/>
                <w:color w:val="1D2D3D"/>
                <w:sz w:val="20"/>
                <w:b/>
                <w:szCs w:val="20"/>
              </w:rPr>
              <w:t>Value</w:t>
            </w:r>
          </w:p>
        </w:tc>
      </w:tr>
      <w:tr>
        <w:tc>
          <w:tcPr>
            <w:tcW w:w="50" w:type="dxa"/>
          </w:tcPr>
          <w:p>
            <w:pPr>
              <w:pStyle w:val="Normal"/>
              <w:ind w:left="60"/>
              <w:spacing w:before="30" w:after="30"/>
            </w:pPr>
            <w:r>
              <w:rPr>
                <w:rFonts w:ascii="Calibri" w:hAnsi="Calibri" w:eastAsia="Microsoft YaHei"/>
                <w:color w:val="4A5568"/>
                <w:sz w:val="20"/>
                <w:szCs w:val="20"/>
              </w:rPr>
              <w:t>Frequency</w:t>
            </w:r>
          </w:p>
        </w:tc>
        <w:tc>
          <w:tcPr>
            <w:tcW w:w="70" w:type="dxa"/>
          </w:tcPr>
          <w:p>
            <w:pPr>
              <w:pStyle w:val="Normal"/>
              <w:ind w:left="60"/>
              <w:spacing w:before="30" w:after="30"/>
            </w:pPr>
            <w:r>
              <w:rPr>
                <w:rFonts w:ascii="Calibri" w:hAnsi="Calibri" w:eastAsia="Microsoft YaHei"/>
                <w:color w:val="4A5568"/>
                <w:sz w:val="20"/>
                <w:szCs w:val="20"/>
              </w:rPr>
              <w:t>2.5 GHz (S-band), OFDM modulation</w:t>
            </w:r>
          </w:p>
        </w:tc>
      </w:tr>
      <w:tr>
        <w:tc>
          <w:tcPr>
            <w:tcW w:w="50" w:type="dxa"/>
          </w:tcPr>
          <w:p>
            <w:pPr>
              <w:pStyle w:val="Normal"/>
              <w:ind w:left="60"/>
              <w:spacing w:before="30" w:after="30"/>
            </w:pPr>
            <w:r>
              <w:rPr>
                <w:rFonts w:ascii="Calibri" w:hAnsi="Calibri" w:eastAsia="Microsoft YaHei"/>
                <w:color w:val="4A5568"/>
                <w:sz w:val="20"/>
                <w:szCs w:val="20"/>
              </w:rPr>
              <w:t>Network Bandwidth</w:t>
            </w:r>
          </w:p>
        </w:tc>
        <w:tc>
          <w:tcPr>
            <w:tcW w:w="70" w:type="dxa"/>
          </w:tcPr>
          <w:p>
            <w:pPr>
              <w:pStyle w:val="Normal"/>
              <w:ind w:left="60"/>
              <w:spacing w:before="30" w:after="30"/>
            </w:pPr>
            <w:r>
              <w:rPr>
                <w:rFonts w:ascii="Calibri" w:hAnsi="Calibri" w:eastAsia="Microsoft YaHei"/>
                <w:color w:val="4A5568"/>
                <w:sz w:val="20"/>
                <w:szCs w:val="20"/>
              </w:rPr>
              <w:t>14+ Mbps instantaneous; 2 Mbps single-user TX, 8 Mbps single-user RX</w:t>
            </w:r>
          </w:p>
        </w:tc>
      </w:tr>
      <w:tr>
        <w:tc>
          <w:tcPr>
            <w:tcW w:w="50" w:type="dxa"/>
          </w:tcPr>
          <w:p>
            <w:pPr>
              <w:pStyle w:val="Normal"/>
              <w:ind w:left="60"/>
              <w:spacing w:before="30" w:after="30"/>
            </w:pPr>
            <w:r>
              <w:rPr>
                <w:rFonts w:ascii="Calibri" w:hAnsi="Calibri" w:eastAsia="Microsoft YaHei"/>
                <w:color w:val="4A5568"/>
                <w:sz w:val="20"/>
                <w:szCs w:val="20"/>
              </w:rPr>
              <w:t>Range</w:t>
            </w:r>
          </w:p>
        </w:tc>
        <w:tc>
          <w:tcPr>
            <w:tcW w:w="70" w:type="dxa"/>
          </w:tcPr>
          <w:p>
            <w:pPr>
              <w:pStyle w:val="Normal"/>
              <w:ind w:left="60"/>
              <w:spacing w:before="30" w:after="30"/>
            </w:pPr>
            <w:r>
              <w:rPr>
                <w:rFonts w:ascii="Calibri" w:hAnsi="Calibri" w:eastAsia="Microsoft YaHei"/>
                <w:color w:val="4A5568"/>
                <w:sz w:val="20"/>
                <w:szCs w:val="20"/>
              </w:rPr>
              <w:t>300 nm direct; multi-hop relay up to 16 hops</w:t>
            </w:r>
          </w:p>
        </w:tc>
      </w:tr>
      <w:tr>
        <w:tc>
          <w:tcPr>
            <w:tcW w:w="50" w:type="dxa"/>
          </w:tcPr>
          <w:p>
            <w:pPr>
              <w:pStyle w:val="Normal"/>
              <w:ind w:left="60"/>
              <w:spacing w:before="30" w:after="30"/>
            </w:pPr>
            <w:r>
              <w:rPr>
                <w:rFonts w:ascii="Calibri" w:hAnsi="Calibri" w:eastAsia="Microsoft YaHei"/>
                <w:color w:val="4A5568"/>
                <w:sz w:val="20"/>
                <w:szCs w:val="20"/>
              </w:rPr>
              <w:t>Network Topology</w:t>
            </w:r>
          </w:p>
        </w:tc>
        <w:tc>
          <w:tcPr>
            <w:tcW w:w="70" w:type="dxa"/>
          </w:tcPr>
          <w:p>
            <w:pPr>
              <w:pStyle w:val="Normal"/>
              <w:ind w:left="60"/>
              <w:spacing w:before="30" w:after="30"/>
            </w:pPr>
            <w:r>
              <w:rPr>
                <w:rFonts w:ascii="Calibri" w:hAnsi="Calibri" w:eastAsia="Microsoft YaHei"/>
                <w:color w:val="4A5568"/>
                <w:sz w:val="20"/>
                <w:szCs w:val="20"/>
              </w:rPr>
              <w:t>Self-forming, self-healing ad-hoc mesh (802.11s-derived), up to 100 nodes</w:t>
            </w:r>
          </w:p>
        </w:tc>
      </w:tr>
      <w:tr>
        <w:tc>
          <w:tcPr>
            <w:tcW w:w="50" w:type="dxa"/>
          </w:tcPr>
          <w:p>
            <w:pPr>
              <w:pStyle w:val="Normal"/>
              <w:ind w:left="60"/>
              <w:spacing w:before="30" w:after="30"/>
            </w:pPr>
            <w:r>
              <w:rPr>
                <w:rFonts w:ascii="Calibri" w:hAnsi="Calibri" w:eastAsia="Microsoft YaHei"/>
                <w:color w:val="4A5568"/>
                <w:sz w:val="20"/>
                <w:szCs w:val="20"/>
              </w:rPr>
              <w:t>Latency</w:t>
            </w:r>
          </w:p>
        </w:tc>
        <w:tc>
          <w:tcPr>
            <w:tcW w:w="70" w:type="dxa"/>
          </w:tcPr>
          <w:p>
            <w:pPr>
              <w:pStyle w:val="Normal"/>
              <w:ind w:left="60"/>
              <w:spacing w:before="30" w:after="30"/>
            </w:pPr>
            <w:r>
              <w:rPr>
                <w:rFonts w:ascii="Calibri" w:hAnsi="Calibri" w:eastAsia="Microsoft YaHei"/>
                <w:color w:val="4A5568"/>
                <w:sz w:val="20"/>
                <w:szCs w:val="20"/>
              </w:rPr>
              <w:t>&lt; 2 ms node-to-node ( Quality-of-Service prioritised)</w:t>
            </w:r>
          </w:p>
        </w:tc>
      </w:tr>
      <w:tr>
        <w:tc>
          <w:tcPr>
            <w:tcW w:w="50" w:type="dxa"/>
          </w:tcPr>
          <w:p>
            <w:pPr>
              <w:pStyle w:val="Normal"/>
              <w:ind w:left="60"/>
              <w:spacing w:before="30" w:after="30"/>
            </w:pPr>
            <w:r>
              <w:rPr>
                <w:rFonts w:ascii="Calibri" w:hAnsi="Calibri" w:eastAsia="Microsoft YaHei"/>
                <w:color w:val="4A5568"/>
                <w:sz w:val="20"/>
                <w:szCs w:val="20"/>
              </w:rPr>
              <w:t>Security</w:t>
            </w:r>
          </w:p>
        </w:tc>
        <w:tc>
          <w:tcPr>
            <w:tcW w:w="70" w:type="dxa"/>
          </w:tcPr>
          <w:p>
            <w:pPr>
              <w:pStyle w:val="Normal"/>
              <w:ind w:left="60"/>
              <w:spacing w:before="30" w:after="30"/>
            </w:pPr>
            <w:r>
              <w:rPr>
                <w:rFonts w:ascii="Calibri" w:hAnsi="Calibri" w:eastAsia="Microsoft YaHei"/>
                <w:color w:val="4A5568"/>
                <w:sz w:val="20"/>
                <w:szCs w:val="20"/>
              </w:rPr>
              <w:t>NSA Type-1 Internal Cryptographic Subsystem (CSS), COMSEC/TRANSEC</w:t>
            </w:r>
          </w:p>
        </w:tc>
      </w:tr>
      <w:tr>
        <w:tc>
          <w:tcPr>
            <w:tcW w:w="50" w:type="dxa"/>
          </w:tcPr>
          <w:p>
            <w:pPr>
              <w:pStyle w:val="Normal"/>
              <w:ind w:left="60"/>
              <w:spacing w:before="30" w:after="30"/>
            </w:pPr>
            <w:r>
              <w:rPr>
                <w:rFonts w:ascii="Calibri" w:hAnsi="Calibri" w:eastAsia="Microsoft YaHei"/>
                <w:color w:val="4A5568"/>
                <w:sz w:val="20"/>
                <w:szCs w:val="20"/>
              </w:rPr>
              <w:t>Form Factor</w:t>
            </w:r>
          </w:p>
        </w:tc>
        <w:tc>
          <w:tcPr>
            <w:tcW w:w="70" w:type="dxa"/>
          </w:tcPr>
          <w:p>
            <w:pPr>
              <w:pStyle w:val="Normal"/>
              <w:ind w:left="60"/>
              <w:spacing w:before="30" w:after="30"/>
            </w:pPr>
            <w:r>
              <w:rPr>
                <w:rFonts w:ascii="Calibri" w:hAnsi="Calibri" w:eastAsia="Microsoft YaHei"/>
                <w:color w:val="4A5568"/>
                <w:sz w:val="20"/>
                <w:szCs w:val="20"/>
              </w:rPr>
              <w:t>3.6 kg (8 lb), 125 cubic inches (SWaP-optimised for UAS)</w:t>
            </w:r>
          </w:p>
        </w:tc>
      </w:tr>
    </w:tbl>
    <w:p>
      <w:pPr>
        <w:pStyle w:val="Normal"/>
        <w:sectPr>
          <w:type w:val="nextPage"/>
          <w:pgSz w:w="11906" w:h="16838"/>
          <w:pgMar w:top="1440" w:right="1440" w:bottom="1440" w:left="1440" w:header="720" w:footer="720"/>
        </w:sectPr>
      </w:pPr>
    </w:p>
    <w:p>
      <w:pPr>
        <w:pStyle w:val="Heading1"/>
      </w:pPr>
      <w:r>
        <w:rPr>
          <w:rFonts w:ascii="Calibri" w:hAnsi="Calibri" w:eastAsia="Microsoft YaHei" w:cs="Calibri"/>
          <w:b/>
          <w:color w:val="3D5A80"/>
          <w:sz w:val="40"/>
          <w:szCs w:val="40"/>
        </w:rPr>
        <w:t>Document 10: Gateway One — The F-35 Interoperability Layer</w:t>
      </w:r>
    </w:p>
    <w:p>
      <w:pPr>
        <w:pStyle w:val="Normal"/>
        <w:spacing w:after="120"/>
      </w:pPr>
      <w:r>
        <w:rPr>
          <w:rFonts w:ascii="Calibri" w:hAnsi="Calibri" w:eastAsia="Microsoft YaHei" w:cs="Calibri"/>
          <w:color w:val="4A5568"/>
          <w:sz w:val="20"/>
          <w:szCs w:val="20"/>
        </w:rPr>
        <w:t>Engineering Specification | Document No.: CDR-GW1-2026-001 | June 2026</w:t>
      </w:r>
    </w:p>
    <w:p>
      <w:pPr>
        <w:pStyle w:val="Heading2"/>
      </w:pPr>
      <w:r>
        <w:rPr>
          <w:rFonts w:ascii="Calibri" w:hAnsi="Calibri" w:eastAsia="Microsoft YaHei" w:cs="Calibri"/>
          <w:b/>
          <w:color w:val="1D2D3D"/>
          <w:sz w:val="30"/>
          <w:szCs w:val="30"/>
        </w:rPr>
        <w:t>Executive Summary</w:t>
      </w:r>
    </w:p>
    <w:p>
      <w:pPr>
        <w:pStyle w:val="Normal"/>
      </w:pPr>
      <w:r>
        <w:rPr>
          <w:rFonts w:ascii="Calibri" w:hAnsi="Calibri" w:eastAsia="Microsoft YaHei" w:cs="Calibri"/>
          <w:color w:val="1D2D3D"/>
          <w:sz w:val="22"/>
          <w:szCs w:val="22"/>
        </w:rPr>
        <w:t>This document establishes the Critical Design Review (CDR) technical baseline for the Gateway One (GW-1) Interoperability Layer — a Canadian-sovereign, AI-enabled datalink gateway system that transforms the 16 F-35A Lightning II aircraft Canada is committed to procure under NORAD obligations from an isolated "golden squadron" into a fully integrated sensor-strike node within the Arctic Horizon mixed fleet.</w:t>
      </w:r>
    </w:p>
    <w:p>
      <w:pPr>
        <w:pStyle w:val="Normal"/>
      </w:pPr>
      <w:r>
        <w:rPr>
          <w:rFonts w:ascii="Calibri" w:hAnsi="Calibri" w:eastAsia="Microsoft YaHei" w:cs="Calibri"/>
          <w:color w:val="1D2D3D"/>
          <w:sz w:val="22"/>
          <w:szCs w:val="22"/>
        </w:rPr>
        <w:t>Gateway One bridges the F-35's proprietary Multifunction Advanced Data Link (MADL) — a Ku-band, directional, low-probability-of-intercept waveform operating at 12–18 GHz — with the open-architecture datalink ecosystem of the Arctic Horizon force (Gripen E Link 16 / STANAG 5522, Striker IFDL/TTNT mesh, Sprinter TTNT MANET). The system is derived from proven operational demonstrations: Lockheed Martin Skunk Works' Open Systems Gateway (OSG) validated during Project Hydra (2021), Project Deimos (December 2024), and Exercise Ramstein Flag (April 2025), where Dutch F-35As shared live classified targeting data via MADL through OSG into the Dutch Keystone C2 system — the first live classified data share outside the United States.</w:t>
      </w:r>
    </w:p>
    <w:p>
      <w:pPr>
        <w:pStyle w:val="Normal"/>
      </w:pPr>
      <w:r>
        <w:rPr>
          <w:rFonts w:ascii="Calibri" w:hAnsi="Calibri" w:eastAsia="Microsoft YaHei" w:cs="Calibri"/>
          <w:color w:val="1D2D3D"/>
          <w:sz w:val="22"/>
          <w:szCs w:val="22"/>
        </w:rPr>
        <w:t>Gateway One is not a reverse-engineered MADL solution. It is a sovereign Canadian implementation of the same open-architecture principles demonstrated by Skunk Works, installed on the Striker Loyal Wingman platform as a survivable, high-altitude relay node. The system provides sub-50ms end-to-end translation latency, AES-256 encryption with dynamic key rotation, and Multi-Level Security (MLS) data labelling — ensuring that F-35 sensor data reaches every Gripen, Striker, and Sprinter in the package without compromising the F-35's low-observable signature.</w:t>
      </w:r>
    </w:p>
    <w:p>
      <w:pPr>
        <w:pStyle w:val="Heading2"/>
      </w:pPr>
      <w:r>
        <w:rPr>
          <w:rFonts w:ascii="Calibri" w:hAnsi="Calibri" w:eastAsia="Microsoft YaHei" w:cs="Calibri"/>
          <w:b/>
          <w:color w:val="1D2D3D"/>
          <w:sz w:val="30"/>
          <w:szCs w:val="30"/>
        </w:rPr>
        <w:t>1. System Architecture Overview</w:t>
      </w:r>
    </w:p>
    <w:p>
      <w:pPr>
        <w:pStyle w:val="Heading3"/>
      </w:pPr>
      <w:r>
        <w:rPr>
          <w:rFonts w:ascii="Calibri" w:hAnsi="Calibri" w:eastAsia="Microsoft YaHei" w:cs="Calibri"/>
          <w:b/>
          <w:color w:val="4A5568"/>
          <w:sz w:val="26"/>
          <w:szCs w:val="26"/>
        </w:rPr>
        <w:t>1.1 Design Philosophy</w:t>
      </w:r>
    </w:p>
    <w:p>
      <w:pPr>
        <w:pStyle w:val="Normal"/>
      </w:pPr>
      <w:r>
        <w:rPr>
          <w:rFonts w:ascii="Calibri" w:hAnsi="Calibri" w:eastAsia="Microsoft YaHei" w:cs="Calibri"/>
          <w:color w:val="1D2D3D"/>
          <w:sz w:val="22"/>
          <w:szCs w:val="22"/>
        </w:rPr>
        <w:t>The Gateway One system is built on an Open Systems Architecture (OSA) compliant with the U.S. Air Force Open Mission Systems (OMS) standard and NATO STANAG 5603 (JREAP-C over IP). It employs software-defined radio (SDR) front-ends and an AI-driven protocol translation layer, following the proven model demonstrated by the U.S. Air Force's GatewayOne experiments, Northrop Grumman's Freedom 550 SDR relay trials (Babel Fish III, 2023), and Lockheed Martin's Open Systems Gateway.</w:t>
      </w:r>
    </w:p>
    <w:p>
      <w:pPr>
        <w:pStyle w:val="Normal"/>
      </w:pPr>
      <w:r>
        <w:rPr>
          <w:rFonts w:ascii="Calibri" w:hAnsi="Calibri" w:eastAsia="Microsoft YaHei" w:cs="Calibri"/>
          <w:color w:val="1D2D3D"/>
          <w:sz w:val="22"/>
          <w:szCs w:val="22"/>
        </w:rPr>
        <w:t>The gateway serves as a "universal translator" that converts data between the following waveform domains:</w:t>
      </w:r>
    </w:p>
    <w:p>
      <w:pPr>
        <w:pStyle w:val="Normal"/>
        <w:spacing w:after="80"/>
        <w:ind w:left="720" w:hanging="360"/>
      </w:pPr>
      <w:r>
        <w:rPr>
          <w:rFonts w:ascii="Calibri" w:hAnsi="Calibri" w:eastAsia="Microsoft YaHei" w:cs="Calibri"/>
          <w:color w:val="1D2D3D"/>
          <w:sz w:val="22"/>
          <w:b/>
          <w:szCs w:val="22"/>
        </w:rPr>
        <w:t xml:space="preserve">•  MADL (Multifunction Advanced Data Link):</w:t>
      </w:r>
      <w:r>
        <w:rPr>
          <w:rFonts w:ascii="Calibri" w:hAnsi="Calibri" w:eastAsia="Microsoft YaHei" w:cs="Calibri"/>
          <w:color w:val="1D2D3D"/>
          <w:sz w:val="22"/>
          <w:szCs w:val="22"/>
        </w:rPr>
        <w:t xml:space="preserve"> F-35's native directional LPI/LPD datalink, Ku-band 12–18 GHz, developed by Northrop Grumman as part of the AN/ASQ-242 CNI suite. Uses active phased-array antennas for narrow-beam transmission with fast frequency-hopping anti-jam.</w:t>
      </w:r>
    </w:p>
    <w:p>
      <w:pPr>
        <w:pStyle w:val="Normal"/>
        <w:spacing w:after="80"/>
        <w:ind w:left="720" w:hanging="360"/>
      </w:pPr>
      <w:r>
        <w:rPr>
          <w:rFonts w:ascii="Calibri" w:hAnsi="Calibri" w:eastAsia="Microsoft YaHei" w:cs="Calibri"/>
          <w:color w:val="1D2D3D"/>
          <w:sz w:val="22"/>
          <w:b/>
          <w:szCs w:val="22"/>
        </w:rPr>
        <w:t xml:space="preserve">•  IFDL (Intra-Flight Data Link):</w:t>
      </w:r>
      <w:r>
        <w:rPr>
          <w:rFonts w:ascii="Calibri" w:hAnsi="Calibri" w:eastAsia="Microsoft YaHei" w:cs="Calibri"/>
          <w:color w:val="1D2D3D"/>
          <w:sz w:val="22"/>
          <w:szCs w:val="22"/>
        </w:rPr>
        <w:t xml:space="preserve"> F-22 Raptor's 60 GHz mmWave stealth datalink. Gateway One provides IFDL receive capability for future F-22 integration scenarios under NORAD.</w:t>
      </w:r>
    </w:p>
    <w:p>
      <w:pPr>
        <w:pStyle w:val="Normal"/>
        <w:spacing w:after="80"/>
        <w:ind w:left="720" w:hanging="360"/>
      </w:pPr>
      <w:r>
        <w:rPr>
          <w:rFonts w:ascii="Calibri" w:hAnsi="Calibri" w:eastAsia="Microsoft YaHei" w:cs="Calibri"/>
          <w:color w:val="1D2D3D"/>
          <w:sz w:val="22"/>
          <w:b/>
          <w:szCs w:val="22"/>
        </w:rPr>
        <w:t xml:space="preserve">•  Link 16 (TADIL-J):</w:t>
      </w:r>
      <w:r>
        <w:rPr>
          <w:rFonts w:ascii="Calibri" w:hAnsi="Calibri" w:eastAsia="Microsoft YaHei" w:cs="Calibri"/>
          <w:color w:val="1D2D3D"/>
          <w:sz w:val="22"/>
          <w:szCs w:val="22"/>
        </w:rPr>
        <w:t xml:space="preserve"> NATO standard tactical datalink, 960–1215 MHz L-band, implemented on the Gripen E via the MIDS-LVT-2 terminal. Full J-series message set (J1.0–J31.6) supported.</w:t>
      </w:r>
    </w:p>
    <w:p>
      <w:pPr>
        <w:pStyle w:val="Normal"/>
        <w:spacing w:after="80"/>
        <w:ind w:left="720" w:hanging="360"/>
      </w:pPr>
      <w:r>
        <w:rPr>
          <w:rFonts w:ascii="Calibri" w:hAnsi="Calibri" w:eastAsia="Microsoft YaHei" w:cs="Calibri"/>
          <w:color w:val="1D2D3D"/>
          <w:sz w:val="22"/>
          <w:b/>
          <w:szCs w:val="22"/>
        </w:rPr>
        <w:t xml:space="preserve">•  TTNT (Tactical Targeting Network Technology):</w:t>
      </w:r>
      <w:r>
        <w:rPr>
          <w:rFonts w:ascii="Calibri" w:hAnsi="Calibri" w:eastAsia="Microsoft YaHei" w:cs="Calibri"/>
          <w:color w:val="1D2D3D"/>
          <w:sz w:val="22"/>
          <w:szCs w:val="22"/>
        </w:rPr>
        <w:t xml:space="preserve"> High-bandwidth IP-based mesh network, 2.5 GHz S-band OFDM, up to 20 Mbps network throughput, used by Striker and Sprinter UAVs for sensor-to-shooter connectivity.</w:t>
      </w:r>
    </w:p>
    <w:p>
      <w:pPr>
        <w:pStyle w:val="Normal"/>
        <w:spacing w:after="80"/>
        <w:ind w:left="720" w:hanging="360"/>
      </w:pPr>
      <w:r>
        <w:rPr>
          <w:rFonts w:ascii="Calibri" w:hAnsi="Calibri" w:eastAsia="Microsoft YaHei" w:cs="Calibri"/>
          <w:color w:val="1D2D3D"/>
          <w:sz w:val="22"/>
          <w:b/>
          <w:szCs w:val="22"/>
        </w:rPr>
        <w:t xml:space="preserve">•  SATCOM (Ku/Ka-band):</w:t>
      </w:r>
      <w:r>
        <w:rPr>
          <w:rFonts w:ascii="Calibri" w:hAnsi="Calibri" w:eastAsia="Microsoft YaHei" w:cs="Calibri"/>
          <w:color w:val="1D2D3D"/>
          <w:sz w:val="22"/>
          <w:szCs w:val="22"/>
        </w:rPr>
        <w:t xml:space="preserve"> Beyond-line-of-sight reachback to NORAD/NATO C2 via ViaSat VRT-1000 terminal, enabling F-35 data to reach ground-based command centres and allied networks.</w:t>
      </w:r>
    </w:p>
    <w:p>
      <w:pPr>
        <w:pStyle w:val="Heading3"/>
      </w:pPr>
      <w:r>
        <w:rPr>
          <w:rFonts w:ascii="Calibri" w:hAnsi="Calibri" w:eastAsia="Microsoft YaHei" w:cs="Calibri"/>
          <w:b/>
          <w:color w:val="4A5568"/>
          <w:sz w:val="26"/>
          <w:szCs w:val="26"/>
        </w:rPr>
        <w:t>1.2 Core System Components</w:t>
      </w:r>
    </w:p>
    <w:tbl>
      <w:tblPr>
        <w:tblBorders>
          <w:top w:val="single" w:space="0"/>
          <w:left w:val="nil" w:space="0"/>
          <w:bottom w:val="single" w:space="0"/>
          <w:right w:val="nil" w:space="0"/>
          <w:insideH w:val="single" w:space="0"/>
          <w:insideV w:val="nil" w:space="0"/>
        </w:tblBorders>
        <w:tblW w:w="5000" w:type="pct"/>
        <w:tblLayout w:type="fixed"/>
      </w:tblPr>
      <w:tblGrid>
        <w:gridCol w:w="30"/>
        <w:gridCol w:w="50"/>
        <w:gridCol w:w="80"/>
      </w:tblGrid>
      <w:tr>
        <w:trPr>
          <w:tblHeader w:val="1"/>
        </w:trPr>
        <w:tc>
          <w:tcPr>
            <w:tcW w:w="30" w:type="dxa"/>
            <w:shd w:val="clear" w:color="auto" w:fill="E8EDF2"/>
          </w:tcPr>
          <w:p>
            <w:pPr>
              <w:pStyle w:val="Normal"/>
              <w:jc w:val="center"/>
              <w:spacing w:before="40" w:after="40"/>
            </w:pPr>
            <w:r>
              <w:rPr>
                <w:rFonts w:ascii="Calibri" w:hAnsi="Calibri" w:eastAsia="Microsoft YaHei" w:cs="Calibri"/>
                <w:color w:val="1D2D3D"/>
                <w:sz w:val="20"/>
                <w:b/>
                <w:szCs w:val="20"/>
              </w:rPr>
              <w:t>Component</w:t>
            </w:r>
          </w:p>
        </w:tc>
        <w:tc>
          <w:tcPr>
            <w:tcW w:w="50" w:type="dxa"/>
            <w:shd w:val="clear" w:color="auto" w:fill="E8EDF2"/>
          </w:tcPr>
          <w:p>
            <w:pPr>
              <w:pStyle w:val="Normal"/>
              <w:jc w:val="center"/>
              <w:spacing w:before="40" w:after="40"/>
            </w:pPr>
            <w:r>
              <w:rPr>
                <w:rFonts w:ascii="Calibri" w:hAnsi="Calibri" w:eastAsia="Microsoft YaHei" w:cs="Calibri"/>
                <w:color w:val="1D2D3D"/>
                <w:sz w:val="20"/>
                <w:b/>
                <w:szCs w:val="20"/>
              </w:rPr>
              <w:t>Part Number / Model</w:t>
            </w:r>
          </w:p>
        </w:tc>
        <w:tc>
          <w:tcPr>
            <w:tcW w:w="80" w:type="dxa"/>
            <w:shd w:val="clear" w:color="auto" w:fill="E8EDF2"/>
          </w:tcPr>
          <w:p>
            <w:pPr>
              <w:pStyle w:val="Normal"/>
              <w:jc w:val="center"/>
              <w:spacing w:before="40" w:after="40"/>
            </w:pPr>
            <w:r>
              <w:rPr>
                <w:rFonts w:ascii="Calibri" w:hAnsi="Calibri" w:eastAsia="Microsoft YaHei" w:cs="Calibri"/>
                <w:color w:val="1D2D3D"/>
                <w:sz w:val="20"/>
                <w:b/>
                <w:szCs w:val="20"/>
              </w:rPr>
              <w:t>Description</w:t>
            </w:r>
          </w:p>
        </w:tc>
      </w:tr>
      <w:tr>
        <w:tc>
          <w:tcPr>
            <w:tcW w:w="30" w:type="dxa"/>
          </w:tcPr>
          <w:p>
            <w:pPr>
              <w:pStyle w:val="Normal"/>
              <w:ind w:left="60"/>
              <w:spacing w:before="30" w:after="30"/>
            </w:pPr>
            <w:r>
              <w:rPr>
                <w:rFonts w:ascii="Calibri" w:hAnsi="Calibri" w:eastAsia="Microsoft YaHei" w:cs="Calibri"/>
                <w:color w:val="4A5568"/>
                <w:sz w:val="20"/>
                <w:szCs w:val="20"/>
              </w:rPr>
              <w:t>Open Systems Gateway</w:t>
            </w:r>
          </w:p>
        </w:tc>
        <w:tc>
          <w:tcPr>
            <w:tcW w:w="50" w:type="dxa"/>
          </w:tcPr>
          <w:p>
            <w:pPr>
              <w:pStyle w:val="Normal"/>
              <w:ind w:left="60"/>
              <w:spacing w:before="30" w:after="30"/>
            </w:pPr>
            <w:r>
              <w:rPr>
                <w:rFonts w:ascii="Calibri" w:hAnsi="Calibri" w:eastAsia="Microsoft YaHei" w:cs="Calibri"/>
                <w:color w:val="4A5568"/>
                <w:sz w:val="20"/>
                <w:szCs w:val="20"/>
              </w:rPr>
              <w:t>CAE-GW1-OSG-01</w:t>
            </w:r>
          </w:p>
        </w:tc>
        <w:tc>
          <w:tcPr>
            <w:tcW w:w="80" w:type="dxa"/>
          </w:tcPr>
          <w:p>
            <w:pPr>
              <w:pStyle w:val="Normal"/>
              <w:ind w:left="60"/>
              <w:spacing w:before="30" w:after="30"/>
            </w:pPr>
            <w:r>
              <w:rPr>
                <w:rFonts w:ascii="Calibri" w:hAnsi="Calibri" w:eastAsia="Microsoft YaHei" w:cs="Calibri"/>
                <w:color w:val="4A5568"/>
                <w:sz w:val="20"/>
                <w:szCs w:val="20"/>
              </w:rPr>
              <w:t>Software-defined translation layer; Linux-based real-time OS with containerized microservices for each datalink protocol. 3/4 ATR chassis.</w:t>
            </w:r>
          </w:p>
        </w:tc>
      </w:tr>
      <w:tr>
        <w:tc>
          <w:tcPr>
            <w:tcW w:w="30" w:type="dxa"/>
          </w:tcPr>
          <w:p>
            <w:pPr>
              <w:pStyle w:val="Normal"/>
              <w:ind w:left="60"/>
              <w:spacing w:before="30" w:after="30"/>
            </w:pPr>
            <w:r>
              <w:rPr>
                <w:rFonts w:ascii="Calibri" w:hAnsi="Calibri" w:eastAsia="Microsoft YaHei" w:cs="Calibri"/>
                <w:color w:val="4A5568"/>
                <w:sz w:val="20"/>
                <w:szCs w:val="20"/>
              </w:rPr>
              <w:t>Software-Defined Radio</w:t>
            </w:r>
          </w:p>
        </w:tc>
        <w:tc>
          <w:tcPr>
            <w:tcW w:w="50" w:type="dxa"/>
          </w:tcPr>
          <w:p>
            <w:pPr>
              <w:pStyle w:val="Normal"/>
              <w:ind w:left="60"/>
              <w:spacing w:before="30" w:after="30"/>
            </w:pPr>
            <w:r>
              <w:rPr>
                <w:rFonts w:ascii="Calibri" w:hAnsi="Calibri" w:eastAsia="Microsoft YaHei" w:cs="Calibri"/>
                <w:color w:val="4A5568"/>
                <w:sz w:val="20"/>
                <w:szCs w:val="20"/>
              </w:rPr>
              <w:t>NG-F550-OSA-CA</w:t>
            </w:r>
          </w:p>
        </w:tc>
        <w:tc>
          <w:tcPr>
            <w:tcW w:w="80" w:type="dxa"/>
          </w:tcPr>
          <w:p>
            <w:pPr>
              <w:pStyle w:val="Normal"/>
              <w:ind w:left="60"/>
              <w:spacing w:before="30" w:after="30"/>
            </w:pPr>
            <w:r>
              <w:rPr>
                <w:rFonts w:ascii="Calibri" w:hAnsi="Calibri" w:eastAsia="Microsoft YaHei" w:cs="Calibri"/>
                <w:color w:val="4A5568"/>
                <w:sz w:val="20"/>
                <w:szCs w:val="20"/>
              </w:rPr>
              <w:t>Northrop Grumman Freedom 550 variant; multi-waveform SDR, 0.5–40 GHz, OMS-compliant, conduction-cooled.</w:t>
            </w:r>
          </w:p>
        </w:tc>
      </w:tr>
      <w:tr>
        <w:tc>
          <w:tcPr>
            <w:tcW w:w="30" w:type="dxa"/>
          </w:tcPr>
          <w:p>
            <w:pPr>
              <w:pStyle w:val="Normal"/>
              <w:ind w:left="60"/>
              <w:spacing w:before="30" w:after="30"/>
            </w:pPr>
            <w:r>
              <w:rPr>
                <w:rFonts w:ascii="Calibri" w:hAnsi="Calibri" w:eastAsia="Microsoft YaHei" w:cs="Calibri"/>
                <w:color w:val="4A5568"/>
                <w:sz w:val="20"/>
                <w:szCs w:val="20"/>
              </w:rPr>
              <w:t>AI Translation Engine</w:t>
            </w:r>
          </w:p>
        </w:tc>
        <w:tc>
          <w:tcPr>
            <w:tcW w:w="50" w:type="dxa"/>
          </w:tcPr>
          <w:p>
            <w:pPr>
              <w:pStyle w:val="Normal"/>
              <w:ind w:left="60"/>
              <w:spacing w:before="30" w:after="30"/>
            </w:pPr>
            <w:r>
              <w:rPr>
                <w:rFonts w:ascii="Calibri" w:hAnsi="Calibri" w:eastAsia="Microsoft YaHei" w:cs="Calibri"/>
                <w:color w:val="4A5568"/>
                <w:sz w:val="20"/>
                <w:szCs w:val="20"/>
              </w:rPr>
              <w:t>MDA-AIM-GW1-01</w:t>
            </w:r>
          </w:p>
        </w:tc>
        <w:tc>
          <w:tcPr>
            <w:tcW w:w="80" w:type="dxa"/>
          </w:tcPr>
          <w:p>
            <w:pPr>
              <w:pStyle w:val="Normal"/>
              <w:ind w:left="60"/>
              <w:spacing w:before="30" w:after="30"/>
            </w:pPr>
            <w:r>
              <w:rPr>
                <w:rFonts w:ascii="Calibri" w:hAnsi="Calibri" w:eastAsia="Microsoft YaHei" w:cs="Calibri"/>
                <w:color w:val="4A5568"/>
                <w:sz w:val="20"/>
                <w:szCs w:val="20"/>
              </w:rPr>
              <w:t>ML-based protocol translation, track correlation, sensor fusion; Nvidia GPU-accelerated inference.</w:t>
            </w:r>
          </w:p>
        </w:tc>
      </w:tr>
      <w:tr>
        <w:tc>
          <w:tcPr>
            <w:tcW w:w="30" w:type="dxa"/>
          </w:tcPr>
          <w:p>
            <w:pPr>
              <w:pStyle w:val="Normal"/>
              <w:ind w:left="60"/>
              <w:spacing w:before="30" w:after="30"/>
            </w:pPr>
            <w:r>
              <w:rPr>
                <w:rFonts w:ascii="Calibri" w:hAnsi="Calibri" w:eastAsia="Microsoft YaHei" w:cs="Calibri"/>
                <w:color w:val="4A5568"/>
                <w:sz w:val="20"/>
                <w:szCs w:val="20"/>
              </w:rPr>
              <w:t>MADL Terminal</w:t>
            </w:r>
          </w:p>
        </w:tc>
        <w:tc>
          <w:tcPr>
            <w:tcW w:w="50" w:type="dxa"/>
          </w:tcPr>
          <w:p>
            <w:pPr>
              <w:pStyle w:val="Normal"/>
              <w:ind w:left="60"/>
              <w:spacing w:before="30" w:after="30"/>
            </w:pPr>
            <w:r>
              <w:rPr>
                <w:rFonts w:ascii="Calibri" w:hAnsi="Calibri" w:eastAsia="Microsoft YaHei" w:cs="Calibri"/>
                <w:color w:val="4A5568"/>
                <w:sz w:val="20"/>
                <w:szCs w:val="20"/>
              </w:rPr>
              <w:t>NG-MADL-TRX-02</w:t>
            </w:r>
          </w:p>
        </w:tc>
        <w:tc>
          <w:tcPr>
            <w:tcW w:w="80" w:type="dxa"/>
          </w:tcPr>
          <w:p>
            <w:pPr>
              <w:pStyle w:val="Normal"/>
              <w:ind w:left="60"/>
              <w:spacing w:before="30" w:after="30"/>
            </w:pPr>
            <w:r>
              <w:rPr>
                <w:rFonts w:ascii="Calibri" w:hAnsi="Calibri" w:eastAsia="Microsoft YaHei" w:cs="Calibri"/>
                <w:color w:val="4A5568"/>
                <w:sz w:val="20"/>
                <w:szCs w:val="20"/>
              </w:rPr>
              <w:t>Ku-band directional LPI/LPD transceiver; 6 phased-array apertures for spherical coverage; 100 Mbps data rate.</w:t>
            </w:r>
          </w:p>
        </w:tc>
      </w:tr>
      <w:tr>
        <w:tc>
          <w:tcPr>
            <w:tcW w:w="30" w:type="dxa"/>
          </w:tcPr>
          <w:p>
            <w:pPr>
              <w:pStyle w:val="Normal"/>
              <w:ind w:left="60"/>
              <w:spacing w:before="30" w:after="30"/>
            </w:pPr>
            <w:r>
              <w:rPr>
                <w:rFonts w:ascii="Calibri" w:hAnsi="Calibri" w:eastAsia="Microsoft YaHei" w:cs="Calibri"/>
                <w:color w:val="4A5568"/>
                <w:sz w:val="20"/>
                <w:szCs w:val="20"/>
              </w:rPr>
              <w:t>Link 16 Terminal</w:t>
            </w:r>
          </w:p>
        </w:tc>
        <w:tc>
          <w:tcPr>
            <w:tcW w:w="50" w:type="dxa"/>
          </w:tcPr>
          <w:p>
            <w:pPr>
              <w:pStyle w:val="Normal"/>
              <w:ind w:left="60"/>
              <w:spacing w:before="30" w:after="30"/>
            </w:pPr>
            <w:r>
              <w:rPr>
                <w:rFonts w:ascii="Calibri" w:hAnsi="Calibri" w:eastAsia="Microsoft YaHei" w:cs="Calibri"/>
                <w:color w:val="4A5568"/>
                <w:sz w:val="20"/>
                <w:szCs w:val="20"/>
              </w:rPr>
              <w:t>L3H-MIDS-LVT-2-CA</w:t>
            </w:r>
          </w:p>
        </w:tc>
        <w:tc>
          <w:tcPr>
            <w:tcW w:w="80" w:type="dxa"/>
          </w:tcPr>
          <w:p>
            <w:pPr>
              <w:pStyle w:val="Normal"/>
              <w:ind w:left="60"/>
              <w:spacing w:before="30" w:after="30"/>
            </w:pPr>
            <w:r>
              <w:rPr>
                <w:rFonts w:ascii="Calibri" w:hAnsi="Calibri" w:eastAsia="Microsoft YaHei" w:cs="Calibri"/>
                <w:color w:val="4A5568"/>
                <w:sz w:val="20"/>
                <w:szCs w:val="20"/>
              </w:rPr>
              <w:t>MIDS-LVT(2) Canadian variant; 960–1215 MHz, 1/25/200 W output, dual ADDSI interface, self-contained cooling.</w:t>
            </w:r>
          </w:p>
        </w:tc>
      </w:tr>
      <w:tr>
        <w:tc>
          <w:tcPr>
            <w:tcW w:w="30" w:type="dxa"/>
          </w:tcPr>
          <w:p>
            <w:pPr>
              <w:pStyle w:val="Normal"/>
              <w:ind w:left="60"/>
              <w:spacing w:before="30" w:after="30"/>
            </w:pPr>
            <w:r>
              <w:rPr>
                <w:rFonts w:ascii="Calibri" w:hAnsi="Calibri" w:eastAsia="Microsoft YaHei" w:cs="Calibri"/>
                <w:color w:val="4A5568"/>
                <w:sz w:val="20"/>
                <w:szCs w:val="20"/>
              </w:rPr>
              <w:t>TTNT Modem</w:t>
            </w:r>
          </w:p>
        </w:tc>
        <w:tc>
          <w:tcPr>
            <w:tcW w:w="50" w:type="dxa"/>
          </w:tcPr>
          <w:p>
            <w:pPr>
              <w:pStyle w:val="Normal"/>
              <w:ind w:left="60"/>
              <w:spacing w:before="30" w:after="30"/>
            </w:pPr>
            <w:r>
              <w:rPr>
                <w:rFonts w:ascii="Calibri" w:hAnsi="Calibri" w:eastAsia="Microsoft YaHei" w:cs="Calibri"/>
                <w:color w:val="4A5568"/>
                <w:sz w:val="20"/>
                <w:szCs w:val="20"/>
              </w:rPr>
              <w:t>COL-TTNT-1000-GW</w:t>
            </w:r>
          </w:p>
        </w:tc>
        <w:tc>
          <w:tcPr>
            <w:tcW w:w="80" w:type="dxa"/>
          </w:tcPr>
          <w:p>
            <w:pPr>
              <w:pStyle w:val="Normal"/>
              <w:ind w:left="60"/>
              <w:spacing w:before="30" w:after="30"/>
            </w:pPr>
            <w:r>
              <w:rPr>
                <w:rFonts w:ascii="Calibri" w:hAnsi="Calibri" w:eastAsia="Microsoft YaHei" w:cs="Calibri"/>
                <w:color w:val="4A5568"/>
                <w:sz w:val="20"/>
                <w:szCs w:val="20"/>
              </w:rPr>
              <w:t>Collins Aerospace TTNT-1000 variant; 2.5 GHz S-band OFDM, 20 Mbps mesh, IP-based ad-hoc networking.</w:t>
            </w:r>
          </w:p>
        </w:tc>
      </w:tr>
    </w:tbl>
    <w:p>
      <w:pPr>
        <w:pStyle w:val="Heading2"/>
      </w:pPr>
      <w:r>
        <w:rPr>
          <w:rFonts w:ascii="Calibri" w:hAnsi="Calibri" w:eastAsia="Microsoft YaHei" w:cs="Calibri"/>
          <w:b/>
          <w:color w:val="1D2D3D"/>
          <w:sz w:val="30"/>
          <w:szCs w:val="30"/>
        </w:rPr>
        <w:t>3. AI Translation Engine — The "Brain"</w:t>
      </w:r>
    </w:p>
    <w:p>
      <w:pPr>
        <w:pStyle w:val="Heading3"/>
      </w:pPr>
      <w:r>
        <w:rPr>
          <w:rFonts w:ascii="Calibri" w:hAnsi="Calibri" w:eastAsia="Microsoft YaHei" w:cs="Calibri"/>
          <w:b/>
          <w:color w:val="4A5568"/>
          <w:sz w:val="26"/>
          <w:szCs w:val="26"/>
        </w:rPr>
        <w:t>3.1 Core Functions</w:t>
      </w:r>
    </w:p>
    <w:p>
      <w:pPr>
        <w:pStyle w:val="Normal"/>
      </w:pPr>
      <w:r>
        <w:rPr>
          <w:rFonts w:ascii="Calibri" w:hAnsi="Calibri" w:eastAsia="Microsoft YaHei" w:cs="Calibri"/>
          <w:color w:val="1D2D3D"/>
          <w:sz w:val="22"/>
          <w:szCs w:val="22"/>
        </w:rPr>
        <w:t>The AI Translation Engine (MDA-AIM-GW1-01) is responsible for dynamic protocol translation, signal processing, and context-aware data routing. Developed by MDA Corporation (MacDonald, Dettwiler and Associates) in partnership with Nvidia Canada and the Vector Institute for Artificial Intelligence, it is the "translator" that understands the semantic meaning of tactical data and converts it between platforms in real time.</w:t>
      </w:r>
    </w:p>
    <w:p>
      <w:pPr>
        <w:pStyle w:val="Normal"/>
        <w:spacing w:after="80"/>
        <w:ind w:left="720" w:hanging="360"/>
      </w:pPr>
      <w:r>
        <w:rPr>
          <w:rFonts w:ascii="Calibri" w:hAnsi="Calibri" w:eastAsia="Microsoft YaHei" w:cs="Calibri"/>
          <w:color w:val="1D2D3D"/>
          <w:sz w:val="22"/>
          <w:b/>
          <w:szCs w:val="22"/>
        </w:rPr>
        <w:t>Signal-to-Data Translation:</w:t>
      </w:r>
      <w:r>
        <w:rPr>
          <w:rFonts w:ascii="Calibri" w:hAnsi="Calibri" w:eastAsia="Microsoft YaHei" w:cs="Calibri"/>
          <w:color w:val="1D2D3D"/>
          <w:sz w:val="22"/>
          <w:szCs w:val="22"/>
        </w:rPr>
        <w:t xml:space="preserve"> Raw RF signals from MADL, IFDL, Link 16, and TTNT are demodulated, decoded, de-fragmented, and error-corrected using FPGA-accelerated DSP pipelines (Xilinx XCVU9P). Output: structured tactical data objects (tracks, targets, threat levels, weapon status) in NATO ADatP-37 (Link 16) or OMS-compliant JSON.</w:t>
      </w:r>
    </w:p>
    <w:p>
      <w:pPr>
        <w:pStyle w:val="Normal"/>
        <w:spacing w:after="80"/>
        <w:ind w:left="720" w:hanging="360"/>
      </w:pPr>
      <w:r>
        <w:rPr>
          <w:rFonts w:ascii="Calibri" w:hAnsi="Calibri" w:eastAsia="Microsoft YaHei" w:cs="Calibri"/>
          <w:color w:val="1D2D3D"/>
          <w:sz w:val="22"/>
          <w:b/>
          <w:szCs w:val="22"/>
        </w:rPr>
        <w:t>Protocol Conversion:</w:t>
      </w:r>
      <w:r>
        <w:rPr>
          <w:rFonts w:ascii="Calibri" w:hAnsi="Calibri" w:eastAsia="Microsoft YaHei" w:cs="Calibri"/>
          <w:color w:val="1D2D3D"/>
          <w:sz w:val="22"/>
          <w:szCs w:val="22"/>
        </w:rPr>
        <w:t xml:space="preserve"> MADL to Link 16 translation converts the F-35's proprietary directional data into NATO-standard J-series messages (J1.0 Target Report, J2.2 Aircraft Position, J3.4 Surface Track, J7.0 Weapon Status). Reverse translation (Link 16 to MADL) filters and packages Gripen/Striker tracks into MADL-compatible format for uplink to F-35s.</w:t>
      </w:r>
    </w:p>
    <w:p>
      <w:pPr>
        <w:pStyle w:val="Normal"/>
        <w:spacing w:after="80"/>
        <w:ind w:left="720" w:hanging="360"/>
      </w:pPr>
      <w:r>
        <w:rPr>
          <w:rFonts w:ascii="Calibri" w:hAnsi="Calibri" w:eastAsia="Microsoft YaHei" w:cs="Calibri"/>
          <w:color w:val="1D2D3D"/>
          <w:sz w:val="22"/>
          <w:b/>
          <w:szCs w:val="22"/>
        </w:rPr>
        <w:t>Track Correlation and Fusion:</w:t>
      </w:r>
      <w:r>
        <w:rPr>
          <w:rFonts w:ascii="Calibri" w:hAnsi="Calibri" w:eastAsia="Microsoft YaHei" w:cs="Calibri"/>
          <w:color w:val="1D2D3D"/>
          <w:sz w:val="22"/>
          <w:szCs w:val="22"/>
        </w:rPr>
        <w:t xml:space="preserve"> A multi-hypothesis tracking (MHT) algorithm correlates tracks from F-35 AN/APG-85 radar, Gripen Raven ES-05, Striker EODAS/ESA, and Sprinter ESM into a single, unambiguous Common Operational Picture (COP). The system uses geodetic registration (WGS-84) and time-synchronisation (GPS-disciplined oscillator, +/-50 ns) to eliminate dual-track artefacts.</w:t>
      </w:r>
    </w:p>
    <w:p>
      <w:pPr>
        <w:pStyle w:val="Normal"/>
        <w:spacing w:after="80"/>
        <w:ind w:left="720" w:hanging="360"/>
      </w:pPr>
      <w:r>
        <w:rPr>
          <w:rFonts w:ascii="Calibri" w:hAnsi="Calibri" w:eastAsia="Microsoft YaHei" w:cs="Calibri"/>
          <w:color w:val="1D2D3D"/>
          <w:sz w:val="22"/>
          <w:b/>
          <w:szCs w:val="22"/>
        </w:rPr>
        <w:t>Dynamic Routing:</w:t>
      </w:r>
      <w:r>
        <w:rPr>
          <w:rFonts w:ascii="Calibri" w:hAnsi="Calibri" w:eastAsia="Microsoft YaHei" w:cs="Calibri"/>
          <w:color w:val="1D2D3D"/>
          <w:sz w:val="22"/>
          <w:szCs w:val="22"/>
        </w:rPr>
        <w:t xml:space="preserve"> If a datalink is degraded or jammed, the AI automatically re-routes data through alternative paths (e.g., MADL blocked -&gt; relay via TTNT mesh -&gt; SATCOM -&gt; ground C2 -&gt; Link 16). Route selection optimises for latency, bandwidth, and survivability using reinforcement learning trained on 10,000+ simulated engagement scenarios.</w:t>
      </w:r>
    </w:p>
    <w:p>
      <w:pPr>
        <w:pStyle w:val="Heading3"/>
      </w:pPr>
      <w:r>
        <w:rPr>
          <w:rFonts w:ascii="Calibri" w:hAnsi="Calibri" w:eastAsia="Microsoft YaHei" w:cs="Calibri"/>
          <w:b/>
          <w:color w:val="4A5568"/>
          <w:sz w:val="26"/>
          <w:szCs w:val="26"/>
        </w:rPr>
        <w:t>3.2 AI Hardware Architecture</w:t>
      </w:r>
    </w:p>
    <w:tbl>
      <w:tblPr>
        <w:tblBorders>
          <w:top w:val="single" w:space="0"/>
          <w:left w:val="nil" w:space="0"/>
          <w:bottom w:val="single" w:space="0"/>
          <w:right w:val="nil" w:space="0"/>
          <w:insideH w:val="single" w:space="0"/>
          <w:insideV w:val="nil" w:space="0"/>
        </w:tblBorders>
        <w:tblW w:w="5000" w:type="pct"/>
        <w:tblLayout w:type="fixed"/>
      </w:tblPr>
      <w:tblGrid>
        <w:gridCol w:w="50"/>
        <w:gridCol w:w="70"/>
      </w:tblGrid>
      <w:tr>
        <w:trPr>
          <w:tblHeader w:val="1"/>
        </w:trPr>
        <w:tc>
          <w:tcPr>
            <w:tcW w:w="50" w:type="dxa"/>
            <w:shd w:val="clear" w:color="auto" w:fill="E8EDF2"/>
          </w:tcPr>
          <w:p>
            <w:pPr>
              <w:pStyle w:val="Normal"/>
              <w:jc w:val="center"/>
              <w:spacing w:before="40" w:after="40"/>
            </w:pPr>
            <w:r>
              <w:rPr>
                <w:rFonts w:ascii="Calibri" w:hAnsi="Calibri" w:eastAsia="Microsoft YaHei"/>
                <w:color w:val="1D2D3D"/>
                <w:sz w:val="20"/>
                <w:b/>
                <w:szCs w:val="20"/>
              </w:rPr>
              <w:t>Component</w:t>
            </w:r>
          </w:p>
        </w:tc>
        <w:tc>
          <w:tcPr>
            <w:tcW w:w="70" w:type="dxa"/>
            <w:shd w:val="clear" w:color="auto" w:fill="E8EDF2"/>
          </w:tcPr>
          <w:p>
            <w:pPr>
              <w:pStyle w:val="Normal"/>
              <w:jc w:val="center"/>
              <w:spacing w:before="40" w:after="40"/>
            </w:pPr>
            <w:r>
              <w:rPr>
                <w:rFonts w:ascii="Calibri" w:hAnsi="Calibri" w:eastAsia="Microsoft YaHei"/>
                <w:color w:val="1D2D3D"/>
                <w:sz w:val="20"/>
                <w:b/>
                <w:szCs w:val="20"/>
              </w:rPr>
              <w:t>Specification</w:t>
            </w:r>
          </w:p>
        </w:tc>
      </w:tr>
      <w:tr>
        <w:tc>
          <w:tcPr>
            <w:tcW w:w="50" w:type="dxa"/>
          </w:tcPr>
          <w:p>
            <w:pPr>
              <w:pStyle w:val="Normal"/>
              <w:ind w:left="60"/>
              <w:spacing w:before="30" w:after="30"/>
            </w:pPr>
            <w:r>
              <w:rPr>
                <w:rFonts w:ascii="Calibri" w:hAnsi="Calibri" w:eastAsia="Microsoft YaHei"/>
                <w:color w:val="4A5568"/>
                <w:sz w:val="20"/>
                <w:szCs w:val="20"/>
              </w:rPr>
              <w:t>AI Inference Processor</w:t>
            </w:r>
          </w:p>
        </w:tc>
        <w:tc>
          <w:tcPr>
            <w:tcW w:w="70" w:type="dxa"/>
          </w:tcPr>
          <w:p>
            <w:pPr>
              <w:pStyle w:val="Normal"/>
              <w:ind w:left="60"/>
              <w:spacing w:before="30" w:after="30"/>
            </w:pPr>
            <w:r>
              <w:rPr>
                <w:rFonts w:ascii="Calibri" w:hAnsi="Calibri" w:eastAsia="Microsoft YaHei"/>
                <w:color w:val="4A5568"/>
                <w:sz w:val="20"/>
                <w:szCs w:val="20"/>
              </w:rPr>
              <w:t>Nvidia Jetson AGX Orin Industrial (32 GB LPDDR5, 275 TOPS INT8, 2048 CUDA cores, 64 Tensor Cores)</w:t>
            </w:r>
          </w:p>
        </w:tc>
      </w:tr>
      <w:tr>
        <w:tc>
          <w:tcPr>
            <w:tcW w:w="50" w:type="dxa"/>
          </w:tcPr>
          <w:p>
            <w:pPr>
              <w:pStyle w:val="Normal"/>
              <w:ind w:left="60"/>
              <w:spacing w:before="30" w:after="30"/>
            </w:pPr>
            <w:r>
              <w:rPr>
                <w:rFonts w:ascii="Calibri" w:hAnsi="Calibri" w:eastAsia="Microsoft YaHei"/>
                <w:color w:val="4A5568"/>
                <w:sz w:val="20"/>
                <w:szCs w:val="20"/>
              </w:rPr>
              <w:t>Signal Processing FPGA</w:t>
            </w:r>
          </w:p>
        </w:tc>
        <w:tc>
          <w:tcPr>
            <w:tcW w:w="70" w:type="dxa"/>
          </w:tcPr>
          <w:p>
            <w:pPr>
              <w:pStyle w:val="Normal"/>
              <w:ind w:left="60"/>
              <w:spacing w:before="30" w:after="30"/>
            </w:pPr>
            <w:r>
              <w:rPr>
                <w:rFonts w:ascii="Calibri" w:hAnsi="Calibri" w:eastAsia="Microsoft YaHei"/>
                <w:color w:val="4A5568"/>
                <w:sz w:val="20"/>
                <w:szCs w:val="20"/>
              </w:rPr>
              <w:t>Xilinx Virtex UltraScale+ VU9P (2.5M logic cells, 1,248 DSP slices, 96 GTY transceivers at 28.2 Gb/s)</w:t>
            </w:r>
          </w:p>
        </w:tc>
      </w:tr>
      <w:tr>
        <w:tc>
          <w:tcPr>
            <w:tcW w:w="50" w:type="dxa"/>
          </w:tcPr>
          <w:p>
            <w:pPr>
              <w:pStyle w:val="Normal"/>
              <w:ind w:left="60"/>
              <w:spacing w:before="30" w:after="30"/>
            </w:pPr>
            <w:r>
              <w:rPr>
                <w:rFonts w:ascii="Calibri" w:hAnsi="Calibri" w:eastAsia="Microsoft YaHei"/>
                <w:color w:val="4A5568"/>
                <w:sz w:val="20"/>
                <w:szCs w:val="20"/>
              </w:rPr>
              <w:t>System Memory</w:t>
            </w:r>
          </w:p>
        </w:tc>
        <w:tc>
          <w:tcPr>
            <w:tcW w:w="70" w:type="dxa"/>
          </w:tcPr>
          <w:p>
            <w:pPr>
              <w:pStyle w:val="Normal"/>
              <w:ind w:left="60"/>
              <w:spacing w:before="30" w:after="30"/>
            </w:pPr>
            <w:r>
              <w:rPr>
                <w:rFonts w:ascii="Calibri" w:hAnsi="Calibri" w:eastAsia="Microsoft YaHei"/>
                <w:color w:val="4A5568"/>
                <w:sz w:val="20"/>
                <w:szCs w:val="20"/>
              </w:rPr>
              <w:t>128 GB DDR4-3200 ECC (4 x 32 GB RDIMM)</w:t>
            </w:r>
          </w:p>
        </w:tc>
      </w:tr>
      <w:tr>
        <w:tc>
          <w:tcPr>
            <w:tcW w:w="50" w:type="dxa"/>
          </w:tcPr>
          <w:p>
            <w:pPr>
              <w:pStyle w:val="Normal"/>
              <w:ind w:left="60"/>
              <w:spacing w:before="30" w:after="30"/>
            </w:pPr>
            <w:r>
              <w:rPr>
                <w:rFonts w:ascii="Calibri" w:hAnsi="Calibri" w:eastAsia="Microsoft YaHei"/>
                <w:color w:val="4A5568"/>
                <w:sz w:val="20"/>
                <w:szCs w:val="20"/>
              </w:rPr>
              <w:t>Storage</w:t>
            </w:r>
          </w:p>
        </w:tc>
        <w:tc>
          <w:tcPr>
            <w:tcW w:w="70" w:type="dxa"/>
          </w:tcPr>
          <w:p>
            <w:pPr>
              <w:pStyle w:val="Normal"/>
              <w:ind w:left="60"/>
              <w:spacing w:before="30" w:after="30"/>
            </w:pPr>
            <w:r>
              <w:rPr>
                <w:rFonts w:ascii="Calibri" w:hAnsi="Calibri" w:eastAsia="Microsoft YaHei"/>
                <w:color w:val="4A5568"/>
                <w:sz w:val="20"/>
                <w:szCs w:val="20"/>
              </w:rPr>
              <w:t>4 TB NVMe SSD (2 x 2 TB Samsung PM9A3, RAID 1, hot-swappable)</w:t>
            </w:r>
          </w:p>
        </w:tc>
      </w:tr>
      <w:tr>
        <w:tc>
          <w:tcPr>
            <w:tcW w:w="50" w:type="dxa"/>
          </w:tcPr>
          <w:p>
            <w:pPr>
              <w:pStyle w:val="Normal"/>
              <w:ind w:left="60"/>
              <w:spacing w:before="30" w:after="30"/>
            </w:pPr>
            <w:r>
              <w:rPr>
                <w:rFonts w:ascii="Calibri" w:hAnsi="Calibri" w:eastAsia="Microsoft YaHei"/>
                <w:color w:val="4A5568"/>
                <w:sz w:val="20"/>
                <w:szCs w:val="20"/>
              </w:rPr>
              <w:t>AI Framework</w:t>
            </w:r>
          </w:p>
        </w:tc>
        <w:tc>
          <w:tcPr>
            <w:tcW w:w="70" w:type="dxa"/>
          </w:tcPr>
          <w:p>
            <w:pPr>
              <w:pStyle w:val="Normal"/>
              <w:ind w:left="60"/>
              <w:spacing w:before="30" w:after="30"/>
            </w:pPr>
            <w:r>
              <w:rPr>
                <w:rFonts w:ascii="Calibri" w:hAnsi="Calibri" w:eastAsia="Microsoft YaHei"/>
                <w:color w:val="4A5568"/>
                <w:sz w:val="20"/>
                <w:szCs w:val="20"/>
              </w:rPr>
              <w:t>TensorRT 8.6 (inference), PyTorch 2.1 (model development), ONNX Runtime (interoperability)</w:t>
            </w:r>
          </w:p>
        </w:tc>
      </w:tr>
      <w:tr>
        <w:tc>
          <w:tcPr>
            <w:tcW w:w="50" w:type="dxa"/>
          </w:tcPr>
          <w:p>
            <w:pPr>
              <w:pStyle w:val="Normal"/>
              <w:ind w:left="60"/>
              <w:spacing w:before="30" w:after="30"/>
            </w:pPr>
            <w:r>
              <w:rPr>
                <w:rFonts w:ascii="Calibri" w:hAnsi="Calibri" w:eastAsia="Microsoft YaHei"/>
                <w:color w:val="4A5568"/>
                <w:sz w:val="20"/>
                <w:szCs w:val="20"/>
              </w:rPr>
              <w:t>Neural Network Models</w:t>
            </w:r>
          </w:p>
        </w:tc>
        <w:tc>
          <w:tcPr>
            <w:tcW w:w="70" w:type="dxa"/>
          </w:tcPr>
          <w:p>
            <w:pPr>
              <w:pStyle w:val="Normal"/>
              <w:ind w:left="60"/>
              <w:spacing w:before="30" w:after="30"/>
            </w:pPr>
            <w:r>
              <w:rPr>
                <w:rFonts w:ascii="Calibri" w:hAnsi="Calibri" w:eastAsia="Microsoft YaHei"/>
                <w:color w:val="4A5568"/>
                <w:sz w:val="20"/>
                <w:szCs w:val="20"/>
              </w:rPr>
              <w:t>Track Correlation Net (TCN-2025): 12-layer transformer, 4.2M parameters; Route Optimiser Net (RON-2025): Graph neural network, 8.7M parameters</w:t>
            </w:r>
          </w:p>
        </w:tc>
      </w:tr>
      <w:tr>
        <w:tc>
          <w:tcPr>
            <w:tcW w:w="50" w:type="dxa"/>
          </w:tcPr>
          <w:p>
            <w:pPr>
              <w:pStyle w:val="Normal"/>
              <w:ind w:left="60"/>
              <w:spacing w:before="30" w:after="30"/>
            </w:pPr>
            <w:r>
              <w:rPr>
                <w:rFonts w:ascii="Calibri" w:hAnsi="Calibri" w:eastAsia="Microsoft YaHei"/>
                <w:color w:val="4A5568"/>
                <w:sz w:val="20"/>
                <w:szCs w:val="20"/>
              </w:rPr>
              <w:t>Inference Latency</w:t>
            </w:r>
          </w:p>
        </w:tc>
        <w:tc>
          <w:tcPr>
            <w:tcW w:w="70" w:type="dxa"/>
          </w:tcPr>
          <w:p>
            <w:pPr>
              <w:pStyle w:val="Normal"/>
              <w:ind w:left="60"/>
              <w:spacing w:before="30" w:after="30"/>
            </w:pPr>
            <w:r>
              <w:rPr>
                <w:rFonts w:ascii="Calibri" w:hAnsi="Calibri" w:eastAsia="Microsoft YaHei"/>
                <w:color w:val="4A5568"/>
                <w:sz w:val="20"/>
                <w:szCs w:val="20"/>
              </w:rPr>
              <w:t>&lt; 8 ms per track correlation decision; &lt; 15 ms for route re-planning (50 Hz replanning rate)</w:t>
            </w:r>
          </w:p>
        </w:tc>
      </w:tr>
    </w:tbl>
    <w:p>
      <w:pPr>
        <w:pStyle w:val="Heading2"/>
      </w:pPr>
      <w:r>
        <w:rPr>
          <w:rFonts w:ascii="Calibri" w:hAnsi="Calibri" w:eastAsia="Microsoft YaHei" w:cs="Calibri"/>
          <w:b/>
          <w:color w:val="1D2D3D"/>
          <w:sz w:val="30"/>
          <w:szCs w:val="30"/>
        </w:rPr>
        <w:t>4. Physical Installation Options</w:t>
      </w:r>
    </w:p>
    <w:p>
      <w:pPr>
        <w:pStyle w:val="Heading3"/>
      </w:pPr>
      <w:r>
        <w:rPr>
          <w:rFonts w:ascii="Calibri" w:hAnsi="Calibri" w:eastAsia="Microsoft YaHei" w:cs="Calibri"/>
          <w:b/>
          <w:color w:val="4A5568"/>
          <w:sz w:val="26"/>
          <w:szCs w:val="26"/>
        </w:rPr>
        <w:t>4.1 Option Alpha: Striker Loyal Wingman — Primary Configuration</w:t>
      </w:r>
    </w:p>
    <w:p>
      <w:pPr>
        <w:pStyle w:val="Normal"/>
      </w:pPr>
      <w:r>
        <w:rPr>
          <w:rFonts w:ascii="Calibri" w:hAnsi="Calibri" w:eastAsia="Microsoft YaHei" w:cs="Calibri"/>
          <w:color w:val="1D2D3D"/>
          <w:sz w:val="22"/>
          <w:szCs w:val="22"/>
        </w:rPr>
        <w:t>The primary installation option places the Gateway One system inside the Striker Loyal Wingman's internal weapons bay. This configuration leverages the Striker's all-aspect stealth (-28 dBsm frontal RCS), 55,000 ft service ceiling, and 620 nm combat radius to provide a survivable, high-altitude relay node that can operate within contested airspace alongside F-35s.</w:t>
      </w:r>
    </w:p>
    <w:tbl>
      <w:tblPr>
        <w:tblBorders>
          <w:top w:val="single" w:space="0"/>
          <w:left w:val="nil" w:space="0"/>
          <w:bottom w:val="single" w:space="0"/>
          <w:right w:val="nil" w:space="0"/>
          <w:insideH w:val="single" w:space="0"/>
          <w:insideV w:val="nil" w:space="0"/>
        </w:tblBorders>
        <w:tblW w:w="5000" w:type="pct"/>
        <w:tblLayout w:type="fixed"/>
      </w:tblPr>
      <w:tblGrid>
        <w:gridCol w:w="50"/>
        <w:gridCol w:w="70"/>
      </w:tblGrid>
      <w:tr>
        <w:trPr>
          <w:tblHeader w:val="1"/>
        </w:trPr>
        <w:tc>
          <w:tcPr>
            <w:tcW w:w="50" w:type="dxa"/>
            <w:shd w:val="clear" w:color="auto" w:fill="E8EDF2"/>
          </w:tcPr>
          <w:p>
            <w:pPr>
              <w:pStyle w:val="Normal"/>
              <w:jc w:val="center"/>
              <w:spacing w:before="40" w:after="40"/>
            </w:pPr>
            <w:r>
              <w:rPr>
                <w:rFonts w:ascii="Calibri" w:hAnsi="Calibri" w:eastAsia="Microsoft YaHei"/>
                <w:color w:val="1D2D3D"/>
                <w:sz w:val="20"/>
                <w:b/>
                <w:szCs w:val="20"/>
              </w:rPr>
              <w:t>Parameter</w:t>
            </w:r>
          </w:p>
        </w:tc>
        <w:tc>
          <w:tcPr>
            <w:tcW w:w="70" w:type="dxa"/>
            <w:shd w:val="clear" w:color="auto" w:fill="E8EDF2"/>
          </w:tcPr>
          <w:p>
            <w:pPr>
              <w:pStyle w:val="Normal"/>
              <w:jc w:val="center"/>
              <w:spacing w:before="40" w:after="40"/>
            </w:pPr>
            <w:r>
              <w:rPr>
                <w:rFonts w:ascii="Calibri" w:hAnsi="Calibri" w:eastAsia="Microsoft YaHei"/>
                <w:color w:val="1D2D3D"/>
                <w:sz w:val="20"/>
                <w:b/>
                <w:szCs w:val="20"/>
              </w:rPr>
              <w:t>Value</w:t>
            </w:r>
          </w:p>
        </w:tc>
      </w:tr>
      <w:tr>
        <w:tc>
          <w:tcPr>
            <w:tcW w:w="50" w:type="dxa"/>
          </w:tcPr>
          <w:p>
            <w:pPr>
              <w:pStyle w:val="Normal"/>
              <w:ind w:left="60"/>
              <w:spacing w:before="30" w:after="30"/>
            </w:pPr>
            <w:r>
              <w:rPr>
                <w:rFonts w:ascii="Calibri" w:hAnsi="Calibri" w:eastAsia="Microsoft YaHei"/>
                <w:color w:val="4A5568"/>
                <w:sz w:val="20"/>
                <w:szCs w:val="20"/>
              </w:rPr>
              <w:t>Installation Location</w:t>
            </w:r>
          </w:p>
        </w:tc>
        <w:tc>
          <w:tcPr>
            <w:tcW w:w="70" w:type="dxa"/>
          </w:tcPr>
          <w:p>
            <w:pPr>
              <w:pStyle w:val="Normal"/>
              <w:ind w:left="60"/>
              <w:spacing w:before="30" w:after="30"/>
            </w:pPr>
            <w:r>
              <w:rPr>
                <w:rFonts w:ascii="Calibri" w:hAnsi="Calibri" w:eastAsia="Microsoft YaHei"/>
                <w:color w:val="4A5568"/>
                <w:sz w:val="20"/>
                <w:szCs w:val="20"/>
              </w:rPr>
              <w:t>Striker Internal Weapons Bay, Port Bay (forward section, stations 1-2)</w:t>
            </w:r>
          </w:p>
        </w:tc>
      </w:tr>
      <w:tr>
        <w:tc>
          <w:tcPr>
            <w:tcW w:w="50" w:type="dxa"/>
          </w:tcPr>
          <w:p>
            <w:pPr>
              <w:pStyle w:val="Normal"/>
              <w:ind w:left="60"/>
              <w:spacing w:before="30" w:after="30"/>
            </w:pPr>
            <w:r>
              <w:rPr>
                <w:rFonts w:ascii="Calibri" w:hAnsi="Calibri" w:eastAsia="Microsoft YaHei"/>
                <w:color w:val="4A5568"/>
                <w:sz w:val="20"/>
                <w:szCs w:val="20"/>
              </w:rPr>
              <w:t>Total Payload Weight</w:t>
            </w:r>
          </w:p>
        </w:tc>
        <w:tc>
          <w:tcPr>
            <w:tcW w:w="70" w:type="dxa"/>
          </w:tcPr>
          <w:p>
            <w:pPr>
              <w:pStyle w:val="Normal"/>
              <w:ind w:left="60"/>
              <w:spacing w:before="30" w:after="30"/>
            </w:pPr>
            <w:r>
              <w:rPr>
                <w:rFonts w:ascii="Calibri" w:hAnsi="Calibri" w:eastAsia="Microsoft YaHei"/>
                <w:color w:val="4A5568"/>
                <w:sz w:val="20"/>
                <w:szCs w:val="20"/>
              </w:rPr>
              <w:t>142 kg (OSG 18.4 kg + SDR 9.2 kg + MADL terminal 14.5 kg + Link 16 36.7 kg + TTNT 3.6 kg + AI module 8.2 kg + PSU 12.4 kg + cooling system 11.8 kg + antenna assemblies 18.2 kg + cabling 9.6 kg)</w:t>
            </w:r>
          </w:p>
        </w:tc>
      </w:tr>
      <w:tr>
        <w:tc>
          <w:tcPr>
            <w:tcW w:w="50" w:type="dxa"/>
          </w:tcPr>
          <w:p>
            <w:pPr>
              <w:pStyle w:val="Normal"/>
              <w:ind w:left="60"/>
              <w:spacing w:before="30" w:after="30"/>
            </w:pPr>
            <w:r>
              <w:rPr>
                <w:rFonts w:ascii="Calibri" w:hAnsi="Calibri" w:eastAsia="Microsoft YaHei"/>
                <w:color w:val="4A5568"/>
                <w:sz w:val="20"/>
                <w:szCs w:val="20"/>
              </w:rPr>
              <w:t>Power Draw</w:t>
            </w:r>
          </w:p>
        </w:tc>
        <w:tc>
          <w:tcPr>
            <w:tcW w:w="70" w:type="dxa"/>
          </w:tcPr>
          <w:p>
            <w:pPr>
              <w:pStyle w:val="Normal"/>
              <w:ind w:left="60"/>
              <w:spacing w:before="30" w:after="30"/>
            </w:pPr>
            <w:r>
              <w:rPr>
                <w:rFonts w:ascii="Calibri" w:hAnsi="Calibri" w:eastAsia="Microsoft YaHei"/>
                <w:color w:val="4A5568"/>
                <w:sz w:val="20"/>
                <w:szCs w:val="20"/>
              </w:rPr>
              <w:t>850 W peak (from Striker 28V DC bus, 45 A max draw)</w:t>
            </w:r>
          </w:p>
        </w:tc>
      </w:tr>
      <w:tr>
        <w:tc>
          <w:tcPr>
            <w:tcW w:w="50" w:type="dxa"/>
          </w:tcPr>
          <w:p>
            <w:pPr>
              <w:pStyle w:val="Normal"/>
              <w:ind w:left="60"/>
              <w:spacing w:before="30" w:after="30"/>
            </w:pPr>
            <w:r>
              <w:rPr>
                <w:rFonts w:ascii="Calibri" w:hAnsi="Calibri" w:eastAsia="Microsoft YaHei"/>
                <w:color w:val="4A5568"/>
                <w:sz w:val="20"/>
                <w:szCs w:val="20"/>
              </w:rPr>
              <w:t>Cooling</w:t>
            </w:r>
          </w:p>
        </w:tc>
        <w:tc>
          <w:tcPr>
            <w:tcW w:w="70" w:type="dxa"/>
          </w:tcPr>
          <w:p>
            <w:pPr>
              <w:pStyle w:val="Normal"/>
              <w:ind w:left="60"/>
              <w:spacing w:before="30" w:after="30"/>
            </w:pPr>
            <w:r>
              <w:rPr>
                <w:rFonts w:ascii="Calibri" w:hAnsi="Calibri" w:eastAsia="Microsoft YaHei"/>
                <w:color w:val="4A5568"/>
                <w:sz w:val="20"/>
                <w:szCs w:val="20"/>
              </w:rPr>
              <w:t>Liquid-to-air heat exchanger using Striker fuel as thermal sink; 850 W heat rejection</w:t>
            </w:r>
          </w:p>
        </w:tc>
      </w:tr>
      <w:tr>
        <w:tc>
          <w:tcPr>
            <w:tcW w:w="50" w:type="dxa"/>
          </w:tcPr>
          <w:p>
            <w:pPr>
              <w:pStyle w:val="Normal"/>
              <w:ind w:left="60"/>
              <w:spacing w:before="30" w:after="30"/>
            </w:pPr>
            <w:r>
              <w:rPr>
                <w:rFonts w:ascii="Calibri" w:hAnsi="Calibri" w:eastAsia="Microsoft YaHei"/>
                <w:color w:val="4A5568"/>
                <w:sz w:val="20"/>
                <w:szCs w:val="20"/>
              </w:rPr>
              <w:t>Antenna Configuration</w:t>
            </w:r>
          </w:p>
        </w:tc>
        <w:tc>
          <w:tcPr>
            <w:tcW w:w="70" w:type="dxa"/>
          </w:tcPr>
          <w:p>
            <w:pPr>
              <w:pStyle w:val="Normal"/>
              <w:ind w:left="60"/>
              <w:spacing w:before="30" w:after="30"/>
            </w:pPr>
            <w:r>
              <w:rPr>
                <w:rFonts w:ascii="Calibri" w:hAnsi="Calibri" w:eastAsia="Microsoft YaHei"/>
                <w:color w:val="4A5568"/>
                <w:sz w:val="20"/>
                <w:szCs w:val="20"/>
              </w:rPr>
              <w:t>MADL: 2 x Ku-band ESA panels (dorsal fairing); Link 16: L-band blade (ventral); TTNT: 2 x S-band patch (wing trailing edge); SATCOM: steerable Ku flat panel (dorsal aft)</w:t>
            </w:r>
          </w:p>
        </w:tc>
      </w:tr>
      <w:tr>
        <w:tc>
          <w:tcPr>
            <w:tcW w:w="50" w:type="dxa"/>
          </w:tcPr>
          <w:p>
            <w:pPr>
              <w:pStyle w:val="Normal"/>
              <w:ind w:left="60"/>
              <w:spacing w:before="30" w:after="30"/>
            </w:pPr>
            <w:r>
              <w:rPr>
                <w:rFonts w:ascii="Calibri" w:hAnsi="Calibri" w:eastAsia="Microsoft YaHei"/>
                <w:color w:val="4A5568"/>
                <w:sz w:val="20"/>
                <w:szCs w:val="20"/>
              </w:rPr>
              <w:t>LoS Coverage</w:t>
            </w:r>
          </w:p>
        </w:tc>
        <w:tc>
          <w:tcPr>
            <w:tcW w:w="70" w:type="dxa"/>
          </w:tcPr>
          <w:p>
            <w:pPr>
              <w:pStyle w:val="Normal"/>
              <w:ind w:left="60"/>
              <w:spacing w:before="30" w:after="30"/>
            </w:pPr>
            <w:r>
              <w:rPr>
                <w:rFonts w:ascii="Calibri" w:hAnsi="Calibri" w:eastAsia="Microsoft YaHei"/>
                <w:color w:val="4A5568"/>
                <w:sz w:val="20"/>
                <w:szCs w:val="20"/>
              </w:rPr>
              <w:t>250 nm radius at 50,000 ft (F-35 MADL); 300 nm (Link 16); 280 nm (TTNT mesh)</w:t>
            </w:r>
          </w:p>
        </w:tc>
      </w:tr>
      <w:tr>
        <w:tc>
          <w:tcPr>
            <w:tcW w:w="50" w:type="dxa"/>
          </w:tcPr>
          <w:p>
            <w:pPr>
              <w:pStyle w:val="Normal"/>
              <w:ind w:left="60"/>
              <w:spacing w:before="30" w:after="30"/>
            </w:pPr>
            <w:r>
              <w:rPr>
                <w:rFonts w:ascii="Calibri" w:hAnsi="Calibri" w:eastAsia="Microsoft YaHei"/>
                <w:color w:val="4A5568"/>
                <w:sz w:val="20"/>
                <w:szCs w:val="20"/>
              </w:rPr>
              <w:t>Survivability</w:t>
            </w:r>
          </w:p>
        </w:tc>
        <w:tc>
          <w:tcPr>
            <w:tcW w:w="70" w:type="dxa"/>
          </w:tcPr>
          <w:p>
            <w:pPr>
              <w:pStyle w:val="Normal"/>
              <w:ind w:left="60"/>
              <w:spacing w:before="30" w:after="30"/>
            </w:pPr>
            <w:r>
              <w:rPr>
                <w:rFonts w:ascii="Calibri" w:hAnsi="Calibri" w:eastAsia="Microsoft YaHei"/>
                <w:color w:val="4A5568"/>
                <w:sz w:val="20"/>
                <w:szCs w:val="20"/>
              </w:rPr>
              <w:t>All-aspect stealth; 2-4% per-sortie loss rate in contested ops; autonomous RTB on wingman loss</w:t>
            </w:r>
          </w:p>
        </w:tc>
      </w:tr>
    </w:tbl>
    <w:p>
      <w:pPr>
        <w:pStyle w:val="Heading3"/>
      </w:pPr>
      <w:r>
        <w:rPr>
          <w:rFonts w:ascii="Calibri" w:hAnsi="Calibri" w:eastAsia="Microsoft YaHei" w:cs="Calibri"/>
          <w:b/>
          <w:color w:val="4A5568"/>
          <w:sz w:val="26"/>
          <w:szCs w:val="26"/>
        </w:rPr>
        <w:t>4.2 Option Bravo: Palletized Ground Station — Secondary Configuration</w:t>
      </w:r>
    </w:p>
    <w:p>
      <w:pPr>
        <w:pStyle w:val="Normal"/>
      </w:pPr>
      <w:r>
        <w:rPr>
          <w:rFonts w:ascii="Calibri" w:hAnsi="Calibri" w:eastAsia="Microsoft YaHei" w:cs="Calibri"/>
          <w:color w:val="1D2D3D"/>
          <w:sz w:val="22"/>
          <w:szCs w:val="22"/>
        </w:rPr>
        <w:t>For forward operating bases (FOBs) and expeditionary operations, a palletized, rapidly deployable ground gateway is provided in a modified 10-foot ISO container. This configuration provides persistent BLOS connectivity from austere locations and serves as a backup when airborne relays are unavailable.</w:t>
      </w:r>
    </w:p>
    <w:tbl>
      <w:tblPr>
        <w:tblBorders>
          <w:top w:val="single" w:space="0"/>
          <w:left w:val="nil" w:space="0"/>
          <w:bottom w:val="single" w:space="0"/>
          <w:right w:val="nil" w:space="0"/>
          <w:insideH w:val="single" w:space="0"/>
          <w:insideV w:val="nil" w:space="0"/>
        </w:tblBorders>
        <w:tblW w:w="5000" w:type="pct"/>
        <w:tblLayout w:type="fixed"/>
      </w:tblPr>
      <w:tblGrid>
        <w:gridCol w:w="50"/>
        <w:gridCol w:w="70"/>
      </w:tblGrid>
      <w:tr>
        <w:trPr>
          <w:tblHeader w:val="1"/>
        </w:trPr>
        <w:tc>
          <w:tcPr>
            <w:tcW w:w="50" w:type="dxa"/>
            <w:shd w:val="clear" w:color="auto" w:fill="E8EDF2"/>
          </w:tcPr>
          <w:p>
            <w:pPr>
              <w:pStyle w:val="Normal"/>
              <w:jc w:val="center"/>
              <w:spacing w:before="40" w:after="40"/>
            </w:pPr>
            <w:r>
              <w:rPr>
                <w:rFonts w:ascii="Calibri" w:hAnsi="Calibri" w:eastAsia="Microsoft YaHei"/>
                <w:color w:val="1D2D3D"/>
                <w:sz w:val="20"/>
                <w:b/>
                <w:szCs w:val="20"/>
              </w:rPr>
              <w:t>Parameter</w:t>
            </w:r>
          </w:p>
        </w:tc>
        <w:tc>
          <w:tcPr>
            <w:tcW w:w="70" w:type="dxa"/>
            <w:shd w:val="clear" w:color="auto" w:fill="E8EDF2"/>
          </w:tcPr>
          <w:p>
            <w:pPr>
              <w:pStyle w:val="Normal"/>
              <w:jc w:val="center"/>
              <w:spacing w:before="40" w:after="40"/>
            </w:pPr>
            <w:r>
              <w:rPr>
                <w:rFonts w:ascii="Calibri" w:hAnsi="Calibri" w:eastAsia="Microsoft YaHei"/>
                <w:color w:val="1D2D3D"/>
                <w:sz w:val="20"/>
                <w:b/>
                <w:szCs w:val="20"/>
              </w:rPr>
              <w:t>Value</w:t>
            </w:r>
          </w:p>
        </w:tc>
      </w:tr>
      <w:tr>
        <w:tc>
          <w:tcPr>
            <w:tcW w:w="50" w:type="dxa"/>
          </w:tcPr>
          <w:p>
            <w:pPr>
              <w:pStyle w:val="Normal"/>
              <w:ind w:left="60"/>
              <w:spacing w:before="30" w:after="30"/>
            </w:pPr>
            <w:r>
              <w:rPr>
                <w:rFonts w:ascii="Calibri" w:hAnsi="Calibri" w:eastAsia="Microsoft YaHei"/>
                <w:color w:val="4A5568"/>
                <w:sz w:val="20"/>
                <w:szCs w:val="20"/>
              </w:rPr>
              <w:t>Container</w:t>
            </w:r>
          </w:p>
        </w:tc>
        <w:tc>
          <w:tcPr>
            <w:tcW w:w="70" w:type="dxa"/>
          </w:tcPr>
          <w:p>
            <w:pPr>
              <w:pStyle w:val="Normal"/>
              <w:ind w:left="60"/>
              <w:spacing w:before="30" w:after="30"/>
            </w:pPr>
            <w:r>
              <w:rPr>
                <w:rFonts w:ascii="Calibri" w:hAnsi="Calibri" w:eastAsia="Microsoft YaHei"/>
                <w:color w:val="4A5568"/>
                <w:sz w:val="20"/>
                <w:szCs w:val="20"/>
              </w:rPr>
              <w:t>10 ft ISO HC (3.0m x 2.4m x 2.6m), C-130/C-17 transportable, Arctic-rated (-55 deg C)</w:t>
            </w:r>
          </w:p>
        </w:tc>
      </w:tr>
      <w:tr>
        <w:tc>
          <w:tcPr>
            <w:tcW w:w="50" w:type="dxa"/>
          </w:tcPr>
          <w:p>
            <w:pPr>
              <w:pStyle w:val="Normal"/>
              <w:ind w:left="60"/>
              <w:spacing w:before="30" w:after="30"/>
            </w:pPr>
            <w:r>
              <w:rPr>
                <w:rFonts w:ascii="Calibri" w:hAnsi="Calibri" w:eastAsia="Microsoft YaHei"/>
                <w:color w:val="4A5568"/>
                <w:sz w:val="20"/>
                <w:szCs w:val="20"/>
              </w:rPr>
              <w:t>Setup Time</w:t>
            </w:r>
          </w:p>
        </w:tc>
        <w:tc>
          <w:tcPr>
            <w:tcW w:w="70" w:type="dxa"/>
          </w:tcPr>
          <w:p>
            <w:pPr>
              <w:pStyle w:val="Normal"/>
              <w:ind w:left="60"/>
              <w:spacing w:before="30" w:after="30"/>
            </w:pPr>
            <w:r>
              <w:rPr>
                <w:rFonts w:ascii="Calibri" w:hAnsi="Calibri" w:eastAsia="Microsoft YaHei"/>
                <w:color w:val="4A5568"/>
                <w:sz w:val="20"/>
                <w:szCs w:val="20"/>
              </w:rPr>
              <w:t>45 minutes (4-person crew); 20 minutes with forklift</w:t>
            </w:r>
          </w:p>
        </w:tc>
      </w:tr>
      <w:tr>
        <w:tc>
          <w:tcPr>
            <w:tcW w:w="50" w:type="dxa"/>
          </w:tcPr>
          <w:p>
            <w:pPr>
              <w:pStyle w:val="Normal"/>
              <w:ind w:left="60"/>
              <w:spacing w:before="30" w:after="30"/>
            </w:pPr>
            <w:r>
              <w:rPr>
                <w:rFonts w:ascii="Calibri" w:hAnsi="Calibri" w:eastAsia="Microsoft YaHei"/>
                <w:color w:val="4A5568"/>
                <w:sz w:val="20"/>
                <w:szCs w:val="20"/>
              </w:rPr>
              <w:t>Antenna Mast</w:t>
            </w:r>
          </w:p>
        </w:tc>
        <w:tc>
          <w:tcPr>
            <w:tcW w:w="70" w:type="dxa"/>
          </w:tcPr>
          <w:p>
            <w:pPr>
              <w:pStyle w:val="Normal"/>
              <w:ind w:left="60"/>
              <w:spacing w:before="30" w:after="30"/>
            </w:pPr>
            <w:r>
              <w:rPr>
                <w:rFonts w:ascii="Calibri" w:hAnsi="Calibri" w:eastAsia="Microsoft YaHei"/>
                <w:color w:val="4A5568"/>
                <w:sz w:val="20"/>
                <w:szCs w:val="20"/>
              </w:rPr>
              <w:t>Telescopic 12 m hydraulic mast (L-band Link 16, S-band TTNT, Ku SATCOM dish)</w:t>
            </w:r>
          </w:p>
        </w:tc>
      </w:tr>
      <w:tr>
        <w:tc>
          <w:tcPr>
            <w:tcW w:w="50" w:type="dxa"/>
          </w:tcPr>
          <w:p>
            <w:pPr>
              <w:pStyle w:val="Normal"/>
              <w:ind w:left="60"/>
              <w:spacing w:before="30" w:after="30"/>
            </w:pPr>
            <w:r>
              <w:rPr>
                <w:rFonts w:ascii="Calibri" w:hAnsi="Calibri" w:eastAsia="Microsoft YaHei"/>
                <w:color w:val="4A5568"/>
                <w:sz w:val="20"/>
                <w:szCs w:val="20"/>
              </w:rPr>
              <w:t>Power</w:t>
            </w:r>
          </w:p>
        </w:tc>
        <w:tc>
          <w:tcPr>
            <w:tcW w:w="70" w:type="dxa"/>
          </w:tcPr>
          <w:p>
            <w:pPr>
              <w:pStyle w:val="Normal"/>
              <w:ind w:left="60"/>
              <w:spacing w:before="30" w:after="30"/>
            </w:pPr>
            <w:r>
              <w:rPr>
                <w:rFonts w:ascii="Calibri" w:hAnsi="Calibri" w:eastAsia="Microsoft YaHei"/>
                <w:color w:val="4A5568"/>
                <w:sz w:val="20"/>
                <w:szCs w:val="20"/>
              </w:rPr>
              <w:t>20 kW diesel generator (JP-8 compatible) + UPS (30 min backup)</w:t>
            </w:r>
          </w:p>
        </w:tc>
      </w:tr>
      <w:tr>
        <w:tc>
          <w:tcPr>
            <w:tcW w:w="50" w:type="dxa"/>
          </w:tcPr>
          <w:p>
            <w:pPr>
              <w:pStyle w:val="Normal"/>
              <w:ind w:left="60"/>
              <w:spacing w:before="30" w:after="30"/>
            </w:pPr>
            <w:r>
              <w:rPr>
                <w:rFonts w:ascii="Calibri" w:hAnsi="Calibri" w:eastAsia="Microsoft YaHei"/>
                <w:color w:val="4A5568"/>
                <w:sz w:val="20"/>
                <w:szCs w:val="20"/>
              </w:rPr>
              <w:t>Environmental</w:t>
            </w:r>
          </w:p>
        </w:tc>
        <w:tc>
          <w:tcPr>
            <w:tcW w:w="70" w:type="dxa"/>
          </w:tcPr>
          <w:p>
            <w:pPr>
              <w:pStyle w:val="Normal"/>
              <w:ind w:left="60"/>
              <w:spacing w:before="30" w:after="30"/>
            </w:pPr>
            <w:r>
              <w:rPr>
                <w:rFonts w:ascii="Calibri" w:hAnsi="Calibri" w:eastAsia="Microsoft YaHei"/>
                <w:color w:val="4A5568"/>
                <w:sz w:val="20"/>
                <w:szCs w:val="20"/>
              </w:rPr>
              <w:t>ECU: -55 deg C to +55 deg C operational; NBC filtration; EMP hardening (MIL-STD-461G)</w:t>
            </w:r>
          </w:p>
        </w:tc>
      </w:tr>
    </w:tbl>
    <w:p>
      <w:pPr>
        <w:pStyle w:val="Heading2"/>
      </w:pPr>
      <w:r>
        <w:rPr>
          <w:rFonts w:ascii="Calibri" w:hAnsi="Calibri" w:eastAsia="Microsoft YaHei" w:cs="Calibri"/>
          <w:b/>
          <w:color w:val="1D2D3D"/>
          <w:sz w:val="30"/>
          <w:szCs w:val="30"/>
        </w:rPr>
        <w:t>5. Communications Architecture and Data Flow</w:t>
      </w:r>
    </w:p>
    <w:p>
      <w:pPr>
        <w:pStyle w:val="Heading3"/>
      </w:pPr>
      <w:r>
        <w:rPr>
          <w:rFonts w:ascii="Calibri" w:hAnsi="Calibri" w:eastAsia="Microsoft YaHei" w:cs="Calibri"/>
          <w:b/>
          <w:color w:val="4A5568"/>
          <w:sz w:val="26"/>
          <w:szCs w:val="26"/>
        </w:rPr>
        <w:t>5.1 Gateway One Data Translation Matrix</w:t>
      </w:r>
    </w:p>
    <w:tbl>
      <w:tblPr>
        <w:tblBorders>
          <w:top w:val="single" w:space="0"/>
          <w:left w:val="nil" w:space="0"/>
          <w:bottom w:val="single" w:space="0"/>
          <w:right w:val="nil" w:space="0"/>
          <w:insideH w:val="single" w:space="0"/>
          <w:insideV w:val="nil" w:space="0"/>
        </w:tblBorders>
        <w:tblW w:w="5000" w:type="pct"/>
        <w:tblLayout w:type="fixed"/>
      </w:tblPr>
      <w:tblGrid>
        <w:gridCol w:w="30"/>
        <w:gridCol w:w="30"/>
        <w:gridCol w:w="30"/>
        <w:gridCol w:w="30"/>
        <w:gridCol w:w="30"/>
      </w:tblGrid>
      <w:tr>
        <w:trPr>
          <w:tblHeader w:val="1"/>
        </w:trPr>
        <w:tc>
          <w:tcPr>
            <w:tcW w:w="30" w:type="dxa"/>
            <w:shd w:val="clear" w:color="auto" w:fill="E8EDF2"/>
          </w:tcPr>
          <w:p>
            <w:pPr>
              <w:pStyle w:val="Normal"/>
              <w:jc w:val="center"/>
              <w:spacing w:before="40" w:after="40"/>
            </w:pPr>
            <w:r>
              <w:rPr>
                <w:rFonts w:ascii="Calibri" w:hAnsi="Calibri" w:eastAsia="Microsoft YaHei"/>
                <w:color w:val="1D2D3D"/>
                <w:sz w:val="20"/>
                <w:b/>
                <w:szCs w:val="20"/>
              </w:rPr>
              <w:t>Source Platform</w:t>
            </w:r>
          </w:p>
        </w:tc>
        <w:tc>
          <w:tcPr>
            <w:tcW w:w="30" w:type="dxa"/>
            <w:shd w:val="clear" w:color="auto" w:fill="E8EDF2"/>
          </w:tcPr>
          <w:p>
            <w:pPr>
              <w:pStyle w:val="Normal"/>
              <w:jc w:val="center"/>
              <w:spacing w:before="40" w:after="40"/>
            </w:pPr>
            <w:r>
              <w:rPr>
                <w:rFonts w:ascii="Calibri" w:hAnsi="Calibri" w:eastAsia="Microsoft YaHei"/>
                <w:color w:val="1D2D3D"/>
                <w:sz w:val="20"/>
                <w:b/>
                <w:szCs w:val="20"/>
              </w:rPr>
              <w:t>Source Link</w:t>
            </w:r>
          </w:p>
        </w:tc>
        <w:tc>
          <w:tcPr>
            <w:tcW w:w="30" w:type="dxa"/>
            <w:shd w:val="clear" w:color="auto" w:fill="E8EDF2"/>
          </w:tcPr>
          <w:p>
            <w:pPr>
              <w:pStyle w:val="Normal"/>
              <w:jc w:val="center"/>
              <w:spacing w:before="40" w:after="40"/>
            </w:pPr>
            <w:r>
              <w:rPr>
                <w:rFonts w:ascii="Calibri" w:hAnsi="Calibri" w:eastAsia="Microsoft YaHei"/>
                <w:color w:val="1D2D3D"/>
                <w:sz w:val="20"/>
                <w:b/>
                <w:szCs w:val="20"/>
              </w:rPr>
              <w:t>Gateway Action</w:t>
            </w:r>
          </w:p>
        </w:tc>
        <w:tc>
          <w:tcPr>
            <w:tcW w:w="30" w:type="dxa"/>
            <w:shd w:val="clear" w:color="auto" w:fill="E8EDF2"/>
          </w:tcPr>
          <w:p>
            <w:pPr>
              <w:pStyle w:val="Normal"/>
              <w:jc w:val="center"/>
              <w:spacing w:before="40" w:after="40"/>
            </w:pPr>
            <w:r>
              <w:rPr>
                <w:rFonts w:ascii="Calibri" w:hAnsi="Calibri" w:eastAsia="Microsoft YaHei"/>
                <w:color w:val="1D2D3D"/>
                <w:sz w:val="20"/>
                <w:b/>
                <w:szCs w:val="20"/>
              </w:rPr>
              <w:t>Output Link</w:t>
            </w:r>
          </w:p>
        </w:tc>
        <w:tc>
          <w:tcPr>
            <w:tcW w:w="30" w:type="dxa"/>
            <w:shd w:val="clear" w:color="auto" w:fill="E8EDF2"/>
          </w:tcPr>
          <w:p>
            <w:pPr>
              <w:pStyle w:val="Normal"/>
              <w:jc w:val="center"/>
              <w:spacing w:before="40" w:after="40"/>
            </w:pPr>
            <w:r>
              <w:rPr>
                <w:rFonts w:ascii="Calibri" w:hAnsi="Calibri" w:eastAsia="Microsoft YaHei"/>
                <w:color w:val="1D2D3D"/>
                <w:sz w:val="20"/>
                <w:b/>
                <w:szCs w:val="20"/>
              </w:rPr>
              <w:t>Recipient</w:t>
            </w:r>
          </w:p>
        </w:tc>
      </w:tr>
      <w:tr>
        <w:tc>
          <w:tcPr>
            <w:tcW w:w="30" w:type="dxa"/>
          </w:tcPr>
          <w:p>
            <w:pPr>
              <w:pStyle w:val="Normal"/>
              <w:ind w:left="60"/>
              <w:spacing w:before="30" w:after="30"/>
            </w:pPr>
            <w:r>
              <w:rPr>
                <w:rFonts w:ascii="Calibri" w:hAnsi="Calibri" w:eastAsia="Microsoft YaHei"/>
                <w:color w:val="4A5568"/>
                <w:sz w:val="20"/>
                <w:szCs w:val="20"/>
              </w:rPr>
              <w:t>F-35A</w:t>
            </w:r>
          </w:p>
        </w:tc>
        <w:tc>
          <w:tcPr>
            <w:tcW w:w="30" w:type="dxa"/>
          </w:tcPr>
          <w:p>
            <w:pPr>
              <w:pStyle w:val="Normal"/>
              <w:ind w:left="60"/>
              <w:spacing w:before="30" w:after="30"/>
            </w:pPr>
            <w:r>
              <w:rPr>
                <w:rFonts w:ascii="Calibri" w:hAnsi="Calibri" w:eastAsia="Microsoft YaHei"/>
                <w:color w:val="4A5568"/>
                <w:sz w:val="20"/>
                <w:szCs w:val="20"/>
              </w:rPr>
              <w:t>MADL (Ku, 100 Mbps)</w:t>
            </w:r>
          </w:p>
        </w:tc>
        <w:tc>
          <w:tcPr>
            <w:tcW w:w="30" w:type="dxa"/>
          </w:tcPr>
          <w:p>
            <w:pPr>
              <w:pStyle w:val="Normal"/>
              <w:ind w:left="60"/>
              <w:spacing w:before="30" w:after="30"/>
            </w:pPr>
            <w:r>
              <w:rPr>
                <w:rFonts w:ascii="Calibri" w:hAnsi="Calibri" w:eastAsia="Microsoft YaHei"/>
                <w:color w:val="4A5568"/>
                <w:sz w:val="20"/>
                <w:szCs w:val="20"/>
              </w:rPr>
              <w:t>Decrypt, translate to J-series, re-encrypt</w:t>
            </w:r>
          </w:p>
        </w:tc>
        <w:tc>
          <w:tcPr>
            <w:tcW w:w="30" w:type="dxa"/>
          </w:tcPr>
          <w:p>
            <w:pPr>
              <w:pStyle w:val="Normal"/>
              <w:ind w:left="60"/>
              <w:spacing w:before="30" w:after="30"/>
            </w:pPr>
            <w:r>
              <w:rPr>
                <w:rFonts w:ascii="Calibri" w:hAnsi="Calibri" w:eastAsia="Microsoft YaHei"/>
                <w:color w:val="4A5568"/>
                <w:sz w:val="20"/>
                <w:szCs w:val="20"/>
              </w:rPr>
              <w:t>Link 16 / TTNT</w:t>
            </w:r>
          </w:p>
        </w:tc>
        <w:tc>
          <w:tcPr>
            <w:tcW w:w="30" w:type="dxa"/>
          </w:tcPr>
          <w:p>
            <w:pPr>
              <w:pStyle w:val="Normal"/>
              <w:ind w:left="60"/>
              <w:spacing w:before="30" w:after="30"/>
            </w:pPr>
            <w:r>
              <w:rPr>
                <w:rFonts w:ascii="Calibri" w:hAnsi="Calibri" w:eastAsia="Microsoft YaHei"/>
                <w:color w:val="4A5568"/>
                <w:sz w:val="20"/>
                <w:szCs w:val="20"/>
              </w:rPr>
              <w:t>Gripen E, Striker, Sprinter, Ground C2</w:t>
            </w:r>
          </w:p>
        </w:tc>
      </w:tr>
      <w:tr>
        <w:tc>
          <w:tcPr>
            <w:tcW w:w="30" w:type="dxa"/>
          </w:tcPr>
          <w:p>
            <w:pPr>
              <w:pStyle w:val="Normal"/>
              <w:ind w:left="60"/>
              <w:spacing w:before="30" w:after="30"/>
            </w:pPr>
            <w:r>
              <w:rPr>
                <w:rFonts w:ascii="Calibri" w:hAnsi="Calibri" w:eastAsia="Microsoft YaHei"/>
                <w:color w:val="4A5568"/>
                <w:sz w:val="20"/>
                <w:szCs w:val="20"/>
              </w:rPr>
              <w:t>Gripen E</w:t>
            </w:r>
          </w:p>
        </w:tc>
        <w:tc>
          <w:tcPr>
            <w:tcW w:w="30" w:type="dxa"/>
          </w:tcPr>
          <w:p>
            <w:pPr>
              <w:pStyle w:val="Normal"/>
              <w:ind w:left="60"/>
              <w:spacing w:before="30" w:after="30"/>
            </w:pPr>
            <w:r>
              <w:rPr>
                <w:rFonts w:ascii="Calibri" w:hAnsi="Calibri" w:eastAsia="Microsoft YaHei"/>
                <w:color w:val="4A5568"/>
                <w:sz w:val="20"/>
                <w:szCs w:val="20"/>
              </w:rPr>
              <w:t>Link 16 (L-band)</w:t>
            </w:r>
          </w:p>
        </w:tc>
        <w:tc>
          <w:tcPr>
            <w:tcW w:w="30" w:type="dxa"/>
          </w:tcPr>
          <w:p>
            <w:pPr>
              <w:pStyle w:val="Normal"/>
              <w:ind w:left="60"/>
              <w:spacing w:before="30" w:after="30"/>
            </w:pPr>
            <w:r>
              <w:rPr>
                <w:rFonts w:ascii="Calibri" w:hAnsi="Calibri" w:eastAsia="Microsoft YaHei"/>
                <w:color w:val="4A5568"/>
                <w:sz w:val="20"/>
                <w:szCs w:val="20"/>
              </w:rPr>
              <w:t>Package into MADL format</w:t>
            </w:r>
          </w:p>
        </w:tc>
        <w:tc>
          <w:tcPr>
            <w:tcW w:w="30" w:type="dxa"/>
          </w:tcPr>
          <w:p>
            <w:pPr>
              <w:pStyle w:val="Normal"/>
              <w:ind w:left="60"/>
              <w:spacing w:before="30" w:after="30"/>
            </w:pPr>
            <w:r>
              <w:rPr>
                <w:rFonts w:ascii="Calibri" w:hAnsi="Calibri" w:eastAsia="Microsoft YaHei"/>
                <w:color w:val="4A5568"/>
                <w:sz w:val="20"/>
                <w:szCs w:val="20"/>
              </w:rPr>
              <w:t>MADL (Ku)</w:t>
            </w:r>
          </w:p>
        </w:tc>
        <w:tc>
          <w:tcPr>
            <w:tcW w:w="30" w:type="dxa"/>
          </w:tcPr>
          <w:p>
            <w:pPr>
              <w:pStyle w:val="Normal"/>
              <w:ind w:left="60"/>
              <w:spacing w:before="30" w:after="30"/>
            </w:pPr>
            <w:r>
              <w:rPr>
                <w:rFonts w:ascii="Calibri" w:hAnsi="Calibri" w:eastAsia="Microsoft YaHei"/>
                <w:color w:val="4A5568"/>
                <w:sz w:val="20"/>
                <w:szCs w:val="20"/>
              </w:rPr>
              <w:t>F-35A (uplink tracks)</w:t>
            </w:r>
          </w:p>
        </w:tc>
      </w:tr>
      <w:tr>
        <w:tc>
          <w:tcPr>
            <w:tcW w:w="30" w:type="dxa"/>
          </w:tcPr>
          <w:p>
            <w:pPr>
              <w:pStyle w:val="Normal"/>
              <w:ind w:left="60"/>
              <w:spacing w:before="30" w:after="30"/>
            </w:pPr>
            <w:r>
              <w:rPr>
                <w:rFonts w:ascii="Calibri" w:hAnsi="Calibri" w:eastAsia="Microsoft YaHei"/>
                <w:color w:val="4A5568"/>
                <w:sz w:val="20"/>
                <w:szCs w:val="20"/>
              </w:rPr>
              <w:t>Striker</w:t>
            </w:r>
          </w:p>
        </w:tc>
        <w:tc>
          <w:tcPr>
            <w:tcW w:w="30" w:type="dxa"/>
          </w:tcPr>
          <w:p>
            <w:pPr>
              <w:pStyle w:val="Normal"/>
              <w:ind w:left="60"/>
              <w:spacing w:before="30" w:after="30"/>
            </w:pPr>
            <w:r>
              <w:rPr>
                <w:rFonts w:ascii="Calibri" w:hAnsi="Calibri" w:eastAsia="Microsoft YaHei"/>
                <w:color w:val="4A5568"/>
                <w:sz w:val="20"/>
                <w:szCs w:val="20"/>
              </w:rPr>
              <w:t>TTNT (S-band)</w:t>
            </w:r>
          </w:p>
        </w:tc>
        <w:tc>
          <w:tcPr>
            <w:tcW w:w="30" w:type="dxa"/>
          </w:tcPr>
          <w:p>
            <w:pPr>
              <w:pStyle w:val="Normal"/>
              <w:ind w:left="60"/>
              <w:spacing w:before="30" w:after="30"/>
            </w:pPr>
            <w:r>
              <w:rPr>
                <w:rFonts w:ascii="Calibri" w:hAnsi="Calibri" w:eastAsia="Microsoft YaHei"/>
                <w:color w:val="4A5568"/>
                <w:sz w:val="20"/>
                <w:szCs w:val="20"/>
              </w:rPr>
              <w:t>Fusion, correlation, protocol bridge</w:t>
            </w:r>
          </w:p>
        </w:tc>
        <w:tc>
          <w:tcPr>
            <w:tcW w:w="30" w:type="dxa"/>
          </w:tcPr>
          <w:p>
            <w:pPr>
              <w:pStyle w:val="Normal"/>
              <w:ind w:left="60"/>
              <w:spacing w:before="30" w:after="30"/>
            </w:pPr>
            <w:r>
              <w:rPr>
                <w:rFonts w:ascii="Calibri" w:hAnsi="Calibri" w:eastAsia="Microsoft YaHei"/>
                <w:color w:val="4A5568"/>
                <w:sz w:val="20"/>
                <w:szCs w:val="20"/>
              </w:rPr>
              <w:t>MADL / Link 16 / SATCOM</w:t>
            </w:r>
          </w:p>
        </w:tc>
        <w:tc>
          <w:tcPr>
            <w:tcW w:w="30" w:type="dxa"/>
          </w:tcPr>
          <w:p>
            <w:pPr>
              <w:pStyle w:val="Normal"/>
              <w:ind w:left="60"/>
              <w:spacing w:before="30" w:after="30"/>
            </w:pPr>
            <w:r>
              <w:rPr>
                <w:rFonts w:ascii="Calibri" w:hAnsi="Calibri" w:eastAsia="Microsoft YaHei"/>
                <w:color w:val="4A5568"/>
                <w:sz w:val="20"/>
                <w:szCs w:val="20"/>
              </w:rPr>
              <w:t>F-35A, Gripen E, NORAD</w:t>
            </w:r>
          </w:p>
        </w:tc>
      </w:tr>
      <w:tr>
        <w:tc>
          <w:tcPr>
            <w:tcW w:w="30" w:type="dxa"/>
          </w:tcPr>
          <w:p>
            <w:pPr>
              <w:pStyle w:val="Normal"/>
              <w:ind w:left="60"/>
              <w:spacing w:before="30" w:after="30"/>
            </w:pPr>
            <w:r>
              <w:rPr>
                <w:rFonts w:ascii="Calibri" w:hAnsi="Calibri" w:eastAsia="Microsoft YaHei"/>
                <w:color w:val="4A5568"/>
                <w:sz w:val="20"/>
                <w:szCs w:val="20"/>
              </w:rPr>
              <w:t>Sprinter</w:t>
            </w:r>
          </w:p>
        </w:tc>
        <w:tc>
          <w:tcPr>
            <w:tcW w:w="30" w:type="dxa"/>
          </w:tcPr>
          <w:p>
            <w:pPr>
              <w:pStyle w:val="Normal"/>
              <w:ind w:left="60"/>
              <w:spacing w:before="30" w:after="30"/>
            </w:pPr>
            <w:r>
              <w:rPr>
                <w:rFonts w:ascii="Calibri" w:hAnsi="Calibri" w:eastAsia="Microsoft YaHei"/>
                <w:color w:val="4A5568"/>
                <w:sz w:val="20"/>
                <w:szCs w:val="20"/>
              </w:rPr>
              <w:t>TTNT (S-band)</w:t>
            </w:r>
          </w:p>
        </w:tc>
        <w:tc>
          <w:tcPr>
            <w:tcW w:w="30" w:type="dxa"/>
          </w:tcPr>
          <w:p>
            <w:pPr>
              <w:pStyle w:val="Normal"/>
              <w:ind w:left="60"/>
              <w:spacing w:before="30" w:after="30"/>
            </w:pPr>
            <w:r>
              <w:rPr>
                <w:rFonts w:ascii="Calibri" w:hAnsi="Calibri" w:eastAsia="Microsoft YaHei"/>
                <w:color w:val="4A5568"/>
                <w:sz w:val="20"/>
                <w:szCs w:val="20"/>
              </w:rPr>
              <w:t>Aggregation, relay</w:t>
            </w:r>
          </w:p>
        </w:tc>
        <w:tc>
          <w:tcPr>
            <w:tcW w:w="30" w:type="dxa"/>
          </w:tcPr>
          <w:p>
            <w:pPr>
              <w:pStyle w:val="Normal"/>
              <w:ind w:left="60"/>
              <w:spacing w:before="30" w:after="30"/>
            </w:pPr>
            <w:r>
              <w:rPr>
                <w:rFonts w:ascii="Calibri" w:hAnsi="Calibri" w:eastAsia="Microsoft YaHei"/>
                <w:color w:val="4A5568"/>
                <w:sz w:val="20"/>
                <w:szCs w:val="20"/>
              </w:rPr>
              <w:t>Link 16 / TTNT</w:t>
            </w:r>
          </w:p>
        </w:tc>
        <w:tc>
          <w:tcPr>
            <w:tcW w:w="30" w:type="dxa"/>
          </w:tcPr>
          <w:p>
            <w:pPr>
              <w:pStyle w:val="Normal"/>
              <w:ind w:left="60"/>
              <w:spacing w:before="30" w:after="30"/>
            </w:pPr>
            <w:r>
              <w:rPr>
                <w:rFonts w:ascii="Calibri" w:hAnsi="Calibri" w:eastAsia="Microsoft YaHei"/>
                <w:color w:val="4A5568"/>
                <w:sz w:val="20"/>
                <w:szCs w:val="20"/>
              </w:rPr>
              <w:t>Striker, Gripen E, Ground C2</w:t>
            </w:r>
          </w:p>
        </w:tc>
      </w:tr>
      <w:tr>
        <w:tc>
          <w:tcPr>
            <w:tcW w:w="30" w:type="dxa"/>
          </w:tcPr>
          <w:p>
            <w:pPr>
              <w:pStyle w:val="Normal"/>
              <w:ind w:left="60"/>
              <w:spacing w:before="30" w:after="30"/>
            </w:pPr>
            <w:r>
              <w:rPr>
                <w:rFonts w:ascii="Calibri" w:hAnsi="Calibri" w:eastAsia="Microsoft YaHei"/>
                <w:color w:val="4A5568"/>
                <w:sz w:val="20"/>
                <w:szCs w:val="20"/>
              </w:rPr>
              <w:t>NORAD / Ground C2</w:t>
            </w:r>
          </w:p>
        </w:tc>
        <w:tc>
          <w:tcPr>
            <w:tcW w:w="30" w:type="dxa"/>
          </w:tcPr>
          <w:p>
            <w:pPr>
              <w:pStyle w:val="Normal"/>
              <w:ind w:left="60"/>
              <w:spacing w:before="30" w:after="30"/>
            </w:pPr>
            <w:r>
              <w:rPr>
                <w:rFonts w:ascii="Calibri" w:hAnsi="Calibri" w:eastAsia="Microsoft YaHei"/>
                <w:color w:val="4A5568"/>
                <w:sz w:val="20"/>
                <w:szCs w:val="20"/>
              </w:rPr>
              <w:t>SATCOM (Ku/Ka)</w:t>
            </w:r>
          </w:p>
        </w:tc>
        <w:tc>
          <w:tcPr>
            <w:tcW w:w="30" w:type="dxa"/>
          </w:tcPr>
          <w:p>
            <w:pPr>
              <w:pStyle w:val="Normal"/>
              <w:ind w:left="60"/>
              <w:spacing w:before="30" w:after="30"/>
            </w:pPr>
            <w:r>
              <w:rPr>
                <w:rFonts w:ascii="Calibri" w:hAnsi="Calibri" w:eastAsia="Microsoft YaHei"/>
                <w:color w:val="4A5568"/>
                <w:sz w:val="20"/>
                <w:szCs w:val="20"/>
              </w:rPr>
              <w:t>JREAP-C decode, translate</w:t>
            </w:r>
          </w:p>
        </w:tc>
        <w:tc>
          <w:tcPr>
            <w:tcW w:w="30" w:type="dxa"/>
          </w:tcPr>
          <w:p>
            <w:pPr>
              <w:pStyle w:val="Normal"/>
              <w:ind w:left="60"/>
              <w:spacing w:before="30" w:after="30"/>
            </w:pPr>
            <w:r>
              <w:rPr>
                <w:rFonts w:ascii="Calibri" w:hAnsi="Calibri" w:eastAsia="Microsoft YaHei"/>
                <w:color w:val="4A5568"/>
                <w:sz w:val="20"/>
                <w:szCs w:val="20"/>
              </w:rPr>
              <w:t>Link 16 / MADL</w:t>
            </w:r>
          </w:p>
        </w:tc>
        <w:tc>
          <w:tcPr>
            <w:tcW w:w="30" w:type="dxa"/>
          </w:tcPr>
          <w:p>
            <w:pPr>
              <w:pStyle w:val="Normal"/>
              <w:ind w:left="60"/>
              <w:spacing w:before="30" w:after="30"/>
            </w:pPr>
            <w:r>
              <w:rPr>
                <w:rFonts w:ascii="Calibri" w:hAnsi="Calibri" w:eastAsia="Microsoft YaHei"/>
                <w:color w:val="4A5568"/>
                <w:sz w:val="20"/>
                <w:szCs w:val="20"/>
              </w:rPr>
              <w:t>All airborne platforms</w:t>
            </w:r>
          </w:p>
        </w:tc>
      </w:tr>
    </w:tbl>
    <w:p>
      <w:pPr>
        <w:pStyle w:val="Heading2"/>
      </w:pPr>
      <w:r>
        <w:rPr>
          <w:rFonts w:ascii="Calibri" w:hAnsi="Calibri" w:eastAsia="Microsoft YaHei" w:cs="Calibri"/>
          <w:b/>
          <w:color w:val="1D2D3D"/>
          <w:sz w:val="30"/>
          <w:szCs w:val="30"/>
        </w:rPr>
        <w:t>6. Bill of Materials — Specific Part Numbers</w:t>
      </w:r>
    </w:p>
    <w:p>
      <w:pPr>
        <w:pStyle w:val="Heading3"/>
      </w:pPr>
      <w:r>
        <w:rPr>
          <w:rFonts w:ascii="Calibri" w:hAnsi="Calibri" w:eastAsia="Microsoft YaHei" w:cs="Calibri"/>
          <w:b/>
          <w:color w:val="4A5568"/>
          <w:sz w:val="26"/>
          <w:szCs w:val="26"/>
        </w:rPr>
        <w:t>6.1 Line-Replaceable Units (LRUs)</w:t>
      </w:r>
    </w:p>
    <w:tbl>
      <w:tblPr>
        <w:tblBorders>
          <w:top w:val="single" w:space="0"/>
          <w:left w:val="nil" w:space="0"/>
          <w:bottom w:val="single" w:space="0"/>
          <w:right w:val="nil" w:space="0"/>
          <w:insideH w:val="single" w:space="0"/>
          <w:insideV w:val="nil" w:space="0"/>
        </w:tblBorders>
        <w:tblW w:w="5000" w:type="pct"/>
        <w:tblLayout w:type="fixed"/>
      </w:tblPr>
      <w:tblGrid>
        <w:gridCol w:w="16"/>
        <w:gridCol w:w="36"/>
        <w:gridCol w:w="50"/>
        <w:gridCol w:w="20"/>
        <w:gridCol w:w="16"/>
        <w:gridCol w:w="22"/>
      </w:tblGrid>
      <w:tr>
        <w:trPr>
          <w:tblHeader w:val="1"/>
        </w:trPr>
        <w:tc>
          <w:tcPr>
            <w:tcW w:w="16" w:type="dxa"/>
            <w:shd w:val="clear" w:color="auto" w:fill="E8EDF2"/>
          </w:tcPr>
          <w:p>
            <w:pPr>
              <w:pStyle w:val="Normal"/>
              <w:jc w:val="center"/>
              <w:spacing w:before="40" w:after="40"/>
            </w:pPr>
            <w:r>
              <w:rPr>
                <w:rFonts w:ascii="Calibri" w:hAnsi="Calibri" w:eastAsia="Microsoft YaHei"/>
                <w:color w:val="1D2D3D"/>
                <w:sz w:val="18"/>
                <w:b/>
                <w:szCs w:val="18"/>
              </w:rPr>
              <w:t>Line</w:t>
            </w:r>
          </w:p>
        </w:tc>
        <w:tc>
          <w:tcPr>
            <w:tcW w:w="36" w:type="dxa"/>
            <w:shd w:val="clear" w:color="auto" w:fill="E8EDF2"/>
          </w:tcPr>
          <w:p>
            <w:pPr>
              <w:pStyle w:val="Normal"/>
              <w:jc w:val="center"/>
              <w:spacing w:before="40" w:after="40"/>
            </w:pPr>
            <w:r>
              <w:rPr>
                <w:rFonts w:ascii="Calibri" w:hAnsi="Calibri" w:eastAsia="Microsoft YaHei"/>
                <w:color w:val="1D2D3D"/>
                <w:sz w:val="18"/>
                <w:b/>
                <w:szCs w:val="18"/>
              </w:rPr>
              <w:t>Part Number</w:t>
            </w:r>
          </w:p>
        </w:tc>
        <w:tc>
          <w:tcPr>
            <w:tcW w:w="50" w:type="dxa"/>
            <w:shd w:val="clear" w:color="auto" w:fill="E8EDF2"/>
          </w:tcPr>
          <w:p>
            <w:pPr>
              <w:pStyle w:val="Normal"/>
              <w:jc w:val="center"/>
              <w:spacing w:before="40" w:after="40"/>
            </w:pPr>
            <w:r>
              <w:rPr>
                <w:rFonts w:ascii="Calibri" w:hAnsi="Calibri" w:eastAsia="Microsoft YaHei"/>
                <w:color w:val="1D2D3D"/>
                <w:sz w:val="18"/>
                <w:b/>
                <w:szCs w:val="18"/>
              </w:rPr>
              <w:t>Description</w:t>
            </w:r>
          </w:p>
        </w:tc>
        <w:tc>
          <w:tcPr>
            <w:tcW w:w="20" w:type="dxa"/>
            <w:shd w:val="clear" w:color="auto" w:fill="E8EDF2"/>
          </w:tcPr>
          <w:p>
            <w:pPr>
              <w:pStyle w:val="Normal"/>
              <w:jc w:val="center"/>
              <w:spacing w:before="40" w:after="40"/>
            </w:pPr>
            <w:r>
              <w:rPr>
                <w:rFonts w:ascii="Calibri" w:hAnsi="Calibri" w:eastAsia="Microsoft YaHei"/>
                <w:color w:val="1D2D3D"/>
                <w:sz w:val="18"/>
                <w:b/>
                <w:szCs w:val="18"/>
              </w:rPr>
              <w:t>NSN</w:t>
            </w:r>
          </w:p>
        </w:tc>
        <w:tc>
          <w:tcPr>
            <w:tcW w:w="16" w:type="dxa"/>
            <w:shd w:val="clear" w:color="auto" w:fill="E8EDF2"/>
          </w:tcPr>
          <w:p>
            <w:pPr>
              <w:pStyle w:val="Normal"/>
              <w:jc w:val="center"/>
              <w:spacing w:before="40" w:after="40"/>
            </w:pPr>
            <w:r>
              <w:rPr>
                <w:rFonts w:ascii="Calibri" w:hAnsi="Calibri" w:eastAsia="Microsoft YaHei"/>
                <w:color w:val="1D2D3D"/>
                <w:sz w:val="18"/>
                <w:b/>
                <w:szCs w:val="18"/>
              </w:rPr>
              <w:t>Qty</w:t>
            </w:r>
          </w:p>
        </w:tc>
        <w:tc>
          <w:tcPr>
            <w:tcW w:w="22" w:type="dxa"/>
            <w:shd w:val="clear" w:color="auto" w:fill="E8EDF2"/>
          </w:tcPr>
          <w:p>
            <w:pPr>
              <w:pStyle w:val="Normal"/>
              <w:jc w:val="center"/>
              <w:spacing w:before="40" w:after="40"/>
            </w:pPr>
            <w:r>
              <w:rPr>
                <w:rFonts w:ascii="Calibri" w:hAnsi="Calibri" w:eastAsia="Microsoft YaHei"/>
                <w:color w:val="1D2D3D"/>
                <w:sz w:val="18"/>
                <w:b/>
                <w:szCs w:val="18"/>
              </w:rPr>
              <w:t>Unit Cost</w:t>
            </w:r>
          </w:p>
        </w:tc>
      </w:tr>
      <w:tr>
        <w:tc>
          <w:tcPr>
            <w:tcW w:w="16" w:type="dxa"/>
          </w:tcPr>
          <w:p>
            <w:pPr>
              <w:pStyle w:val="Normal"/>
              <w:ind w:left="40"/>
              <w:spacing w:before="20" w:after="20"/>
            </w:pPr>
            <w:r>
              <w:rPr>
                <w:rFonts w:ascii="Calibri" w:hAnsi="Calibri" w:eastAsia="Microsoft YaHei"/>
                <w:color w:val="4A5568"/>
                <w:sz w:val="18"/>
                <w:szCs w:val="18"/>
              </w:rPr>
              <w:t>1</w:t>
            </w:r>
          </w:p>
        </w:tc>
        <w:tc>
          <w:tcPr>
            <w:tcW w:w="36" w:type="dxa"/>
          </w:tcPr>
          <w:p>
            <w:pPr>
              <w:pStyle w:val="Normal"/>
              <w:ind w:left="40"/>
              <w:spacing w:before="20" w:after="20"/>
            </w:pPr>
            <w:r>
              <w:rPr>
                <w:rFonts w:ascii="Calibri" w:hAnsi="Calibri" w:eastAsia="Microsoft YaHei"/>
                <w:color w:val="4A5568"/>
                <w:sz w:val="18"/>
                <w:szCs w:val="18"/>
              </w:rPr>
              <w:t>CAE-GW1-OSG-01</w:t>
            </w:r>
          </w:p>
        </w:tc>
        <w:tc>
          <w:tcPr>
            <w:tcW w:w="50" w:type="dxa"/>
          </w:tcPr>
          <w:p>
            <w:pPr>
              <w:pStyle w:val="Normal"/>
              <w:ind w:left="40"/>
              <w:spacing w:before="20" w:after="20"/>
            </w:pPr>
            <w:r>
              <w:rPr>
                <w:rFonts w:ascii="Calibri" w:hAnsi="Calibri" w:eastAsia="Microsoft YaHei"/>
                <w:color w:val="4A5568"/>
                <w:sz w:val="18"/>
                <w:szCs w:val="18"/>
              </w:rPr>
              <w:t>Open Systems Gateway, 3/4 ATR, Xeon D + VU9P FPGA</w:t>
            </w:r>
          </w:p>
        </w:tc>
        <w:tc>
          <w:tcPr>
            <w:tcW w:w="20" w:type="dxa"/>
          </w:tcPr>
          <w:p>
            <w:pPr>
              <w:pStyle w:val="Normal"/>
              <w:ind w:left="40"/>
              <w:spacing w:before="20" w:after="20"/>
            </w:pPr>
            <w:r>
              <w:rPr>
                <w:rFonts w:ascii="Calibri" w:hAnsi="Calibri" w:eastAsia="Microsoft YaHei"/>
                <w:color w:val="4A5568"/>
                <w:sz w:val="18"/>
                <w:szCs w:val="18"/>
              </w:rPr>
              <w:t>5895-21-005-1234</w:t>
            </w:r>
          </w:p>
        </w:tc>
        <w:tc>
          <w:tcPr>
            <w:tcW w:w="16" w:type="dxa"/>
          </w:tcPr>
          <w:p>
            <w:pPr>
              <w:pStyle w:val="Normal"/>
              <w:jc w:val="center"/>
              <w:spacing w:before="20" w:after="20"/>
            </w:pPr>
            <w:r>
              <w:rPr>
                <w:rFonts w:ascii="Calibri" w:hAnsi="Calibri" w:eastAsia="Microsoft YaHei"/>
                <w:color w:val="4A5568"/>
                <w:sz w:val="18"/>
                <w:szCs w:val="18"/>
              </w:rPr>
              <w:t>24</w:t>
            </w:r>
          </w:p>
        </w:tc>
        <w:tc>
          <w:tcPr>
            <w:tcW w:w="22" w:type="dxa"/>
          </w:tcPr>
          <w:p>
            <w:pPr>
              <w:pStyle w:val="Normal"/>
              <w:jc w:val="right"/>
              <w:spacing w:before="20" w:after="20"/>
            </w:pPr>
            <w:r>
              <w:rPr>
                <w:rFonts w:ascii="Calibri" w:hAnsi="Calibri" w:eastAsia="Microsoft YaHei"/>
                <w:color w:val="4A5568"/>
                <w:sz w:val="18"/>
                <w:szCs w:val="18"/>
              </w:rPr>
              <w:t>$485,000</w:t>
            </w:r>
          </w:p>
        </w:tc>
      </w:tr>
      <w:tr>
        <w:tc>
          <w:tcPr>
            <w:tcW w:w="16" w:type="dxa"/>
          </w:tcPr>
          <w:p>
            <w:pPr>
              <w:pStyle w:val="Normal"/>
              <w:ind w:left="40"/>
              <w:spacing w:before="20" w:after="20"/>
            </w:pPr>
            <w:r>
              <w:rPr>
                <w:rFonts w:ascii="Calibri" w:hAnsi="Calibri" w:eastAsia="Microsoft YaHei"/>
                <w:color w:val="4A5568"/>
                <w:sz w:val="18"/>
                <w:szCs w:val="18"/>
              </w:rPr>
              <w:t>2</w:t>
            </w:r>
          </w:p>
        </w:tc>
        <w:tc>
          <w:tcPr>
            <w:tcW w:w="36" w:type="dxa"/>
          </w:tcPr>
          <w:p>
            <w:pPr>
              <w:pStyle w:val="Normal"/>
              <w:ind w:left="40"/>
              <w:spacing w:before="20" w:after="20"/>
            </w:pPr>
            <w:r>
              <w:rPr>
                <w:rFonts w:ascii="Calibri" w:hAnsi="Calibri" w:eastAsia="Microsoft YaHei"/>
                <w:color w:val="4A5568"/>
                <w:sz w:val="18"/>
                <w:szCs w:val="18"/>
              </w:rPr>
              <w:t>NG-F550-OSA-CA</w:t>
            </w:r>
          </w:p>
        </w:tc>
        <w:tc>
          <w:tcPr>
            <w:tcW w:w="50" w:type="dxa"/>
          </w:tcPr>
          <w:p>
            <w:pPr>
              <w:pStyle w:val="Normal"/>
              <w:ind w:left="40"/>
              <w:spacing w:before="20" w:after="20"/>
            </w:pPr>
            <w:r>
              <w:rPr>
                <w:rFonts w:ascii="Calibri" w:hAnsi="Calibri" w:eastAsia="Microsoft YaHei"/>
                <w:color w:val="4A5568"/>
                <w:sz w:val="18"/>
                <w:szCs w:val="18"/>
              </w:rPr>
              <w:t>Freedom 550 SDR, OMS, 0.5-40 GHz, Canadian variant</w:t>
            </w:r>
          </w:p>
        </w:tc>
        <w:tc>
          <w:tcPr>
            <w:tcW w:w="20" w:type="dxa"/>
          </w:tcPr>
          <w:p>
            <w:pPr>
              <w:pStyle w:val="Normal"/>
              <w:ind w:left="40"/>
              <w:spacing w:before="20" w:after="20"/>
            </w:pPr>
            <w:r>
              <w:rPr>
                <w:rFonts w:ascii="Calibri" w:hAnsi="Calibri" w:eastAsia="Microsoft YaHei"/>
                <w:color w:val="4A5568"/>
                <w:sz w:val="18"/>
                <w:szCs w:val="18"/>
              </w:rPr>
              <w:t>5820-21-005-1235</w:t>
            </w:r>
          </w:p>
        </w:tc>
        <w:tc>
          <w:tcPr>
            <w:tcW w:w="16" w:type="dxa"/>
          </w:tcPr>
          <w:p>
            <w:pPr>
              <w:pStyle w:val="Normal"/>
              <w:jc w:val="center"/>
              <w:spacing w:before="20" w:after="20"/>
            </w:pPr>
            <w:r>
              <w:rPr>
                <w:rFonts w:ascii="Calibri" w:hAnsi="Calibri" w:eastAsia="Microsoft YaHei"/>
                <w:color w:val="4A5568"/>
                <w:sz w:val="18"/>
                <w:szCs w:val="18"/>
              </w:rPr>
              <w:t>24</w:t>
            </w:r>
          </w:p>
        </w:tc>
        <w:tc>
          <w:tcPr>
            <w:tcW w:w="22" w:type="dxa"/>
          </w:tcPr>
          <w:p>
            <w:pPr>
              <w:pStyle w:val="Normal"/>
              <w:jc w:val="right"/>
              <w:spacing w:before="20" w:after="20"/>
            </w:pPr>
            <w:r>
              <w:rPr>
                <w:rFonts w:ascii="Calibri" w:hAnsi="Calibri" w:eastAsia="Microsoft YaHei"/>
                <w:color w:val="4A5568"/>
                <w:sz w:val="18"/>
                <w:szCs w:val="18"/>
              </w:rPr>
              <w:t>$1,245,000</w:t>
            </w:r>
          </w:p>
        </w:tc>
      </w:tr>
      <w:tr>
        <w:tc>
          <w:tcPr>
            <w:tcW w:w="16" w:type="dxa"/>
          </w:tcPr>
          <w:p>
            <w:pPr>
              <w:pStyle w:val="Normal"/>
              <w:ind w:left="40"/>
              <w:spacing w:before="20" w:after="20"/>
            </w:pPr>
            <w:r>
              <w:rPr>
                <w:rFonts w:ascii="Calibri" w:hAnsi="Calibri" w:eastAsia="Microsoft YaHei"/>
                <w:color w:val="4A5568"/>
                <w:sz w:val="18"/>
                <w:szCs w:val="18"/>
              </w:rPr>
              <w:t>3</w:t>
            </w:r>
          </w:p>
        </w:tc>
        <w:tc>
          <w:tcPr>
            <w:tcW w:w="36" w:type="dxa"/>
          </w:tcPr>
          <w:p>
            <w:pPr>
              <w:pStyle w:val="Normal"/>
              <w:ind w:left="40"/>
              <w:spacing w:before="20" w:after="20"/>
            </w:pPr>
            <w:r>
              <w:rPr>
                <w:rFonts w:ascii="Calibri" w:hAnsi="Calibri" w:eastAsia="Microsoft YaHei"/>
                <w:color w:val="4A5568"/>
                <w:sz w:val="18"/>
                <w:szCs w:val="18"/>
              </w:rPr>
              <w:t>NG-MADL-TRX-02</w:t>
            </w:r>
          </w:p>
        </w:tc>
        <w:tc>
          <w:tcPr>
            <w:tcW w:w="50" w:type="dxa"/>
          </w:tcPr>
          <w:p>
            <w:pPr>
              <w:pStyle w:val="Normal"/>
              <w:ind w:left="40"/>
              <w:spacing w:before="20" w:after="20"/>
            </w:pPr>
            <w:r>
              <w:rPr>
                <w:rFonts w:ascii="Calibri" w:hAnsi="Calibri" w:eastAsia="Microsoft YaHei"/>
                <w:color w:val="4A5568"/>
                <w:sz w:val="18"/>
                <w:szCs w:val="18"/>
              </w:rPr>
              <w:t>MADL Transceiver, Ku-band, 6-panel ESA, 100 Mbps</w:t>
            </w:r>
          </w:p>
        </w:tc>
        <w:tc>
          <w:tcPr>
            <w:tcW w:w="20" w:type="dxa"/>
          </w:tcPr>
          <w:p>
            <w:pPr>
              <w:pStyle w:val="Normal"/>
              <w:ind w:left="40"/>
              <w:spacing w:before="20" w:after="20"/>
            </w:pPr>
            <w:r>
              <w:rPr>
                <w:rFonts w:ascii="Calibri" w:hAnsi="Calibri" w:eastAsia="Microsoft YaHei"/>
                <w:color w:val="4A5568"/>
                <w:sz w:val="18"/>
                <w:szCs w:val="18"/>
              </w:rPr>
              <w:t>5820-21-005-1236</w:t>
            </w:r>
          </w:p>
        </w:tc>
        <w:tc>
          <w:tcPr>
            <w:tcW w:w="16" w:type="dxa"/>
          </w:tcPr>
          <w:p>
            <w:pPr>
              <w:pStyle w:val="Normal"/>
              <w:jc w:val="center"/>
              <w:spacing w:before="20" w:after="20"/>
            </w:pPr>
            <w:r>
              <w:rPr>
                <w:rFonts w:ascii="Calibri" w:hAnsi="Calibri" w:eastAsia="Microsoft YaHei"/>
                <w:color w:val="4A5568"/>
                <w:sz w:val="18"/>
                <w:szCs w:val="18"/>
              </w:rPr>
              <w:t>24</w:t>
            </w:r>
          </w:p>
        </w:tc>
        <w:tc>
          <w:tcPr>
            <w:tcW w:w="22" w:type="dxa"/>
          </w:tcPr>
          <w:p>
            <w:pPr>
              <w:pStyle w:val="Normal"/>
              <w:jc w:val="right"/>
              <w:spacing w:before="20" w:after="20"/>
            </w:pPr>
            <w:r>
              <w:rPr>
                <w:rFonts w:ascii="Calibri" w:hAnsi="Calibri" w:eastAsia="Microsoft YaHei"/>
                <w:color w:val="4A5568"/>
                <w:sz w:val="18"/>
                <w:szCs w:val="18"/>
              </w:rPr>
              <w:t>$2,850,000</w:t>
            </w:r>
          </w:p>
        </w:tc>
      </w:tr>
      <w:tr>
        <w:tc>
          <w:tcPr>
            <w:tcW w:w="16" w:type="dxa"/>
          </w:tcPr>
          <w:p>
            <w:pPr>
              <w:pStyle w:val="Normal"/>
              <w:ind w:left="40"/>
              <w:spacing w:before="20" w:after="20"/>
            </w:pPr>
            <w:r>
              <w:rPr>
                <w:rFonts w:ascii="Calibri" w:hAnsi="Calibri" w:eastAsia="Microsoft YaHei"/>
                <w:color w:val="4A5568"/>
                <w:sz w:val="18"/>
                <w:szCs w:val="18"/>
              </w:rPr>
              <w:t>4</w:t>
            </w:r>
          </w:p>
        </w:tc>
        <w:tc>
          <w:tcPr>
            <w:tcW w:w="36" w:type="dxa"/>
          </w:tcPr>
          <w:p>
            <w:pPr>
              <w:pStyle w:val="Normal"/>
              <w:ind w:left="40"/>
              <w:spacing w:before="20" w:after="20"/>
            </w:pPr>
            <w:r>
              <w:rPr>
                <w:rFonts w:ascii="Calibri" w:hAnsi="Calibri" w:eastAsia="Microsoft YaHei"/>
                <w:color w:val="4A5568"/>
                <w:sz w:val="18"/>
                <w:szCs w:val="18"/>
              </w:rPr>
              <w:t>L3H-MIDS-LVT-2-CA</w:t>
            </w:r>
          </w:p>
        </w:tc>
        <w:tc>
          <w:tcPr>
            <w:tcW w:w="50" w:type="dxa"/>
          </w:tcPr>
          <w:p>
            <w:pPr>
              <w:pStyle w:val="Normal"/>
              <w:ind w:left="40"/>
              <w:spacing w:before="20" w:after="20"/>
            </w:pPr>
            <w:r>
              <w:rPr>
                <w:rFonts w:ascii="Calibri" w:hAnsi="Calibri" w:eastAsia="Microsoft YaHei"/>
                <w:color w:val="4A5568"/>
                <w:sz w:val="18"/>
                <w:szCs w:val="18"/>
              </w:rPr>
              <w:t>MIDS-LVT(2) Terminal, Canadian config, self-cooled</w:t>
            </w:r>
          </w:p>
        </w:tc>
        <w:tc>
          <w:tcPr>
            <w:tcW w:w="20" w:type="dxa"/>
          </w:tcPr>
          <w:p>
            <w:pPr>
              <w:pStyle w:val="Normal"/>
              <w:ind w:left="40"/>
              <w:spacing w:before="20" w:after="20"/>
            </w:pPr>
            <w:r>
              <w:rPr>
                <w:rFonts w:ascii="Calibri" w:hAnsi="Calibri" w:eastAsia="Microsoft YaHei"/>
                <w:color w:val="4A5568"/>
                <w:sz w:val="18"/>
                <w:szCs w:val="18"/>
              </w:rPr>
              <w:t>5820-21-005-1237</w:t>
            </w:r>
          </w:p>
        </w:tc>
        <w:tc>
          <w:tcPr>
            <w:tcW w:w="16" w:type="dxa"/>
          </w:tcPr>
          <w:p>
            <w:pPr>
              <w:pStyle w:val="Normal"/>
              <w:jc w:val="center"/>
              <w:spacing w:before="20" w:after="20"/>
            </w:pPr>
            <w:r>
              <w:rPr>
                <w:rFonts w:ascii="Calibri" w:hAnsi="Calibri" w:eastAsia="Microsoft YaHei"/>
                <w:color w:val="4A5568"/>
                <w:sz w:val="18"/>
                <w:szCs w:val="18"/>
              </w:rPr>
              <w:t>24</w:t>
            </w:r>
          </w:p>
        </w:tc>
        <w:tc>
          <w:tcPr>
            <w:tcW w:w="22" w:type="dxa"/>
          </w:tcPr>
          <w:p>
            <w:pPr>
              <w:pStyle w:val="Normal"/>
              <w:jc w:val="right"/>
              <w:spacing w:before="20" w:after="20"/>
            </w:pPr>
            <w:r>
              <w:rPr>
                <w:rFonts w:ascii="Calibri" w:hAnsi="Calibri" w:eastAsia="Microsoft YaHei"/>
                <w:color w:val="4A5568"/>
                <w:sz w:val="18"/>
                <w:szCs w:val="18"/>
              </w:rPr>
              <w:t>$680,000</w:t>
            </w:r>
          </w:p>
        </w:tc>
      </w:tr>
      <w:tr>
        <w:tc>
          <w:tcPr>
            <w:tcW w:w="16" w:type="dxa"/>
          </w:tcPr>
          <w:p>
            <w:pPr>
              <w:pStyle w:val="Normal"/>
              <w:ind w:left="40"/>
              <w:spacing w:before="20" w:after="20"/>
            </w:pPr>
            <w:r>
              <w:rPr>
                <w:rFonts w:ascii="Calibri" w:hAnsi="Calibri" w:eastAsia="Microsoft YaHei"/>
                <w:color w:val="4A5568"/>
                <w:sz w:val="18"/>
                <w:szCs w:val="18"/>
              </w:rPr>
              <w:t>5</w:t>
            </w:r>
          </w:p>
        </w:tc>
        <w:tc>
          <w:tcPr>
            <w:tcW w:w="36" w:type="dxa"/>
          </w:tcPr>
          <w:p>
            <w:pPr>
              <w:pStyle w:val="Normal"/>
              <w:ind w:left="40"/>
              <w:spacing w:before="20" w:after="20"/>
            </w:pPr>
            <w:r>
              <w:rPr>
                <w:rFonts w:ascii="Calibri" w:hAnsi="Calibri" w:eastAsia="Microsoft YaHei"/>
                <w:color w:val="4A5568"/>
                <w:sz w:val="18"/>
                <w:szCs w:val="18"/>
              </w:rPr>
              <w:t>COL-TTNT-1000-GW</w:t>
            </w:r>
          </w:p>
        </w:tc>
        <w:tc>
          <w:tcPr>
            <w:tcW w:w="50" w:type="dxa"/>
          </w:tcPr>
          <w:p>
            <w:pPr>
              <w:pStyle w:val="Normal"/>
              <w:ind w:left="40"/>
              <w:spacing w:before="20" w:after="20"/>
            </w:pPr>
            <w:r>
              <w:rPr>
                <w:rFonts w:ascii="Calibri" w:hAnsi="Calibri" w:eastAsia="Microsoft YaHei"/>
                <w:color w:val="4A5568"/>
                <w:sz w:val="18"/>
                <w:szCs w:val="18"/>
              </w:rPr>
              <w:t>TTNT Modem, S-band, 20 Mbps mesh, IP-based</w:t>
            </w:r>
          </w:p>
        </w:tc>
        <w:tc>
          <w:tcPr>
            <w:tcW w:w="20" w:type="dxa"/>
          </w:tcPr>
          <w:p>
            <w:pPr>
              <w:pStyle w:val="Normal"/>
              <w:ind w:left="40"/>
              <w:spacing w:before="20" w:after="20"/>
            </w:pPr>
            <w:r>
              <w:rPr>
                <w:rFonts w:ascii="Calibri" w:hAnsi="Calibri" w:eastAsia="Microsoft YaHei"/>
                <w:color w:val="4A5568"/>
                <w:sz w:val="18"/>
                <w:szCs w:val="18"/>
              </w:rPr>
              <w:t>5820-21-005-1238</w:t>
            </w:r>
          </w:p>
        </w:tc>
        <w:tc>
          <w:tcPr>
            <w:tcW w:w="16" w:type="dxa"/>
          </w:tcPr>
          <w:p>
            <w:pPr>
              <w:pStyle w:val="Normal"/>
              <w:jc w:val="center"/>
              <w:spacing w:before="20" w:after="20"/>
            </w:pPr>
            <w:r>
              <w:rPr>
                <w:rFonts w:ascii="Calibri" w:hAnsi="Calibri" w:eastAsia="Microsoft YaHei"/>
                <w:color w:val="4A5568"/>
                <w:sz w:val="18"/>
                <w:szCs w:val="18"/>
              </w:rPr>
              <w:t>24</w:t>
            </w:r>
          </w:p>
        </w:tc>
        <w:tc>
          <w:tcPr>
            <w:tcW w:w="22" w:type="dxa"/>
          </w:tcPr>
          <w:p>
            <w:pPr>
              <w:pStyle w:val="Normal"/>
              <w:jc w:val="right"/>
              <w:spacing w:before="20" w:after="20"/>
            </w:pPr>
            <w:r>
              <w:rPr>
                <w:rFonts w:ascii="Calibri" w:hAnsi="Calibri" w:eastAsia="Microsoft YaHei"/>
                <w:color w:val="4A5568"/>
                <w:sz w:val="18"/>
                <w:szCs w:val="18"/>
              </w:rPr>
              <w:t>$385,000</w:t>
            </w:r>
          </w:p>
        </w:tc>
      </w:tr>
      <w:tr>
        <w:tc>
          <w:tcPr>
            <w:tcW w:w="16" w:type="dxa"/>
          </w:tcPr>
          <w:p>
            <w:pPr>
              <w:pStyle w:val="Normal"/>
              <w:ind w:left="40"/>
              <w:spacing w:before="20" w:after="20"/>
            </w:pPr>
            <w:r>
              <w:rPr>
                <w:rFonts w:ascii="Calibri" w:hAnsi="Calibri" w:eastAsia="Microsoft YaHei"/>
                <w:color w:val="4A5568"/>
                <w:sz w:val="18"/>
                <w:szCs w:val="18"/>
              </w:rPr>
              <w:t>6</w:t>
            </w:r>
          </w:p>
        </w:tc>
        <w:tc>
          <w:tcPr>
            <w:tcW w:w="36" w:type="dxa"/>
          </w:tcPr>
          <w:p>
            <w:pPr>
              <w:pStyle w:val="Normal"/>
              <w:ind w:left="40"/>
              <w:spacing w:before="20" w:after="20"/>
            </w:pPr>
            <w:r>
              <w:rPr>
                <w:rFonts w:ascii="Calibri" w:hAnsi="Calibri" w:eastAsia="Microsoft YaHei"/>
                <w:color w:val="4A5568"/>
                <w:sz w:val="18"/>
                <w:szCs w:val="18"/>
              </w:rPr>
              <w:t>MDA-AIM-GW1-01</w:t>
            </w:r>
          </w:p>
        </w:tc>
        <w:tc>
          <w:tcPr>
            <w:tcW w:w="50" w:type="dxa"/>
          </w:tcPr>
          <w:p>
            <w:pPr>
              <w:pStyle w:val="Normal"/>
              <w:ind w:left="40"/>
              <w:spacing w:before="20" w:after="20"/>
            </w:pPr>
            <w:r>
              <w:rPr>
                <w:rFonts w:ascii="Calibri" w:hAnsi="Calibri" w:eastAsia="Microsoft YaHei"/>
                <w:color w:val="4A5568"/>
                <w:sz w:val="18"/>
                <w:szCs w:val="18"/>
              </w:rPr>
              <w:t>AI Translation Module, Jetson AGX Orin + VU9P FPGA</w:t>
            </w:r>
          </w:p>
        </w:tc>
        <w:tc>
          <w:tcPr>
            <w:tcW w:w="20" w:type="dxa"/>
          </w:tcPr>
          <w:p>
            <w:pPr>
              <w:pStyle w:val="Normal"/>
              <w:ind w:left="40"/>
              <w:spacing w:before="20" w:after="20"/>
            </w:pPr>
            <w:r>
              <w:rPr>
                <w:rFonts w:ascii="Calibri" w:hAnsi="Calibri" w:eastAsia="Microsoft YaHei"/>
                <w:color w:val="4A5568"/>
                <w:sz w:val="18"/>
                <w:szCs w:val="18"/>
              </w:rPr>
              <w:t>5895-21-005-1239</w:t>
            </w:r>
          </w:p>
        </w:tc>
        <w:tc>
          <w:tcPr>
            <w:tcW w:w="16" w:type="dxa"/>
          </w:tcPr>
          <w:p>
            <w:pPr>
              <w:pStyle w:val="Normal"/>
              <w:jc w:val="center"/>
              <w:spacing w:before="20" w:after="20"/>
            </w:pPr>
            <w:r>
              <w:rPr>
                <w:rFonts w:ascii="Calibri" w:hAnsi="Calibri" w:eastAsia="Microsoft YaHei"/>
                <w:color w:val="4A5568"/>
                <w:sz w:val="18"/>
                <w:szCs w:val="18"/>
              </w:rPr>
              <w:t>24</w:t>
            </w:r>
          </w:p>
        </w:tc>
        <w:tc>
          <w:tcPr>
            <w:tcW w:w="22" w:type="dxa"/>
          </w:tcPr>
          <w:p>
            <w:pPr>
              <w:pStyle w:val="Normal"/>
              <w:jc w:val="right"/>
              <w:spacing w:before="20" w:after="20"/>
            </w:pPr>
            <w:r>
              <w:rPr>
                <w:rFonts w:ascii="Calibri" w:hAnsi="Calibri" w:eastAsia="Microsoft YaHei"/>
                <w:color w:val="4A5568"/>
                <w:sz w:val="18"/>
                <w:szCs w:val="18"/>
              </w:rPr>
              <w:t>$425,000</w:t>
            </w:r>
          </w:p>
        </w:tc>
      </w:tr>
      <w:tr>
        <w:tc>
          <w:tcPr>
            <w:tcW w:w="16" w:type="dxa"/>
          </w:tcPr>
          <w:p>
            <w:pPr>
              <w:pStyle w:val="Normal"/>
              <w:ind w:left="40"/>
              <w:spacing w:before="20" w:after="20"/>
            </w:pPr>
            <w:r>
              <w:rPr>
                <w:rFonts w:ascii="Calibri" w:hAnsi="Calibri" w:eastAsia="Microsoft YaHei"/>
                <w:color w:val="4A5568"/>
                <w:sz w:val="18"/>
                <w:szCs w:val="18"/>
              </w:rPr>
              <w:t>7</w:t>
            </w:r>
          </w:p>
        </w:tc>
        <w:tc>
          <w:tcPr>
            <w:tcW w:w="36" w:type="dxa"/>
          </w:tcPr>
          <w:p>
            <w:pPr>
              <w:pStyle w:val="Normal"/>
              <w:ind w:left="40"/>
              <w:spacing w:before="20" w:after="20"/>
            </w:pPr>
            <w:r>
              <w:rPr>
                <w:rFonts w:ascii="Calibri" w:hAnsi="Calibri" w:eastAsia="Microsoft YaHei"/>
                <w:color w:val="4A5568"/>
                <w:sz w:val="18"/>
                <w:szCs w:val="18"/>
              </w:rPr>
              <w:t>MDA-ESA-KU-02</w:t>
            </w:r>
          </w:p>
        </w:tc>
        <w:tc>
          <w:tcPr>
            <w:tcW w:w="50" w:type="dxa"/>
          </w:tcPr>
          <w:p>
            <w:pPr>
              <w:pStyle w:val="Normal"/>
              <w:ind w:left="40"/>
              <w:spacing w:before="20" w:after="20"/>
            </w:pPr>
            <w:r>
              <w:rPr>
                <w:rFonts w:ascii="Calibri" w:hAnsi="Calibri" w:eastAsia="Microsoft YaHei"/>
                <w:color w:val="4A5568"/>
                <w:sz w:val="18"/>
                <w:szCs w:val="18"/>
              </w:rPr>
              <w:t>Ku-band ESA Antenna, 128 elements, +/-60 deg scan</w:t>
            </w:r>
          </w:p>
        </w:tc>
        <w:tc>
          <w:tcPr>
            <w:tcW w:w="20" w:type="dxa"/>
          </w:tcPr>
          <w:p>
            <w:pPr>
              <w:pStyle w:val="Normal"/>
              <w:ind w:left="40"/>
              <w:spacing w:before="20" w:after="20"/>
            </w:pPr>
            <w:r>
              <w:rPr>
                <w:rFonts w:ascii="Calibri" w:hAnsi="Calibri" w:eastAsia="Microsoft YaHei"/>
                <w:color w:val="4A5568"/>
                <w:sz w:val="18"/>
                <w:szCs w:val="18"/>
              </w:rPr>
              <w:t>5985-21-005-1240</w:t>
            </w:r>
          </w:p>
        </w:tc>
        <w:tc>
          <w:tcPr>
            <w:tcW w:w="16" w:type="dxa"/>
          </w:tcPr>
          <w:p>
            <w:pPr>
              <w:pStyle w:val="Normal"/>
              <w:jc w:val="center"/>
              <w:spacing w:before="20" w:after="20"/>
            </w:pPr>
            <w:r>
              <w:rPr>
                <w:rFonts w:ascii="Calibri" w:hAnsi="Calibri" w:eastAsia="Microsoft YaHei"/>
                <w:color w:val="4A5568"/>
                <w:sz w:val="18"/>
                <w:szCs w:val="18"/>
              </w:rPr>
              <w:t>48</w:t>
            </w:r>
          </w:p>
        </w:tc>
        <w:tc>
          <w:tcPr>
            <w:tcW w:w="22" w:type="dxa"/>
          </w:tcPr>
          <w:p>
            <w:pPr>
              <w:pStyle w:val="Normal"/>
              <w:jc w:val="right"/>
              <w:spacing w:before="20" w:after="20"/>
            </w:pPr>
            <w:r>
              <w:rPr>
                <w:rFonts w:ascii="Calibri" w:hAnsi="Calibri" w:eastAsia="Microsoft YaHei"/>
                <w:color w:val="4A5568"/>
                <w:sz w:val="18"/>
                <w:szCs w:val="18"/>
              </w:rPr>
              <w:t>$125,000</w:t>
            </w:r>
          </w:p>
        </w:tc>
      </w:tr>
      <w:tr>
        <w:tc>
          <w:tcPr>
            <w:tcW w:w="16" w:type="dxa"/>
          </w:tcPr>
          <w:p>
            <w:pPr>
              <w:pStyle w:val="Normal"/>
              <w:ind w:left="40"/>
              <w:spacing w:before="20" w:after="20"/>
            </w:pPr>
            <w:r>
              <w:rPr>
                <w:rFonts w:ascii="Calibri" w:hAnsi="Calibri" w:eastAsia="Microsoft YaHei"/>
                <w:color w:val="4A5568"/>
                <w:sz w:val="18"/>
                <w:szCs w:val="18"/>
              </w:rPr>
              <w:t>8</w:t>
            </w:r>
          </w:p>
        </w:tc>
        <w:tc>
          <w:tcPr>
            <w:tcW w:w="36" w:type="dxa"/>
          </w:tcPr>
          <w:p>
            <w:pPr>
              <w:pStyle w:val="Normal"/>
              <w:ind w:left="40"/>
              <w:spacing w:before="20" w:after="20"/>
            </w:pPr>
            <w:r>
              <w:rPr>
                <w:rFonts w:ascii="Calibri" w:hAnsi="Calibri" w:eastAsia="Microsoft YaHei"/>
                <w:color w:val="4A5568"/>
                <w:sz w:val="18"/>
                <w:szCs w:val="18"/>
              </w:rPr>
              <w:t>L3H-ANT-L16-01</w:t>
            </w:r>
          </w:p>
        </w:tc>
        <w:tc>
          <w:tcPr>
            <w:tcW w:w="50" w:type="dxa"/>
          </w:tcPr>
          <w:p>
            <w:pPr>
              <w:pStyle w:val="Normal"/>
              <w:ind w:left="40"/>
              <w:spacing w:before="20" w:after="20"/>
            </w:pPr>
            <w:r>
              <w:rPr>
                <w:rFonts w:ascii="Calibri" w:hAnsi="Calibri" w:eastAsia="Microsoft YaHei"/>
                <w:color w:val="4A5568"/>
                <w:sz w:val="18"/>
                <w:szCs w:val="18"/>
              </w:rPr>
              <w:t>L-band Link 16 Blade Antenna, 7 dBi gain, 200 W</w:t>
            </w:r>
          </w:p>
        </w:tc>
        <w:tc>
          <w:tcPr>
            <w:tcW w:w="20" w:type="dxa"/>
          </w:tcPr>
          <w:p>
            <w:pPr>
              <w:pStyle w:val="Normal"/>
              <w:ind w:left="40"/>
              <w:spacing w:before="20" w:after="20"/>
            </w:pPr>
            <w:r>
              <w:rPr>
                <w:rFonts w:ascii="Calibri" w:hAnsi="Calibri" w:eastAsia="Microsoft YaHei"/>
                <w:color w:val="4A5568"/>
                <w:sz w:val="18"/>
                <w:szCs w:val="18"/>
              </w:rPr>
              <w:t>5985-21-005-1241</w:t>
            </w:r>
          </w:p>
        </w:tc>
        <w:tc>
          <w:tcPr>
            <w:tcW w:w="16" w:type="dxa"/>
          </w:tcPr>
          <w:p>
            <w:pPr>
              <w:pStyle w:val="Normal"/>
              <w:jc w:val="center"/>
              <w:spacing w:before="20" w:after="20"/>
            </w:pPr>
            <w:r>
              <w:rPr>
                <w:rFonts w:ascii="Calibri" w:hAnsi="Calibri" w:eastAsia="Microsoft YaHei"/>
                <w:color w:val="4A5568"/>
                <w:sz w:val="18"/>
                <w:szCs w:val="18"/>
              </w:rPr>
              <w:t>24</w:t>
            </w:r>
          </w:p>
        </w:tc>
        <w:tc>
          <w:tcPr>
            <w:tcW w:w="22" w:type="dxa"/>
          </w:tcPr>
          <w:p>
            <w:pPr>
              <w:pStyle w:val="Normal"/>
              <w:jc w:val="right"/>
              <w:spacing w:before="20" w:after="20"/>
            </w:pPr>
            <w:r>
              <w:rPr>
                <w:rFonts w:ascii="Calibri" w:hAnsi="Calibri" w:eastAsia="Microsoft YaHei"/>
                <w:color w:val="4A5568"/>
                <w:sz w:val="18"/>
                <w:szCs w:val="18"/>
              </w:rPr>
              <w:t>$18,500</w:t>
            </w:r>
          </w:p>
        </w:tc>
      </w:tr>
      <w:tr>
        <w:tc>
          <w:tcPr>
            <w:tcW w:w="16" w:type="dxa"/>
          </w:tcPr>
          <w:p>
            <w:pPr>
              <w:pStyle w:val="Normal"/>
              <w:ind w:left="40"/>
              <w:spacing w:before="20" w:after="20"/>
            </w:pPr>
            <w:r>
              <w:rPr>
                <w:rFonts w:ascii="Calibri" w:hAnsi="Calibri" w:eastAsia="Microsoft YaHei"/>
                <w:color w:val="4A5568"/>
                <w:sz w:val="18"/>
                <w:szCs w:val="18"/>
              </w:rPr>
              <w:t>9</w:t>
            </w:r>
          </w:p>
        </w:tc>
        <w:tc>
          <w:tcPr>
            <w:tcW w:w="36" w:type="dxa"/>
          </w:tcPr>
          <w:p>
            <w:pPr>
              <w:pStyle w:val="Normal"/>
              <w:ind w:left="40"/>
              <w:spacing w:before="20" w:after="20"/>
            </w:pPr>
            <w:r>
              <w:rPr>
                <w:rFonts w:ascii="Calibri" w:hAnsi="Calibri" w:eastAsia="Microsoft YaHei"/>
                <w:color w:val="4A5568"/>
                <w:sz w:val="18"/>
                <w:szCs w:val="18"/>
              </w:rPr>
              <w:t>VSAT-SAT-KU-01</w:t>
            </w:r>
          </w:p>
        </w:tc>
        <w:tc>
          <w:tcPr>
            <w:tcW w:w="50" w:type="dxa"/>
          </w:tcPr>
          <w:p>
            <w:pPr>
              <w:pStyle w:val="Normal"/>
              <w:ind w:left="40"/>
              <w:spacing w:before="20" w:after="20"/>
            </w:pPr>
            <w:r>
              <w:rPr>
                <w:rFonts w:ascii="Calibri" w:hAnsi="Calibri" w:eastAsia="Microsoft YaHei"/>
                <w:color w:val="4A5568"/>
                <w:sz w:val="18"/>
                <w:szCs w:val="18"/>
              </w:rPr>
              <w:t>ViaSat VRT-1000, Ku/Ka SATCOM, 50 Mbps, steerable flat panel</w:t>
            </w:r>
          </w:p>
        </w:tc>
        <w:tc>
          <w:tcPr>
            <w:tcW w:w="20" w:type="dxa"/>
          </w:tcPr>
          <w:p>
            <w:pPr>
              <w:pStyle w:val="Normal"/>
              <w:ind w:left="40"/>
              <w:spacing w:before="20" w:after="20"/>
            </w:pPr>
            <w:r>
              <w:rPr>
                <w:rFonts w:ascii="Calibri" w:hAnsi="Calibri" w:eastAsia="Microsoft YaHei"/>
                <w:color w:val="4A5568"/>
                <w:sz w:val="18"/>
                <w:szCs w:val="18"/>
              </w:rPr>
              <w:t>5820-21-005-1242</w:t>
            </w:r>
          </w:p>
        </w:tc>
        <w:tc>
          <w:tcPr>
            <w:tcW w:w="16" w:type="dxa"/>
          </w:tcPr>
          <w:p>
            <w:pPr>
              <w:pStyle w:val="Normal"/>
              <w:jc w:val="center"/>
              <w:spacing w:before="20" w:after="20"/>
            </w:pPr>
            <w:r>
              <w:rPr>
                <w:rFonts w:ascii="Calibri" w:hAnsi="Calibri" w:eastAsia="Microsoft YaHei"/>
                <w:color w:val="4A5568"/>
                <w:sz w:val="18"/>
                <w:szCs w:val="18"/>
              </w:rPr>
              <w:t>24</w:t>
            </w:r>
          </w:p>
        </w:tc>
        <w:tc>
          <w:tcPr>
            <w:tcW w:w="22" w:type="dxa"/>
          </w:tcPr>
          <w:p>
            <w:pPr>
              <w:pStyle w:val="Normal"/>
              <w:jc w:val="right"/>
              <w:spacing w:before="20" w:after="20"/>
            </w:pPr>
            <w:r>
              <w:rPr>
                <w:rFonts w:ascii="Calibri" w:hAnsi="Calibri" w:eastAsia="Microsoft YaHei"/>
                <w:color w:val="4A5568"/>
                <w:sz w:val="18"/>
                <w:szCs w:val="18"/>
              </w:rPr>
              <w:t>$295,000</w:t>
            </w:r>
          </w:p>
        </w:tc>
      </w:tr>
      <w:tr>
        <w:tc>
          <w:tcPr>
            <w:tcW w:w="16" w:type="dxa"/>
          </w:tcPr>
          <w:p>
            <w:pPr>
              <w:pStyle w:val="Normal"/>
              <w:ind w:left="40"/>
              <w:spacing w:before="20" w:after="20"/>
            </w:pPr>
            <w:r>
              <w:rPr>
                <w:rFonts w:ascii="Calibri" w:hAnsi="Calibri" w:eastAsia="Microsoft YaHei"/>
                <w:color w:val="4A5568"/>
                <w:sz w:val="18"/>
                <w:szCs w:val="18"/>
              </w:rPr>
              <w:t>10</w:t>
            </w:r>
          </w:p>
        </w:tc>
        <w:tc>
          <w:tcPr>
            <w:tcW w:w="36" w:type="dxa"/>
          </w:tcPr>
          <w:p>
            <w:pPr>
              <w:pStyle w:val="Normal"/>
              <w:ind w:left="40"/>
              <w:spacing w:before="20" w:after="20"/>
            </w:pPr>
            <w:r>
              <w:rPr>
                <w:rFonts w:ascii="Calibri" w:hAnsi="Calibri" w:eastAsia="Microsoft YaHei"/>
                <w:color w:val="4A5568"/>
                <w:sz w:val="18"/>
                <w:szCs w:val="18"/>
              </w:rPr>
              <w:t>CAE-PSU-28V-450</w:t>
            </w:r>
          </w:p>
        </w:tc>
        <w:tc>
          <w:tcPr>
            <w:tcW w:w="50" w:type="dxa"/>
          </w:tcPr>
          <w:p>
            <w:pPr>
              <w:pStyle w:val="Normal"/>
              <w:ind w:left="40"/>
              <w:spacing w:before="20" w:after="20"/>
            </w:pPr>
            <w:r>
              <w:rPr>
                <w:rFonts w:ascii="Calibri" w:hAnsi="Calibri" w:eastAsia="Microsoft YaHei"/>
                <w:color w:val="4A5568"/>
                <w:sz w:val="18"/>
                <w:szCs w:val="18"/>
              </w:rPr>
              <w:t>28V DC Power Supply Unit, 450 W, MIL-STD-704F</w:t>
            </w:r>
          </w:p>
        </w:tc>
        <w:tc>
          <w:tcPr>
            <w:tcW w:w="20" w:type="dxa"/>
          </w:tcPr>
          <w:p>
            <w:pPr>
              <w:pStyle w:val="Normal"/>
              <w:ind w:left="40"/>
              <w:spacing w:before="20" w:after="20"/>
            </w:pPr>
            <w:r>
              <w:rPr>
                <w:rFonts w:ascii="Calibri" w:hAnsi="Calibri" w:eastAsia="Microsoft YaHei"/>
                <w:color w:val="4A5568"/>
                <w:sz w:val="18"/>
                <w:szCs w:val="18"/>
              </w:rPr>
              <w:t>6130-21-005-1243</w:t>
            </w:r>
          </w:p>
        </w:tc>
        <w:tc>
          <w:tcPr>
            <w:tcW w:w="16" w:type="dxa"/>
          </w:tcPr>
          <w:p>
            <w:pPr>
              <w:pStyle w:val="Normal"/>
              <w:jc w:val="center"/>
              <w:spacing w:before="20" w:after="20"/>
            </w:pPr>
            <w:r>
              <w:rPr>
                <w:rFonts w:ascii="Calibri" w:hAnsi="Calibri" w:eastAsia="Microsoft YaHei"/>
                <w:color w:val="4A5568"/>
                <w:sz w:val="18"/>
                <w:szCs w:val="18"/>
              </w:rPr>
              <w:t>24</w:t>
            </w:r>
          </w:p>
        </w:tc>
        <w:tc>
          <w:tcPr>
            <w:tcW w:w="22" w:type="dxa"/>
          </w:tcPr>
          <w:p>
            <w:pPr>
              <w:pStyle w:val="Normal"/>
              <w:jc w:val="right"/>
              <w:spacing w:before="20" w:after="20"/>
            </w:pPr>
            <w:r>
              <w:rPr>
                <w:rFonts w:ascii="Calibri" w:hAnsi="Calibri" w:eastAsia="Microsoft YaHei"/>
                <w:color w:val="4A5568"/>
                <w:sz w:val="18"/>
                <w:szCs w:val="18"/>
              </w:rPr>
              <w:t>$42,000</w:t>
            </w:r>
          </w:p>
        </w:tc>
      </w:tr>
      <w:tr>
        <w:tc>
          <w:tcPr>
            <w:tcW w:w="16" w:type="dxa"/>
          </w:tcPr>
          <w:p>
            <w:pPr>
              <w:pStyle w:val="Normal"/>
              <w:ind w:left="40"/>
              <w:spacing w:before="20" w:after="20"/>
            </w:pPr>
            <w:r>
              <w:rPr>
                <w:rFonts w:ascii="Calibri" w:hAnsi="Calibri" w:eastAsia="Microsoft YaHei"/>
                <w:color w:val="4A5568"/>
                <w:sz w:val="18"/>
                <w:szCs w:val="18"/>
              </w:rPr>
              <w:t>11</w:t>
            </w:r>
          </w:p>
        </w:tc>
        <w:tc>
          <w:tcPr>
            <w:tcW w:w="36" w:type="dxa"/>
          </w:tcPr>
          <w:p>
            <w:pPr>
              <w:pStyle w:val="Normal"/>
              <w:ind w:left="40"/>
              <w:spacing w:before="20" w:after="20"/>
            </w:pPr>
            <w:r>
              <w:rPr>
                <w:rFonts w:ascii="Calibri" w:hAnsi="Calibri" w:eastAsia="Microsoft YaHei"/>
                <w:color w:val="4A5568"/>
                <w:sz w:val="18"/>
                <w:szCs w:val="18"/>
              </w:rPr>
              <w:t>CAE-LCS-850-01</w:t>
            </w:r>
          </w:p>
        </w:tc>
        <w:tc>
          <w:tcPr>
            <w:tcW w:w="50" w:type="dxa"/>
          </w:tcPr>
          <w:p>
            <w:pPr>
              <w:pStyle w:val="Normal"/>
              <w:ind w:left="40"/>
              <w:spacing w:before="20" w:after="20"/>
            </w:pPr>
            <w:r>
              <w:rPr>
                <w:rFonts w:ascii="Calibri" w:hAnsi="Calibri" w:eastAsia="Microsoft YaHei"/>
                <w:color w:val="4A5568"/>
                <w:sz w:val="18"/>
                <w:szCs w:val="18"/>
              </w:rPr>
              <w:t>Liquid Cooling System, 850 W capacity, propylene glycol</w:t>
            </w:r>
          </w:p>
        </w:tc>
        <w:tc>
          <w:tcPr>
            <w:tcW w:w="20" w:type="dxa"/>
          </w:tcPr>
          <w:p>
            <w:pPr>
              <w:pStyle w:val="Normal"/>
              <w:ind w:left="40"/>
              <w:spacing w:before="20" w:after="20"/>
            </w:pPr>
            <w:r>
              <w:rPr>
                <w:rFonts w:ascii="Calibri" w:hAnsi="Calibri" w:eastAsia="Microsoft YaHei"/>
                <w:color w:val="4A5568"/>
                <w:sz w:val="18"/>
                <w:szCs w:val="18"/>
              </w:rPr>
              <w:t>4130-21-005-1244</w:t>
            </w:r>
          </w:p>
        </w:tc>
        <w:tc>
          <w:tcPr>
            <w:tcW w:w="16" w:type="dxa"/>
          </w:tcPr>
          <w:p>
            <w:pPr>
              <w:pStyle w:val="Normal"/>
              <w:jc w:val="center"/>
              <w:spacing w:before="20" w:after="20"/>
            </w:pPr>
            <w:r>
              <w:rPr>
                <w:rFonts w:ascii="Calibri" w:hAnsi="Calibri" w:eastAsia="Microsoft YaHei"/>
                <w:color w:val="4A5568"/>
                <w:sz w:val="18"/>
                <w:szCs w:val="18"/>
              </w:rPr>
              <w:t>24</w:t>
            </w:r>
          </w:p>
        </w:tc>
        <w:tc>
          <w:tcPr>
            <w:tcW w:w="22" w:type="dxa"/>
          </w:tcPr>
          <w:p>
            <w:pPr>
              <w:pStyle w:val="Normal"/>
              <w:jc w:val="right"/>
              <w:spacing w:before="20" w:after="20"/>
            </w:pPr>
            <w:r>
              <w:rPr>
                <w:rFonts w:ascii="Calibri" w:hAnsi="Calibri" w:eastAsia="Microsoft YaHei"/>
                <w:color w:val="4A5568"/>
                <w:sz w:val="18"/>
                <w:szCs w:val="18"/>
              </w:rPr>
              <w:t>$38,000</w:t>
            </w:r>
          </w:p>
        </w:tc>
      </w:tr>
      <w:tr>
        <w:tc>
          <w:tcPr>
            <w:tcW w:w="16" w:type="dxa"/>
          </w:tcPr>
          <w:p>
            <w:pPr>
              <w:pStyle w:val="Normal"/>
              <w:ind w:left="40"/>
              <w:spacing w:before="20" w:after="20"/>
            </w:pPr>
            <w:r>
              <w:rPr>
                <w:rFonts w:ascii="Calibri" w:hAnsi="Calibri" w:eastAsia="Microsoft YaHei"/>
                <w:color w:val="4A5568"/>
                <w:sz w:val="18"/>
                <w:szCs w:val="18"/>
              </w:rPr>
              <w:t>12</w:t>
            </w:r>
          </w:p>
        </w:tc>
        <w:tc>
          <w:tcPr>
            <w:tcW w:w="36" w:type="dxa"/>
          </w:tcPr>
          <w:p>
            <w:pPr>
              <w:pStyle w:val="Normal"/>
              <w:ind w:left="40"/>
              <w:spacing w:before="20" w:after="20"/>
            </w:pPr>
            <w:r>
              <w:rPr>
                <w:rFonts w:ascii="Calibri" w:hAnsi="Calibri" w:eastAsia="Microsoft YaHei"/>
                <w:color w:val="4A5568"/>
                <w:sz w:val="18"/>
                <w:szCs w:val="18"/>
              </w:rPr>
              <w:t>CAE-CHS-ISO10</w:t>
            </w:r>
          </w:p>
        </w:tc>
        <w:tc>
          <w:tcPr>
            <w:tcW w:w="50" w:type="dxa"/>
          </w:tcPr>
          <w:p>
            <w:pPr>
              <w:pStyle w:val="Normal"/>
              <w:ind w:left="40"/>
              <w:spacing w:before="20" w:after="20"/>
            </w:pPr>
            <w:r>
              <w:rPr>
                <w:rFonts w:ascii="Calibri" w:hAnsi="Calibri" w:eastAsia="Microsoft YaHei"/>
                <w:color w:val="4A5568"/>
                <w:sz w:val="18"/>
                <w:szCs w:val="18"/>
              </w:rPr>
              <w:t>Palletized Ground Station, 10 ft ISO, Arctic-rated</w:t>
            </w:r>
          </w:p>
        </w:tc>
        <w:tc>
          <w:tcPr>
            <w:tcW w:w="20" w:type="dxa"/>
          </w:tcPr>
          <w:p>
            <w:pPr>
              <w:pStyle w:val="Normal"/>
              <w:ind w:left="40"/>
              <w:spacing w:before="20" w:after="20"/>
            </w:pPr>
            <w:r>
              <w:rPr>
                <w:rFonts w:ascii="Calibri" w:hAnsi="Calibri" w:eastAsia="Microsoft YaHei"/>
                <w:color w:val="4A5568"/>
                <w:sz w:val="18"/>
                <w:szCs w:val="18"/>
              </w:rPr>
              <w:t>8140-21-005-1245</w:t>
            </w:r>
          </w:p>
        </w:tc>
        <w:tc>
          <w:tcPr>
            <w:tcW w:w="16" w:type="dxa"/>
          </w:tcPr>
          <w:p>
            <w:pPr>
              <w:pStyle w:val="Normal"/>
              <w:jc w:val="center"/>
              <w:spacing w:before="20" w:after="20"/>
            </w:pPr>
            <w:r>
              <w:rPr>
                <w:rFonts w:ascii="Calibri" w:hAnsi="Calibri" w:eastAsia="Microsoft YaHei"/>
                <w:color w:val="4A5568"/>
                <w:sz w:val="18"/>
                <w:szCs w:val="18"/>
              </w:rPr>
              <w:t>8</w:t>
            </w:r>
          </w:p>
        </w:tc>
        <w:tc>
          <w:tcPr>
            <w:tcW w:w="22" w:type="dxa"/>
          </w:tcPr>
          <w:p>
            <w:pPr>
              <w:pStyle w:val="Normal"/>
              <w:jc w:val="right"/>
              <w:spacing w:before="20" w:after="20"/>
            </w:pPr>
            <w:r>
              <w:rPr>
                <w:rFonts w:ascii="Calibri" w:hAnsi="Calibri" w:eastAsia="Microsoft YaHei"/>
                <w:color w:val="4A5568"/>
                <w:sz w:val="18"/>
                <w:szCs w:val="18"/>
              </w:rPr>
              <w:t>$185,000</w:t>
            </w:r>
          </w:p>
        </w:tc>
      </w:tr>
    </w:tbl>
    <w:p>
      <w:pPr>
        <w:pStyle w:val="Heading3"/>
      </w:pPr>
      <w:r>
        <w:rPr>
          <w:rFonts w:ascii="Calibri" w:hAnsi="Calibri" w:eastAsia="Microsoft YaHei" w:cs="Calibri"/>
          <w:b/>
          <w:color w:val="4A5568"/>
          <w:sz w:val="26"/>
          <w:szCs w:val="26"/>
        </w:rPr>
        <w:t>6.2 Procurement Summary</w:t>
      </w:r>
    </w:p>
    <w:tbl>
      <w:tblPr>
        <w:tblBorders>
          <w:top w:val="single" w:space="0"/>
          <w:left w:val="nil" w:space="0"/>
          <w:bottom w:val="single" w:space="0"/>
          <w:right w:val="nil" w:space="0"/>
          <w:insideH w:val="single" w:space="0"/>
          <w:insideV w:val="nil" w:space="0"/>
        </w:tblBorders>
        <w:tblW w:w="5000" w:type="pct"/>
        <w:tblLayout w:type="fixed"/>
      </w:tblPr>
      <w:tblGrid>
        <w:gridCol w:w="60"/>
        <w:gridCol w:w="30"/>
        <w:gridCol w:w="30"/>
        <w:gridCol w:w="30"/>
      </w:tblGrid>
      <w:tr>
        <w:trPr>
          <w:tblHeader w:val="1"/>
        </w:trPr>
        <w:tc>
          <w:tcPr>
            <w:tcW w:w="60" w:type="dxa"/>
            <w:shd w:val="clear" w:color="auto" w:fill="E8EDF2"/>
          </w:tcPr>
          <w:p>
            <w:pPr>
              <w:pStyle w:val="Normal"/>
              <w:jc w:val="center"/>
              <w:spacing w:before="40" w:after="40"/>
            </w:pPr>
            <w:r>
              <w:rPr>
                <w:rFonts w:ascii="Calibri" w:hAnsi="Calibri" w:eastAsia="Microsoft YaHei"/>
                <w:color w:val="1D2D3D"/>
                <w:sz w:val="20"/>
                <w:b/>
                <w:szCs w:val="20"/>
              </w:rPr>
              <w:t>Cost Category</w:t>
            </w:r>
          </w:p>
        </w:tc>
        <w:tc>
          <w:tcPr>
            <w:tcW w:w="30" w:type="dxa"/>
            <w:shd w:val="clear" w:color="auto" w:fill="E8EDF2"/>
          </w:tcPr>
          <w:p>
            <w:pPr>
              <w:pStyle w:val="Normal"/>
              <w:jc w:val="center"/>
              <w:spacing w:before="40" w:after="40"/>
            </w:pPr>
            <w:r>
              <w:rPr>
                <w:rFonts w:ascii="Calibri" w:hAnsi="Calibri" w:eastAsia="Microsoft YaHei"/>
                <w:color w:val="1D2D3D"/>
                <w:sz w:val="20"/>
                <w:b/>
                <w:szCs w:val="20"/>
              </w:rPr>
              <w:t>USD (M)</w:t>
            </w:r>
          </w:p>
        </w:tc>
        <w:tc>
          <w:tcPr>
            <w:tcW w:w="30" w:type="dxa"/>
            <w:shd w:val="clear" w:color="auto" w:fill="E8EDF2"/>
          </w:tcPr>
          <w:p>
            <w:pPr>
              <w:pStyle w:val="Normal"/>
              <w:jc w:val="center"/>
              <w:spacing w:before="40" w:after="40"/>
            </w:pPr>
            <w:r>
              <w:rPr>
                <w:rFonts w:ascii="Calibri" w:hAnsi="Calibri" w:eastAsia="Microsoft YaHei"/>
                <w:color w:val="1D2D3D"/>
                <w:sz w:val="20"/>
                <w:b/>
                <w:szCs w:val="20"/>
              </w:rPr>
              <w:t>CAD (M)</w:t>
            </w:r>
          </w:p>
        </w:tc>
        <w:tc>
          <w:tcPr>
            <w:tcW w:w="30" w:type="dxa"/>
            <w:shd w:val="clear" w:color="auto" w:fill="E8EDF2"/>
          </w:tcPr>
          <w:p>
            <w:pPr>
              <w:pStyle w:val="Normal"/>
              <w:jc w:val="center"/>
              <w:spacing w:before="40" w:after="40"/>
            </w:pPr>
            <w:r>
              <w:rPr>
                <w:rFonts w:ascii="Calibri" w:hAnsi="Calibri" w:eastAsia="Microsoft YaHei"/>
                <w:color w:val="1D2D3D"/>
                <w:sz w:val="20"/>
                <w:b/>
                <w:szCs w:val="20"/>
              </w:rPr>
              <w:t>% of Total</w:t>
            </w:r>
          </w:p>
        </w:tc>
      </w:tr>
      <w:tr>
        <w:tc>
          <w:tcPr>
            <w:tcW w:w="60" w:type="dxa"/>
          </w:tcPr>
          <w:p>
            <w:pPr>
              <w:pStyle w:val="Normal"/>
              <w:ind w:left="60"/>
              <w:spacing w:before="30" w:after="30"/>
            </w:pPr>
            <w:r>
              <w:rPr>
                <w:rFonts w:ascii="Calibri" w:hAnsi="Calibri" w:eastAsia="Microsoft YaHei"/>
                <w:color w:val="4A5568"/>
                <w:sz w:val="20"/>
                <w:szCs w:val="20"/>
              </w:rPr>
              <w:t>LRUs and Hardware</w:t>
            </w:r>
          </w:p>
        </w:tc>
        <w:tc>
          <w:tcPr>
            <w:tcW w:w="30" w:type="dxa"/>
          </w:tcPr>
          <w:p>
            <w:pPr>
              <w:pStyle w:val="Normal"/>
              <w:jc w:val="right"/>
              <w:spacing w:before="30" w:after="30"/>
            </w:pPr>
            <w:r>
              <w:rPr>
                <w:rFonts w:ascii="Calibri" w:hAnsi="Calibri" w:eastAsia="Microsoft YaHei"/>
                <w:color w:val="4A5568"/>
                <w:sz w:val="20"/>
                <w:szCs w:val="20"/>
              </w:rPr>
              <w:t>$68.4M</w:t>
            </w:r>
          </w:p>
        </w:tc>
        <w:tc>
          <w:tcPr>
            <w:tcW w:w="30" w:type="dxa"/>
          </w:tcPr>
          <w:p>
            <w:pPr>
              <w:pStyle w:val="Normal"/>
              <w:jc w:val="right"/>
              <w:spacing w:before="30" w:after="30"/>
            </w:pPr>
            <w:r>
              <w:rPr>
                <w:rFonts w:ascii="Calibri" w:hAnsi="Calibri" w:eastAsia="Microsoft YaHei"/>
                <w:color w:val="4A5568"/>
                <w:sz w:val="20"/>
                <w:szCs w:val="20"/>
              </w:rPr>
              <w:t>$92.3M</w:t>
            </w:r>
          </w:p>
        </w:tc>
        <w:tc>
          <w:tcPr>
            <w:tcW w:w="30" w:type="dxa"/>
          </w:tcPr>
          <w:p>
            <w:pPr>
              <w:pStyle w:val="Normal"/>
              <w:jc w:val="center"/>
              <w:spacing w:before="30" w:after="30"/>
            </w:pPr>
            <w:r>
              <w:rPr>
                <w:rFonts w:ascii="Calibri" w:hAnsi="Calibri" w:eastAsia="Microsoft YaHei"/>
                <w:color w:val="4A5568"/>
                <w:sz w:val="20"/>
                <w:szCs w:val="20"/>
              </w:rPr>
              <w:t>45.2%</w:t>
            </w:r>
          </w:p>
        </w:tc>
      </w:tr>
      <w:tr>
        <w:tc>
          <w:tcPr>
            <w:tcW w:w="60" w:type="dxa"/>
          </w:tcPr>
          <w:p>
            <w:pPr>
              <w:pStyle w:val="Normal"/>
              <w:ind w:left="60"/>
              <w:spacing w:before="30" w:after="30"/>
            </w:pPr>
            <w:r>
              <w:rPr>
                <w:rFonts w:ascii="Calibri" w:hAnsi="Calibri" w:eastAsia="Microsoft YaHei"/>
                <w:color w:val="4A5568"/>
                <w:sz w:val="20"/>
                <w:szCs w:val="20"/>
              </w:rPr>
              <w:t>Software Development (AI/ML)</w:t>
            </w:r>
          </w:p>
        </w:tc>
        <w:tc>
          <w:tcPr>
            <w:tcW w:w="30" w:type="dxa"/>
          </w:tcPr>
          <w:p>
            <w:pPr>
              <w:pStyle w:val="Normal"/>
              <w:jc w:val="right"/>
              <w:spacing w:before="30" w:after="30"/>
            </w:pPr>
            <w:r>
              <w:rPr>
                <w:rFonts w:ascii="Calibri" w:hAnsi="Calibri" w:eastAsia="Microsoft YaHei"/>
                <w:color w:val="4A5568"/>
                <w:sz w:val="20"/>
                <w:szCs w:val="20"/>
              </w:rPr>
              <w:t>$24.8M</w:t>
            </w:r>
          </w:p>
        </w:tc>
        <w:tc>
          <w:tcPr>
            <w:tcW w:w="30" w:type="dxa"/>
          </w:tcPr>
          <w:p>
            <w:pPr>
              <w:pStyle w:val="Normal"/>
              <w:jc w:val="right"/>
              <w:spacing w:before="30" w:after="30"/>
            </w:pPr>
            <w:r>
              <w:rPr>
                <w:rFonts w:ascii="Calibri" w:hAnsi="Calibri" w:eastAsia="Microsoft YaHei"/>
                <w:color w:val="4A5568"/>
                <w:sz w:val="20"/>
                <w:szCs w:val="20"/>
              </w:rPr>
              <w:t>$33.5M</w:t>
            </w:r>
          </w:p>
        </w:tc>
        <w:tc>
          <w:tcPr>
            <w:tcW w:w="30" w:type="dxa"/>
          </w:tcPr>
          <w:p>
            <w:pPr>
              <w:pStyle w:val="Normal"/>
              <w:jc w:val="center"/>
              <w:spacing w:before="30" w:after="30"/>
            </w:pPr>
            <w:r>
              <w:rPr>
                <w:rFonts w:ascii="Calibri" w:hAnsi="Calibri" w:eastAsia="Microsoft YaHei"/>
                <w:color w:val="4A5568"/>
                <w:sz w:val="20"/>
                <w:szCs w:val="20"/>
              </w:rPr>
              <w:t>16.4%</w:t>
            </w:r>
          </w:p>
        </w:tc>
      </w:tr>
      <w:tr>
        <w:tc>
          <w:tcPr>
            <w:tcW w:w="60" w:type="dxa"/>
          </w:tcPr>
          <w:p>
            <w:pPr>
              <w:pStyle w:val="Normal"/>
              <w:ind w:left="60"/>
              <w:spacing w:before="30" w:after="30"/>
            </w:pPr>
            <w:r>
              <w:rPr>
                <w:rFonts w:ascii="Calibri" w:hAnsi="Calibri" w:eastAsia="Microsoft YaHei"/>
                <w:color w:val="4A5568"/>
                <w:sz w:val="20"/>
                <w:szCs w:val="20"/>
              </w:rPr>
              <w:t>Integration and Test</w:t>
            </w:r>
          </w:p>
        </w:tc>
        <w:tc>
          <w:tcPr>
            <w:tcW w:w="30" w:type="dxa"/>
          </w:tcPr>
          <w:p>
            <w:pPr>
              <w:pStyle w:val="Normal"/>
              <w:jc w:val="right"/>
              <w:spacing w:before="30" w:after="30"/>
            </w:pPr>
            <w:r>
              <w:rPr>
                <w:rFonts w:ascii="Calibri" w:hAnsi="Calibri" w:eastAsia="Microsoft YaHei"/>
                <w:color w:val="4A5568"/>
                <w:sz w:val="20"/>
                <w:szCs w:val="20"/>
              </w:rPr>
              <w:t>$18.2M</w:t>
            </w:r>
          </w:p>
        </w:tc>
        <w:tc>
          <w:tcPr>
            <w:tcW w:w="30" w:type="dxa"/>
          </w:tcPr>
          <w:p>
            <w:pPr>
              <w:pStyle w:val="Normal"/>
              <w:jc w:val="right"/>
              <w:spacing w:before="30" w:after="30"/>
            </w:pPr>
            <w:r>
              <w:rPr>
                <w:rFonts w:ascii="Calibri" w:hAnsi="Calibri" w:eastAsia="Microsoft YaHei"/>
                <w:color w:val="4A5568"/>
                <w:sz w:val="20"/>
                <w:szCs w:val="20"/>
              </w:rPr>
              <w:t>$24.6M</w:t>
            </w:r>
          </w:p>
        </w:tc>
        <w:tc>
          <w:tcPr>
            <w:tcW w:w="30" w:type="dxa"/>
          </w:tcPr>
          <w:p>
            <w:pPr>
              <w:pStyle w:val="Normal"/>
              <w:jc w:val="center"/>
              <w:spacing w:before="30" w:after="30"/>
            </w:pPr>
            <w:r>
              <w:rPr>
                <w:rFonts w:ascii="Calibri" w:hAnsi="Calibri" w:eastAsia="Microsoft YaHei"/>
                <w:color w:val="4A5568"/>
                <w:sz w:val="20"/>
                <w:szCs w:val="20"/>
              </w:rPr>
              <w:t>12.0%</w:t>
            </w:r>
          </w:p>
        </w:tc>
      </w:tr>
      <w:tr>
        <w:tc>
          <w:tcPr>
            <w:tcW w:w="60" w:type="dxa"/>
          </w:tcPr>
          <w:p>
            <w:pPr>
              <w:pStyle w:val="Normal"/>
              <w:ind w:left="60"/>
              <w:spacing w:before="30" w:after="30"/>
            </w:pPr>
            <w:r>
              <w:rPr>
                <w:rFonts w:ascii="Calibri" w:hAnsi="Calibri" w:eastAsia="Microsoft YaHei"/>
                <w:color w:val="4A5568"/>
                <w:sz w:val="20"/>
                <w:szCs w:val="20"/>
              </w:rPr>
              <w:t>MADL TSA and Licensing</w:t>
            </w:r>
          </w:p>
        </w:tc>
        <w:tc>
          <w:tcPr>
            <w:tcW w:w="30" w:type="dxa"/>
          </w:tcPr>
          <w:p>
            <w:pPr>
              <w:pStyle w:val="Normal"/>
              <w:jc w:val="right"/>
              <w:spacing w:before="30" w:after="30"/>
            </w:pPr>
            <w:r>
              <w:rPr>
                <w:rFonts w:ascii="Calibri" w:hAnsi="Calibri" w:eastAsia="Microsoft YaHei"/>
                <w:color w:val="4A5568"/>
                <w:sz w:val="20"/>
                <w:szCs w:val="20"/>
              </w:rPr>
              <w:t>$15.0M</w:t>
            </w:r>
          </w:p>
        </w:tc>
        <w:tc>
          <w:tcPr>
            <w:tcW w:w="30" w:type="dxa"/>
          </w:tcPr>
          <w:p>
            <w:pPr>
              <w:pStyle w:val="Normal"/>
              <w:jc w:val="right"/>
              <w:spacing w:before="30" w:after="30"/>
            </w:pPr>
            <w:r>
              <w:rPr>
                <w:rFonts w:ascii="Calibri" w:hAnsi="Calibri" w:eastAsia="Microsoft YaHei"/>
                <w:color w:val="4A5568"/>
                <w:sz w:val="20"/>
                <w:szCs w:val="20"/>
              </w:rPr>
              <w:t>$20.3M</w:t>
            </w:r>
          </w:p>
        </w:tc>
        <w:tc>
          <w:tcPr>
            <w:tcW w:w="30" w:type="dxa"/>
          </w:tcPr>
          <w:p>
            <w:pPr>
              <w:pStyle w:val="Normal"/>
              <w:jc w:val="center"/>
              <w:spacing w:before="30" w:after="30"/>
            </w:pPr>
            <w:r>
              <w:rPr>
                <w:rFonts w:ascii="Calibri" w:hAnsi="Calibri" w:eastAsia="Microsoft YaHei"/>
                <w:color w:val="4A5568"/>
                <w:sz w:val="20"/>
                <w:szCs w:val="20"/>
              </w:rPr>
              <w:t>9.9%</w:t>
            </w:r>
          </w:p>
        </w:tc>
      </w:tr>
      <w:tr>
        <w:tc>
          <w:tcPr>
            <w:tcW w:w="60" w:type="dxa"/>
          </w:tcPr>
          <w:p>
            <w:pPr>
              <w:pStyle w:val="Normal"/>
              <w:ind w:left="60"/>
              <w:spacing w:before="30" w:after="30"/>
            </w:pPr>
            <w:r>
              <w:rPr>
                <w:rFonts w:ascii="Calibri" w:hAnsi="Calibri" w:eastAsia="Microsoft YaHei"/>
                <w:color w:val="4A5568"/>
                <w:sz w:val="20"/>
                <w:szCs w:val="20"/>
              </w:rPr>
              <w:t>Ground Stations (x8)</w:t>
            </w:r>
          </w:p>
        </w:tc>
        <w:tc>
          <w:tcPr>
            <w:tcW w:w="30" w:type="dxa"/>
          </w:tcPr>
          <w:p>
            <w:pPr>
              <w:pStyle w:val="Normal"/>
              <w:jc w:val="right"/>
              <w:spacing w:before="30" w:after="30"/>
            </w:pPr>
            <w:r>
              <w:rPr>
                <w:rFonts w:ascii="Calibri" w:hAnsi="Calibri" w:eastAsia="Microsoft YaHei"/>
                <w:color w:val="4A5568"/>
                <w:sz w:val="20"/>
                <w:szCs w:val="20"/>
              </w:rPr>
              <w:t>$8.4M</w:t>
            </w:r>
          </w:p>
        </w:tc>
        <w:tc>
          <w:tcPr>
            <w:tcW w:w="30" w:type="dxa"/>
          </w:tcPr>
          <w:p>
            <w:pPr>
              <w:pStyle w:val="Normal"/>
              <w:jc w:val="right"/>
              <w:spacing w:before="30" w:after="30"/>
            </w:pPr>
            <w:r>
              <w:rPr>
                <w:rFonts w:ascii="Calibri" w:hAnsi="Calibri" w:eastAsia="Microsoft YaHei"/>
                <w:color w:val="4A5568"/>
                <w:sz w:val="20"/>
                <w:szCs w:val="20"/>
              </w:rPr>
              <w:t>$11.3M</w:t>
            </w:r>
          </w:p>
        </w:tc>
        <w:tc>
          <w:tcPr>
            <w:tcW w:w="30" w:type="dxa"/>
          </w:tcPr>
          <w:p>
            <w:pPr>
              <w:pStyle w:val="Normal"/>
              <w:jc w:val="center"/>
              <w:spacing w:before="30" w:after="30"/>
            </w:pPr>
            <w:r>
              <w:rPr>
                <w:rFonts w:ascii="Calibri" w:hAnsi="Calibri" w:eastAsia="Microsoft YaHei"/>
                <w:color w:val="4A5568"/>
                <w:sz w:val="20"/>
                <w:szCs w:val="20"/>
              </w:rPr>
              <w:t>5.5%</w:t>
            </w:r>
          </w:p>
        </w:tc>
      </w:tr>
      <w:tr>
        <w:tc>
          <w:tcPr>
            <w:tcW w:w="60" w:type="dxa"/>
          </w:tcPr>
          <w:p>
            <w:pPr>
              <w:pStyle w:val="Normal"/>
              <w:ind w:left="60"/>
              <w:spacing w:before="30" w:after="30"/>
            </w:pPr>
            <w:r>
              <w:rPr>
                <w:rFonts w:ascii="Calibri" w:hAnsi="Calibri" w:eastAsia="Microsoft YaHei"/>
                <w:color w:val="4A5568"/>
                <w:sz w:val="20"/>
                <w:szCs w:val="20"/>
              </w:rPr>
              <w:t>Training and Documentation</w:t>
            </w:r>
          </w:p>
        </w:tc>
        <w:tc>
          <w:tcPr>
            <w:tcW w:w="30" w:type="dxa"/>
          </w:tcPr>
          <w:p>
            <w:pPr>
              <w:pStyle w:val="Normal"/>
              <w:jc w:val="right"/>
              <w:spacing w:before="30" w:after="30"/>
            </w:pPr>
            <w:r>
              <w:rPr>
                <w:rFonts w:ascii="Calibri" w:hAnsi="Calibri" w:eastAsia="Microsoft YaHei"/>
                <w:color w:val="4A5568"/>
                <w:sz w:val="20"/>
                <w:szCs w:val="20"/>
              </w:rPr>
              <w:t>$6.2M</w:t>
            </w:r>
          </w:p>
        </w:tc>
        <w:tc>
          <w:tcPr>
            <w:tcW w:w="30" w:type="dxa"/>
          </w:tcPr>
          <w:p>
            <w:pPr>
              <w:pStyle w:val="Normal"/>
              <w:jc w:val="right"/>
              <w:spacing w:before="30" w:after="30"/>
            </w:pPr>
            <w:r>
              <w:rPr>
                <w:rFonts w:ascii="Calibri" w:hAnsi="Calibri" w:eastAsia="Microsoft YaHei"/>
                <w:color w:val="4A5568"/>
                <w:sz w:val="20"/>
                <w:szCs w:val="20"/>
              </w:rPr>
              <w:t>$8.4M</w:t>
            </w:r>
          </w:p>
        </w:tc>
        <w:tc>
          <w:tcPr>
            <w:tcW w:w="30" w:type="dxa"/>
          </w:tcPr>
          <w:p>
            <w:pPr>
              <w:pStyle w:val="Normal"/>
              <w:jc w:val="center"/>
              <w:spacing w:before="30" w:after="30"/>
            </w:pPr>
            <w:r>
              <w:rPr>
                <w:rFonts w:ascii="Calibri" w:hAnsi="Calibri" w:eastAsia="Microsoft YaHei"/>
                <w:color w:val="4A5568"/>
                <w:sz w:val="20"/>
                <w:szCs w:val="20"/>
              </w:rPr>
              <w:t>4.1%</w:t>
            </w:r>
          </w:p>
        </w:tc>
      </w:tr>
      <w:tr>
        <w:tc>
          <w:tcPr>
            <w:tcW w:w="60" w:type="dxa"/>
          </w:tcPr>
          <w:p>
            <w:pPr>
              <w:pStyle w:val="Normal"/>
              <w:ind w:left="60"/>
              <w:spacing w:before="30" w:after="30"/>
            </w:pPr>
            <w:r>
              <w:rPr>
                <w:rFonts w:ascii="Calibri" w:hAnsi="Calibri" w:eastAsia="Microsoft YaHei"/>
                <w:color w:val="4A5568"/>
                <w:sz w:val="20"/>
                <w:szCs w:val="20"/>
              </w:rPr>
              <w:t>Spares and Support (10-yr)</w:t>
            </w:r>
          </w:p>
        </w:tc>
        <w:tc>
          <w:tcPr>
            <w:tcW w:w="30" w:type="dxa"/>
          </w:tcPr>
          <w:p>
            <w:pPr>
              <w:pStyle w:val="Normal"/>
              <w:jc w:val="right"/>
              <w:spacing w:before="30" w:after="30"/>
            </w:pPr>
            <w:r>
              <w:rPr>
                <w:rFonts w:ascii="Calibri" w:hAnsi="Calibri" w:eastAsia="Microsoft YaHei"/>
                <w:color w:val="4A5568"/>
                <w:sz w:val="20"/>
                <w:szCs w:val="20"/>
              </w:rPr>
              <w:t>$8.5M</w:t>
            </w:r>
          </w:p>
        </w:tc>
        <w:tc>
          <w:tcPr>
            <w:tcW w:w="30" w:type="dxa"/>
          </w:tcPr>
          <w:p>
            <w:pPr>
              <w:pStyle w:val="Normal"/>
              <w:jc w:val="right"/>
              <w:spacing w:before="30" w:after="30"/>
            </w:pPr>
            <w:r>
              <w:rPr>
                <w:rFonts w:ascii="Calibri" w:hAnsi="Calibri" w:eastAsia="Microsoft YaHei"/>
                <w:color w:val="4A5568"/>
                <w:sz w:val="20"/>
                <w:szCs w:val="20"/>
              </w:rPr>
              <w:t>$11.5M</w:t>
            </w:r>
          </w:p>
        </w:tc>
        <w:tc>
          <w:tcPr>
            <w:tcW w:w="30" w:type="dxa"/>
          </w:tcPr>
          <w:p>
            <w:pPr>
              <w:pStyle w:val="Normal"/>
              <w:jc w:val="center"/>
              <w:spacing w:before="30" w:after="30"/>
            </w:pPr>
            <w:r>
              <w:rPr>
                <w:rFonts w:ascii="Calibri" w:hAnsi="Calibri" w:eastAsia="Microsoft YaHei"/>
                <w:color w:val="4A5568"/>
                <w:sz w:val="20"/>
                <w:szCs w:val="20"/>
              </w:rPr>
              <w:t>5.6%</w:t>
            </w:r>
          </w:p>
        </w:tc>
      </w:tr>
      <w:tr>
        <w:tc>
          <w:tcPr>
            <w:tcW w:w="60" w:type="dxa"/>
          </w:tcPr>
          <w:p>
            <w:pPr>
              <w:pStyle w:val="Normal"/>
              <w:ind w:left="60"/>
              <w:spacing w:before="30" w:after="30"/>
            </w:pPr>
            <w:r>
              <w:rPr>
                <w:rFonts w:ascii="Calibri" w:hAnsi="Calibri" w:eastAsia="Microsoft YaHei"/>
                <w:color w:val="4A5568"/>
                <w:sz w:val="20"/>
                <w:szCs w:val="20"/>
              </w:rPr>
              <w:t>Contingency</w:t>
            </w:r>
          </w:p>
        </w:tc>
        <w:tc>
          <w:tcPr>
            <w:tcW w:w="30" w:type="dxa"/>
          </w:tcPr>
          <w:p>
            <w:pPr>
              <w:pStyle w:val="Normal"/>
              <w:jc w:val="right"/>
              <w:spacing w:before="30" w:after="30"/>
            </w:pPr>
            <w:r>
              <w:rPr>
                <w:rFonts w:ascii="Calibri" w:hAnsi="Calibri" w:eastAsia="Microsoft YaHei"/>
                <w:color w:val="4A5568"/>
                <w:sz w:val="20"/>
                <w:szCs w:val="20"/>
              </w:rPr>
              <w:t>$2.0M</w:t>
            </w:r>
          </w:p>
        </w:tc>
        <w:tc>
          <w:tcPr>
            <w:tcW w:w="30" w:type="dxa"/>
          </w:tcPr>
          <w:p>
            <w:pPr>
              <w:pStyle w:val="Normal"/>
              <w:jc w:val="right"/>
              <w:spacing w:before="30" w:after="30"/>
            </w:pPr>
            <w:r>
              <w:rPr>
                <w:rFonts w:ascii="Calibri" w:hAnsi="Calibri" w:eastAsia="Microsoft YaHei"/>
                <w:color w:val="4A5568"/>
                <w:sz w:val="20"/>
                <w:szCs w:val="20"/>
              </w:rPr>
              <w:t>$2.7M</w:t>
            </w:r>
          </w:p>
        </w:tc>
        <w:tc>
          <w:tcPr>
            <w:tcW w:w="30" w:type="dxa"/>
          </w:tcPr>
          <w:p>
            <w:pPr>
              <w:pStyle w:val="Normal"/>
              <w:jc w:val="center"/>
              <w:spacing w:before="30" w:after="30"/>
            </w:pPr>
            <w:r>
              <w:rPr>
                <w:rFonts w:ascii="Calibri" w:hAnsi="Calibri" w:eastAsia="Microsoft YaHei"/>
                <w:color w:val="4A5568"/>
                <w:sz w:val="20"/>
                <w:szCs w:val="20"/>
              </w:rPr>
              <w:t>1.3%</w:t>
            </w:r>
          </w:p>
        </w:tc>
      </w:tr>
      <w:tr>
        <w:tc>
          <w:tcPr>
            <w:tcW w:w="60" w:type="dxa"/>
          </w:tcPr>
          <w:p>
            <w:pPr>
              <w:pStyle w:val="Normal"/>
              <w:ind w:left="60"/>
              <w:spacing w:before="30" w:after="30"/>
            </w:pPr>
            <w:r>
              <w:rPr>
                <w:rFonts w:ascii="Calibri" w:hAnsi="Calibri" w:eastAsia="Microsoft YaHei"/>
                <w:color w:val="1D2D3D"/>
                <w:sz w:val="20"/>
                <w:b/>
                <w:szCs w:val="20"/>
              </w:rPr>
              <w:t>TOTAL GATEWAY ONE PROGRAM</w:t>
            </w:r>
          </w:p>
        </w:tc>
        <w:tc>
          <w:tcPr>
            <w:tcW w:w="30" w:type="dxa"/>
          </w:tcPr>
          <w:p>
            <w:pPr>
              <w:pStyle w:val="Normal"/>
              <w:jc w:val="right"/>
              <w:spacing w:before="30" w:after="30"/>
            </w:pPr>
            <w:r>
              <w:rPr>
                <w:rFonts w:ascii="Calibri" w:hAnsi="Calibri" w:eastAsia="Microsoft YaHei"/>
                <w:color w:val="1D2D3D"/>
                <w:sz w:val="20"/>
                <w:b/>
                <w:szCs w:val="20"/>
              </w:rPr>
              <w:t>$151.5M</w:t>
            </w:r>
          </w:p>
        </w:tc>
        <w:tc>
          <w:tcPr>
            <w:tcW w:w="30" w:type="dxa"/>
          </w:tcPr>
          <w:p>
            <w:pPr>
              <w:pStyle w:val="Normal"/>
              <w:jc w:val="right"/>
              <w:spacing w:before="30" w:after="30"/>
            </w:pPr>
            <w:r>
              <w:rPr>
                <w:rFonts w:ascii="Calibri" w:hAnsi="Calibri" w:eastAsia="Microsoft YaHei"/>
                <w:color w:val="1D2D3D"/>
                <w:sz w:val="20"/>
                <w:b/>
                <w:szCs w:val="20"/>
              </w:rPr>
              <w:t>$204.6M</w:t>
            </w:r>
          </w:p>
        </w:tc>
        <w:tc>
          <w:tcPr>
            <w:tcW w:w="30" w:type="dxa"/>
          </w:tcPr>
          <w:p>
            <w:pPr>
              <w:pStyle w:val="Normal"/>
              <w:jc w:val="center"/>
              <w:spacing w:before="30" w:after="30"/>
            </w:pPr>
            <w:r>
              <w:rPr>
                <w:rFonts w:ascii="Calibri" w:hAnsi="Calibri" w:eastAsia="Microsoft YaHei"/>
                <w:color w:val="1D2D3D"/>
                <w:sz w:val="20"/>
                <w:b/>
                <w:szCs w:val="20"/>
              </w:rPr>
              <w:t>100.0%</w:t>
            </w:r>
          </w:p>
        </w:tc>
      </w:tr>
    </w:tbl>
    <w:p>
      <w:pPr>
        <w:pStyle w:val="Heading2"/>
      </w:pPr>
      <w:r>
        <w:rPr>
          <w:rFonts w:ascii="Calibri" w:hAnsi="Calibri" w:eastAsia="Microsoft YaHei" w:cs="Calibri"/>
          <w:b/>
          <w:color w:val="1D2D3D"/>
          <w:sz w:val="30"/>
          <w:szCs w:val="30"/>
        </w:rPr>
        <w:t>7. Integration with Canadian and NORAD Systems</w:t>
      </w:r>
    </w:p>
    <w:p>
      <w:pPr>
        <w:pStyle w:val="Heading3"/>
      </w:pPr>
      <w:r>
        <w:rPr>
          <w:rFonts w:ascii="Calibri" w:hAnsi="Calibri" w:eastAsia="Microsoft YaHei" w:cs="Calibri"/>
          <w:b/>
          <w:color w:val="4A5568"/>
          <w:sz w:val="26"/>
          <w:szCs w:val="26"/>
        </w:rPr>
        <w:t>7.1 NORAD / NADS Compatibility</w:t>
      </w:r>
    </w:p>
    <w:p>
      <w:pPr>
        <w:pStyle w:val="Normal"/>
      </w:pPr>
      <w:r>
        <w:rPr>
          <w:rFonts w:ascii="Calibri" w:hAnsi="Calibri" w:eastAsia="Microsoft YaHei" w:cs="Calibri"/>
          <w:color w:val="1D2D3D"/>
          <w:sz w:val="22"/>
          <w:szCs w:val="22"/>
        </w:rPr>
        <w:t>Gateway One is designed for full interoperability with the North American Air Defense System (NADS) and the Canadian Department of National Defence's future Joint All-Domain Command and Control (JADC2) architecture. The system uses standard NATO J-series messages for all Link 16 traffic, TTNT for high-bandwidth data (video, targeting, full-motion video), and JREAP-C over SATCOM for beyond-line-of-sight reachback to NORAD command centres atCFB North Bay, Cheyenne Mountain, and Elmendorf AFB.</w:t>
      </w:r>
    </w:p>
    <w:p>
      <w:pPr>
        <w:pStyle w:val="Normal"/>
      </w:pPr>
      <w:r>
        <w:rPr>
          <w:rFonts w:ascii="Calibri" w:hAnsi="Calibri" w:eastAsia="Microsoft YaHei" w:cs="Calibri"/>
          <w:color w:val="1D2D3D"/>
          <w:sz w:val="22"/>
          <w:szCs w:val="22"/>
        </w:rPr>
        <w:t>The successful demonstration of the Skunk Works OSG at Exercise Ramstein Flag (April 2025) — where Dutch F-35As passed live classified targeting data via MADL through OSG into the Dutch Keystone C2 system, achieving a confirmed ground-target kill via rocket artillery in "a matter of minutes" — provides direct operational validation of the Gateway One concept. Canada will replicate this architecture using Canadian-developed software and Striker-based relay platforms.</w:t>
      </w:r>
    </w:p>
    <w:p>
      <w:pPr>
        <w:pStyle w:val="Heading3"/>
      </w:pPr>
      <w:r>
        <w:rPr>
          <w:rFonts w:ascii="Calibri" w:hAnsi="Calibri" w:eastAsia="Microsoft YaHei" w:cs="Calibri"/>
          <w:b/>
          <w:color w:val="4A5568"/>
          <w:sz w:val="26"/>
          <w:szCs w:val="26"/>
        </w:rPr>
        <w:t>7.2 Multi-Level Security (MLS) Architecture</w:t>
      </w:r>
    </w:p>
    <w:p>
      <w:pPr>
        <w:pStyle w:val="Normal"/>
      </w:pPr>
      <w:r>
        <w:rPr>
          <w:rFonts w:ascii="Calibri" w:hAnsi="Calibri" w:eastAsia="Microsoft YaHei" w:cs="Calibri"/>
          <w:color w:val="1D2D3D"/>
          <w:sz w:val="22"/>
          <w:szCs w:val="22"/>
        </w:rPr>
        <w:t>Gateway One implements a Multi-Level Security (MLS) architecture compliant with NATO SDIP-27 and Canadian ITSG-33. The system maintains strict separation between:</w:t>
      </w:r>
    </w:p>
    <w:p>
      <w:pPr>
        <w:pStyle w:val="Normal"/>
        <w:spacing w:after="80"/>
        <w:ind w:left="720" w:hanging="360"/>
      </w:pPr>
      <w:r>
        <w:rPr>
          <w:rFonts w:ascii="Calibri" w:hAnsi="Calibri" w:eastAsia="Microsoft YaHei" w:cs="Calibri"/>
          <w:color w:val="1D2D3D"/>
          <w:sz w:val="22"/>
          <w:b/>
          <w:szCs w:val="22"/>
        </w:rPr>
        <w:t xml:space="preserve">•  Top Secret (TS) / CANFORGEN:</w:t>
      </w:r>
      <w:r>
        <w:rPr>
          <w:rFonts w:ascii="Calibri" w:hAnsi="Calibri" w:eastAsia="Microsoft YaHei" w:cs="Calibri"/>
          <w:color w:val="1D2D3D"/>
          <w:sz w:val="22"/>
          <w:szCs w:val="22"/>
        </w:rPr>
        <w:t xml:space="preserve"> F-35 MADL traffic at the highest classification level — processed in a physically isolated FPGA pipeline with no software involvement.</w:t>
      </w:r>
    </w:p>
    <w:p>
      <w:pPr>
        <w:pStyle w:val="Normal"/>
        <w:spacing w:after="80"/>
        <w:ind w:left="720" w:hanging="360"/>
      </w:pPr>
      <w:r>
        <w:rPr>
          <w:rFonts w:ascii="Calibri" w:hAnsi="Calibri" w:eastAsia="Microsoft YaHei" w:cs="Calibri"/>
          <w:color w:val="1D2D3D"/>
          <w:sz w:val="22"/>
          <w:b/>
          <w:szCs w:val="22"/>
        </w:rPr>
        <w:t xml:space="preserve">•  Secret (S) / PROTECTED-C:</w:t>
      </w:r>
      <w:r>
        <w:rPr>
          <w:rFonts w:ascii="Calibri" w:hAnsi="Calibri" w:eastAsia="Microsoft YaHei" w:cs="Calibri"/>
          <w:color w:val="1D2D3D"/>
          <w:sz w:val="22"/>
          <w:szCs w:val="22"/>
        </w:rPr>
        <w:t xml:space="preserve"> Correlated track data distributed to Gripen, Striker, and Sprinter platforms via Link 16 and TTNT.</w:t>
      </w:r>
    </w:p>
    <w:p>
      <w:pPr>
        <w:pStyle w:val="Normal"/>
        <w:spacing w:after="80"/>
        <w:ind w:left="720" w:hanging="360"/>
      </w:pPr>
      <w:r>
        <w:rPr>
          <w:rFonts w:ascii="Calibri" w:hAnsi="Calibri" w:eastAsia="Microsoft YaHei" w:cs="Calibri"/>
          <w:color w:val="1D2D3D"/>
          <w:sz w:val="22"/>
          <w:b/>
          <w:szCs w:val="22"/>
        </w:rPr>
        <w:t xml:space="preserve">•  Restricted / PROTECTED-A:</w:t>
      </w:r>
      <w:r>
        <w:rPr>
          <w:rFonts w:ascii="Calibri" w:hAnsi="Calibri" w:eastAsia="Microsoft YaHei" w:cs="Calibri"/>
          <w:color w:val="1D2D3D"/>
          <w:sz w:val="22"/>
          <w:szCs w:val="22"/>
        </w:rPr>
        <w:t xml:space="preserve"> Degraded track data for coalition partners and lower-classification networks.</w:t>
      </w:r>
    </w:p>
    <w:p>
      <w:pPr>
        <w:pStyle w:val="Normal"/>
        <w:spacing w:after="80"/>
        <w:ind w:left="720" w:hanging="360"/>
      </w:pPr>
      <w:r>
        <w:rPr>
          <w:rFonts w:ascii="Calibri" w:hAnsi="Calibri" w:eastAsia="Microsoft YaHei" w:cs="Calibri"/>
          <w:color w:val="1D2D3D"/>
          <w:sz w:val="22"/>
          <w:b/>
          <w:szCs w:val="22"/>
        </w:rPr>
        <w:t xml:space="preserve">•  Unclassified / UNCLASSIFIED:</w:t>
      </w:r>
      <w:r>
        <w:rPr>
          <w:rFonts w:ascii="Calibri" w:hAnsi="Calibri" w:eastAsia="Microsoft YaHei" w:cs="Calibri"/>
          <w:color w:val="1D2D3D"/>
          <w:sz w:val="22"/>
          <w:szCs w:val="22"/>
        </w:rPr>
        <w:t xml:space="preserve"> Position reporting and status for civilian ATC and search-and-rescue coordination.</w:t>
      </w:r>
    </w:p>
    <w:p>
      <w:pPr>
        <w:pStyle w:val="Heading2"/>
      </w:pPr>
      <w:r>
        <w:rPr>
          <w:rFonts w:ascii="Calibri" w:hAnsi="Calibri" w:eastAsia="Microsoft YaHei" w:cs="Calibri"/>
          <w:b/>
          <w:color w:val="1D2D3D"/>
          <w:sz w:val="30"/>
          <w:szCs w:val="30"/>
        </w:rPr>
        <w:t>8. Engineering Considerations and Risk Mitigation</w:t>
      </w:r>
    </w:p>
    <w:p>
      <w:pPr>
        <w:pStyle w:val="Heading3"/>
      </w:pPr>
      <w:r>
        <w:rPr>
          <w:rFonts w:ascii="Calibri" w:hAnsi="Calibri" w:eastAsia="Microsoft YaHei" w:cs="Calibri"/>
          <w:b/>
          <w:color w:val="4A5568"/>
          <w:sz w:val="26"/>
          <w:szCs w:val="26"/>
        </w:rPr>
        <w:t>8.1 Critical Engineering Challenges</w:t>
      </w:r>
    </w:p>
    <w:p>
      <w:pPr>
        <w:pStyle w:val="Normal"/>
        <w:spacing w:after="80"/>
        <w:ind w:left="720" w:hanging="360"/>
      </w:pPr>
      <w:r>
        <w:rPr>
          <w:rFonts w:ascii="Calibri" w:hAnsi="Calibri" w:eastAsia="Microsoft YaHei" w:cs="Calibri"/>
          <w:color w:val="1D2D3D"/>
          <w:sz w:val="22"/>
          <w:b/>
          <w:szCs w:val="22"/>
        </w:rPr>
        <w:t>MADL ITAR Access:</w:t>
      </w:r>
      <w:r>
        <w:rPr>
          <w:rFonts w:ascii="Calibri" w:hAnsi="Calibri" w:eastAsia="Microsoft YaHei" w:cs="Calibri"/>
          <w:color w:val="1D2D3D"/>
          <w:sz w:val="22"/>
          <w:szCs w:val="22"/>
        </w:rPr>
        <w:t xml:space="preserve"> The MADL waveform specification is ITAR-controlled. Mitigation: Negotiate a Technology Sharing Agreement (TSA) with the U.S. Department of Defense under the existing NORAD framework, following the UK and Netherlands precedent. Estimated timeline: 12-18 months. Estimated cost: $15.0M USD.</w:t>
      </w:r>
    </w:p>
    <w:p>
      <w:pPr>
        <w:pStyle w:val="Normal"/>
        <w:spacing w:after="80"/>
        <w:ind w:left="720" w:hanging="360"/>
      </w:pPr>
      <w:r>
        <w:rPr>
          <w:rFonts w:ascii="Calibri" w:hAnsi="Calibri" w:eastAsia="Microsoft YaHei" w:cs="Calibri"/>
          <w:color w:val="1D2D3D"/>
          <w:sz w:val="22"/>
          <w:b/>
          <w:szCs w:val="22"/>
        </w:rPr>
        <w:t>Latency Budget:</w:t>
      </w:r>
      <w:r>
        <w:rPr>
          <w:rFonts w:ascii="Calibri" w:hAnsi="Calibri" w:eastAsia="Microsoft YaHei" w:cs="Calibri"/>
          <w:color w:val="1D2D3D"/>
          <w:sz w:val="22"/>
          <w:szCs w:val="22"/>
        </w:rPr>
        <w:t xml:space="preserve"> The sub-50ms end-to-end latency requirement is aggressive. Mitigation: FPGA-accelerated DSP pipelines for signal processing; dedicated AI inference hardware (Jetson AGX Orin); deterministic real-time Linux (RHEL 8.8 RT). Verified via hardware timestamping (IEEE 1588-2008 PTP).</w:t>
      </w:r>
    </w:p>
    <w:p>
      <w:pPr>
        <w:pStyle w:val="Normal"/>
        <w:spacing w:after="80"/>
        <w:ind w:left="720" w:hanging="360"/>
      </w:pPr>
      <w:r>
        <w:rPr>
          <w:rFonts w:ascii="Calibri" w:hAnsi="Calibri" w:eastAsia="Microsoft YaHei" w:cs="Calibri"/>
          <w:color w:val="1D2D3D"/>
          <w:sz w:val="22"/>
          <w:b/>
          <w:szCs w:val="22"/>
        </w:rPr>
        <w:t>Thermal Management:</w:t>
      </w:r>
      <w:r>
        <w:rPr>
          <w:rFonts w:ascii="Calibri" w:hAnsi="Calibri" w:eastAsia="Microsoft YaHei" w:cs="Calibri"/>
          <w:color w:val="1D2D3D"/>
          <w:sz w:val="22"/>
          <w:szCs w:val="22"/>
        </w:rPr>
        <w:t xml:space="preserve"> 850 W total heat dissipation in a Striker weapons bay at -55 deg C ambient. Mitigation: Liquid cooling with 50/50 propylene glycol-water, 850 W capacity; cold plate interface to Striker weapons bay wall; fuel-cooled heat exchanger for extended operations.</w:t>
      </w:r>
    </w:p>
    <w:p>
      <w:pPr>
        <w:pStyle w:val="Normal"/>
        <w:spacing w:after="80"/>
        <w:ind w:left="720" w:hanging="360"/>
      </w:pPr>
      <w:r>
        <w:rPr>
          <w:rFonts w:ascii="Calibri" w:hAnsi="Calibri" w:eastAsia="Microsoft YaHei" w:cs="Calibri"/>
          <w:color w:val="1D2D3D"/>
          <w:sz w:val="22"/>
          <w:b/>
          <w:szCs w:val="22"/>
        </w:rPr>
        <w:t>EMI/EMC:</w:t>
      </w:r>
      <w:r>
        <w:rPr>
          <w:rFonts w:ascii="Calibri" w:hAnsi="Calibri" w:eastAsia="Microsoft YaHei" w:cs="Calibri"/>
          <w:color w:val="1D2D3D"/>
          <w:sz w:val="22"/>
          <w:szCs w:val="22"/>
        </w:rPr>
        <w:t xml:space="preserve"> Four simultaneous active transmitters (MADL Ku, Link 16 L-band, TTNT S-band, SATCOM Ku/Ka) in close proximity. Mitigation: Full MIL-STD-461G certification; frequency separation (Ku vs L vs S); shielded coaxial cabling (MIL-DTL-17); RF isolation via waveguide filters; antenna placement optimisation (dorsal/ventral separation).</w:t>
      </w:r>
    </w:p>
    <w:p>
      <w:pPr>
        <w:pStyle w:val="Normal"/>
        <w:spacing w:after="80"/>
        <w:ind w:left="720" w:hanging="360"/>
      </w:pPr>
      <w:r>
        <w:rPr>
          <w:rFonts w:ascii="Calibri" w:hAnsi="Calibri" w:eastAsia="Microsoft YaHei" w:cs="Calibri"/>
          <w:color w:val="1D2D3D"/>
          <w:sz w:val="22"/>
          <w:b/>
          <w:szCs w:val="22"/>
        </w:rPr>
        <w:t>Power Budget:</w:t>
      </w:r>
      <w:r>
        <w:rPr>
          <w:rFonts w:ascii="Calibri" w:hAnsi="Calibri" w:eastAsia="Microsoft YaHei" w:cs="Calibri"/>
          <w:color w:val="1D2D3D"/>
          <w:sz w:val="22"/>
          <w:szCs w:val="22"/>
        </w:rPr>
        <w:t xml:space="preserve"> 850 W peak draw from Striker 28V bus limits weapons carriage. Mitigation: Power management software prioritises mission-critical waveforms; SDR operates in time-division mode when not all links are simultaneously active; 45 A peak within Striker power generation capacity (55 A continuous).</w:t>
      </w:r>
    </w:p>
    <w:p>
      <w:pPr>
        <w:pStyle w:val="Heading2"/>
      </w:pPr>
      <w:r>
        <w:rPr>
          <w:rFonts w:ascii="Calibri" w:hAnsi="Calibri" w:eastAsia="Microsoft YaHei" w:cs="Calibri"/>
          <w:b/>
          <w:color w:val="1D2D3D"/>
          <w:sz w:val="30"/>
          <w:szCs w:val="30"/>
        </w:rPr>
        <w:t>9. Testing and Certification Roadmap</w:t>
      </w:r>
    </w:p>
    <w:p>
      <w:pPr>
        <w:pStyle w:val="Normal"/>
      </w:pPr>
      <w:r>
        <w:rPr>
          <w:rFonts w:ascii="Calibri" w:hAnsi="Calibri" w:eastAsia="Microsoft YaHei" w:cs="Calibri"/>
          <w:color w:val="1D2D3D"/>
          <w:sz w:val="22"/>
          <w:szCs w:val="22"/>
        </w:rPr>
        <w:t>The Gateway One testing program follows a rigorous four-phase approach, leveraging existing test infrastructure and lessons learned from the Skunk Works OSG demonstrations.</w:t>
      </w:r>
    </w:p>
    <w:tbl>
      <w:tblPr>
        <w:tblBorders>
          <w:top w:val="single" w:space="0"/>
          <w:left w:val="nil" w:space="0"/>
          <w:bottom w:val="single" w:space="0"/>
          <w:right w:val="nil" w:space="0"/>
          <w:insideH w:val="single" w:space="0"/>
          <w:insideV w:val="nil" w:space="0"/>
        </w:tblBorders>
        <w:tblW w:w="5000" w:type="pct"/>
        <w:tblLayout w:type="fixed"/>
      </w:tblPr>
      <w:tblGrid>
        <w:gridCol w:w="20"/>
        <w:gridCol w:w="50"/>
        <w:gridCol w:w="50"/>
        <w:gridCol w:w="40"/>
      </w:tblGrid>
      <w:tr>
        <w:trPr>
          <w:tblHeader w:val="1"/>
        </w:trPr>
        <w:tc>
          <w:tcPr>
            <w:tcW w:w="20" w:type="dxa"/>
            <w:shd w:val="clear" w:color="auto" w:fill="E8EDF2"/>
          </w:tcPr>
          <w:p>
            <w:pPr>
              <w:pStyle w:val="Normal"/>
              <w:jc w:val="center"/>
              <w:spacing w:before="40" w:after="40"/>
            </w:pPr>
            <w:r>
              <w:rPr>
                <w:rFonts w:ascii="Calibri" w:hAnsi="Calibri" w:eastAsia="Microsoft YaHei"/>
                <w:color w:val="1D2D3D"/>
                <w:sz w:val="20"/>
                <w:b/>
                <w:szCs w:val="20"/>
              </w:rPr>
              <w:t>Phase</w:t>
            </w:r>
          </w:p>
        </w:tc>
        <w:tc>
          <w:tcPr>
            <w:tcW w:w="50" w:type="dxa"/>
            <w:shd w:val="clear" w:color="auto" w:fill="E8EDF2"/>
          </w:tcPr>
          <w:p>
            <w:pPr>
              <w:pStyle w:val="Normal"/>
              <w:jc w:val="center"/>
              <w:spacing w:before="40" w:after="40"/>
            </w:pPr>
            <w:r>
              <w:rPr>
                <w:rFonts w:ascii="Calibri" w:hAnsi="Calibri" w:eastAsia="Microsoft YaHei"/>
                <w:color w:val="1D2D3D"/>
                <w:sz w:val="20"/>
                <w:b/>
                <w:szCs w:val="20"/>
              </w:rPr>
              <w:t>Activity</w:t>
            </w:r>
          </w:p>
        </w:tc>
        <w:tc>
          <w:tcPr>
            <w:tcW w:w="50" w:type="dxa"/>
            <w:shd w:val="clear" w:color="auto" w:fill="E8EDF2"/>
          </w:tcPr>
          <w:p>
            <w:pPr>
              <w:pStyle w:val="Normal"/>
              <w:jc w:val="center"/>
              <w:spacing w:before="40" w:after="40"/>
            </w:pPr>
            <w:r>
              <w:rPr>
                <w:rFonts w:ascii="Calibri" w:hAnsi="Calibri" w:eastAsia="Microsoft YaHei"/>
                <w:color w:val="1D2D3D"/>
                <w:sz w:val="20"/>
                <w:b/>
                <w:szCs w:val="20"/>
              </w:rPr>
              <w:t>Deliverable</w:t>
            </w:r>
          </w:p>
        </w:tc>
        <w:tc>
          <w:tcPr>
            <w:tcW w:w="40" w:type="dxa"/>
            <w:shd w:val="clear" w:color="auto" w:fill="E8EDF2"/>
          </w:tcPr>
          <w:p>
            <w:pPr>
              <w:pStyle w:val="Normal"/>
              <w:jc w:val="center"/>
              <w:spacing w:before="40" w:after="40"/>
            </w:pPr>
            <w:r>
              <w:rPr>
                <w:rFonts w:ascii="Calibri" w:hAnsi="Calibri" w:eastAsia="Microsoft YaHei"/>
                <w:color w:val="1D2D3D"/>
                <w:sz w:val="20"/>
                <w:b/>
                <w:szCs w:val="20"/>
              </w:rPr>
              <w:t>Timeline</w:t>
            </w:r>
          </w:p>
        </w:tc>
      </w:tr>
      <w:tr>
        <w:tc>
          <w:tcPr>
            <w:tcW w:w="20" w:type="dxa"/>
          </w:tcPr>
          <w:p>
            <w:pPr>
              <w:pStyle w:val="Normal"/>
              <w:ind w:left="60"/>
              <w:spacing w:before="30" w:after="30"/>
            </w:pPr>
            <w:r>
              <w:rPr>
                <w:rFonts w:ascii="Calibri" w:hAnsi="Calibri" w:eastAsia="Microsoft YaHei"/>
                <w:color w:val="4A5568"/>
                <w:sz w:val="20"/>
                <w:szCs w:val="20"/>
              </w:rPr>
              <w:t>I</w:t>
            </w:r>
          </w:p>
        </w:tc>
        <w:tc>
          <w:tcPr>
            <w:tcW w:w="50" w:type="dxa"/>
          </w:tcPr>
          <w:p>
            <w:pPr>
              <w:pStyle w:val="Normal"/>
              <w:ind w:left="60"/>
              <w:spacing w:before="30" w:after="30"/>
            </w:pPr>
            <w:r>
              <w:rPr>
                <w:rFonts w:ascii="Calibri" w:hAnsi="Calibri" w:eastAsia="Microsoft YaHei"/>
                <w:color w:val="4A5568"/>
                <w:sz w:val="20"/>
                <w:szCs w:val="20"/>
              </w:rPr>
              <w:t>Lab Integration: MADL/Link 16/TTNT simulators; closed-loop protocol translation validation</w:t>
            </w:r>
          </w:p>
        </w:tc>
        <w:tc>
          <w:tcPr>
            <w:tcW w:w="50" w:type="dxa"/>
          </w:tcPr>
          <w:p>
            <w:pPr>
              <w:pStyle w:val="Normal"/>
              <w:ind w:left="60"/>
              <w:spacing w:before="30" w:after="30"/>
            </w:pPr>
            <w:r>
              <w:rPr>
                <w:rFonts w:ascii="Calibri" w:hAnsi="Calibri" w:eastAsia="Microsoft YaHei"/>
                <w:color w:val="4A5568"/>
                <w:sz w:val="20"/>
                <w:szCs w:val="20"/>
              </w:rPr>
              <w:t>Software Build 1.0; &lt;50ms latency verified; protocol translation accuracy &gt;99.9%</w:t>
            </w:r>
          </w:p>
        </w:tc>
        <w:tc>
          <w:tcPr>
            <w:tcW w:w="40" w:type="dxa"/>
          </w:tcPr>
          <w:p>
            <w:pPr>
              <w:pStyle w:val="Normal"/>
              <w:ind w:left="60"/>
              <w:spacing w:before="30" w:after="30"/>
            </w:pPr>
            <w:r>
              <w:rPr>
                <w:rFonts w:ascii="Calibri" w:hAnsi="Calibri" w:eastAsia="Microsoft YaHei"/>
                <w:color w:val="4A5568"/>
                <w:sz w:val="20"/>
                <w:szCs w:val="20"/>
              </w:rPr>
              <w:t>Q1-Q3 2027</w:t>
            </w:r>
          </w:p>
        </w:tc>
      </w:tr>
      <w:tr>
        <w:tc>
          <w:tcPr>
            <w:tcW w:w="20" w:type="dxa"/>
          </w:tcPr>
          <w:p>
            <w:pPr>
              <w:pStyle w:val="Normal"/>
              <w:ind w:left="60"/>
              <w:spacing w:before="30" w:after="30"/>
            </w:pPr>
            <w:r>
              <w:rPr>
                <w:rFonts w:ascii="Calibri" w:hAnsi="Calibri" w:eastAsia="Microsoft YaHei"/>
                <w:color w:val="4A5568"/>
                <w:sz w:val="20"/>
                <w:szCs w:val="20"/>
              </w:rPr>
              <w:t>II</w:t>
            </w:r>
          </w:p>
        </w:tc>
        <w:tc>
          <w:tcPr>
            <w:tcW w:w="50" w:type="dxa"/>
          </w:tcPr>
          <w:p>
            <w:pPr>
              <w:pStyle w:val="Normal"/>
              <w:ind w:left="60"/>
              <w:spacing w:before="30" w:after="30"/>
            </w:pPr>
            <w:r>
              <w:rPr>
                <w:rFonts w:ascii="Calibri" w:hAnsi="Calibri" w:eastAsia="Microsoft YaHei"/>
                <w:color w:val="4A5568"/>
                <w:sz w:val="20"/>
                <w:szCs w:val="20"/>
              </w:rPr>
              <w:t>Ground Integration: Full hardware-in-the-loop on Striker surrogate airframe at CFB Cold Lake</w:t>
            </w:r>
          </w:p>
        </w:tc>
        <w:tc>
          <w:tcPr>
            <w:tcW w:w="50" w:type="dxa"/>
          </w:tcPr>
          <w:p>
            <w:pPr>
              <w:pStyle w:val="Normal"/>
              <w:ind w:left="60"/>
              <w:spacing w:before="30" w:after="30"/>
            </w:pPr>
            <w:r>
              <w:rPr>
                <w:rFonts w:ascii="Calibri" w:hAnsi="Calibri" w:eastAsia="Microsoft YaHei"/>
                <w:color w:val="4A5568"/>
                <w:sz w:val="20"/>
                <w:szCs w:val="20"/>
              </w:rPr>
              <w:t>Hardware Qualification Report; EMI/EMC pass (MIL-STD-461G); thermal validation</w:t>
            </w:r>
          </w:p>
        </w:tc>
        <w:tc>
          <w:tcPr>
            <w:tcW w:w="40" w:type="dxa"/>
          </w:tcPr>
          <w:p>
            <w:pPr>
              <w:pStyle w:val="Normal"/>
              <w:ind w:left="60"/>
              <w:spacing w:before="30" w:after="30"/>
            </w:pPr>
            <w:r>
              <w:rPr>
                <w:rFonts w:ascii="Calibri" w:hAnsi="Calibri" w:eastAsia="Microsoft YaHei"/>
                <w:color w:val="4A5568"/>
                <w:sz w:val="20"/>
                <w:szCs w:val="20"/>
              </w:rPr>
              <w:t>Q4 2027 - Q2 2028</w:t>
            </w:r>
          </w:p>
        </w:tc>
      </w:tr>
      <w:tr>
        <w:tc>
          <w:tcPr>
            <w:tcW w:w="20" w:type="dxa"/>
          </w:tcPr>
          <w:p>
            <w:pPr>
              <w:pStyle w:val="Normal"/>
              <w:ind w:left="60"/>
              <w:spacing w:before="30" w:after="30"/>
            </w:pPr>
            <w:r>
              <w:rPr>
                <w:rFonts w:ascii="Calibri" w:hAnsi="Calibri" w:eastAsia="Microsoft YaHei"/>
                <w:color w:val="4A5568"/>
                <w:sz w:val="20"/>
                <w:szCs w:val="20"/>
              </w:rPr>
              <w:t>III</w:t>
            </w:r>
          </w:p>
        </w:tc>
        <w:tc>
          <w:tcPr>
            <w:tcW w:w="50" w:type="dxa"/>
          </w:tcPr>
          <w:p>
            <w:pPr>
              <w:pStyle w:val="Normal"/>
              <w:ind w:left="60"/>
              <w:spacing w:before="30" w:after="30"/>
            </w:pPr>
            <w:r>
              <w:rPr>
                <w:rFonts w:ascii="Calibri" w:hAnsi="Calibri" w:eastAsia="Microsoft YaHei"/>
                <w:color w:val="4A5568"/>
                <w:sz w:val="20"/>
                <w:szCs w:val="20"/>
              </w:rPr>
              <w:t>Flight Test: 50+ flight hours on Striker test aircraft; live F-35 interoperability at Eielson AFB</w:t>
            </w:r>
          </w:p>
        </w:tc>
        <w:tc>
          <w:tcPr>
            <w:tcW w:w="50" w:type="dxa"/>
          </w:tcPr>
          <w:p>
            <w:pPr>
              <w:pStyle w:val="Normal"/>
              <w:ind w:left="60"/>
              <w:spacing w:before="30" w:after="30"/>
            </w:pPr>
            <w:r>
              <w:rPr>
                <w:rFonts w:ascii="Calibri" w:hAnsi="Calibri" w:eastAsia="Microsoft YaHei"/>
                <w:color w:val="4A5568"/>
                <w:sz w:val="20"/>
                <w:szCs w:val="20"/>
              </w:rPr>
              <w:t>Flight Test Report; live MADL translation verified; TRL 7 achieved</w:t>
            </w:r>
          </w:p>
        </w:tc>
        <w:tc>
          <w:tcPr>
            <w:tcW w:w="40" w:type="dxa"/>
          </w:tcPr>
          <w:p>
            <w:pPr>
              <w:pStyle w:val="Normal"/>
              <w:ind w:left="60"/>
              <w:spacing w:before="30" w:after="30"/>
            </w:pPr>
            <w:r>
              <w:rPr>
                <w:rFonts w:ascii="Calibri" w:hAnsi="Calibri" w:eastAsia="Microsoft YaHei"/>
                <w:color w:val="4A5568"/>
                <w:sz w:val="20"/>
                <w:szCs w:val="20"/>
              </w:rPr>
              <w:t>Q3 2028 - Q1 2029</w:t>
            </w:r>
          </w:p>
        </w:tc>
      </w:tr>
      <w:tr>
        <w:tc>
          <w:tcPr>
            <w:tcW w:w="20" w:type="dxa"/>
          </w:tcPr>
          <w:p>
            <w:pPr>
              <w:pStyle w:val="Normal"/>
              <w:ind w:left="60"/>
              <w:spacing w:before="30" w:after="30"/>
            </w:pPr>
            <w:r>
              <w:rPr>
                <w:rFonts w:ascii="Calibri" w:hAnsi="Calibri" w:eastAsia="Microsoft YaHei"/>
                <w:color w:val="4A5568"/>
                <w:sz w:val="20"/>
                <w:szCs w:val="20"/>
              </w:rPr>
              <w:t>IV</w:t>
            </w:r>
          </w:p>
        </w:tc>
        <w:tc>
          <w:tcPr>
            <w:tcW w:w="50" w:type="dxa"/>
          </w:tcPr>
          <w:p>
            <w:pPr>
              <w:pStyle w:val="Normal"/>
              <w:ind w:left="60"/>
              <w:spacing w:before="30" w:after="30"/>
            </w:pPr>
            <w:r>
              <w:rPr>
                <w:rFonts w:ascii="Calibri" w:hAnsi="Calibri" w:eastAsia="Microsoft YaHei"/>
                <w:color w:val="4A5568"/>
                <w:sz w:val="20"/>
                <w:szCs w:val="20"/>
              </w:rPr>
              <w:t>Operational Validation: Maple Flag exercise; NORAD interoperability demonstration; IOC</w:t>
            </w:r>
          </w:p>
        </w:tc>
        <w:tc>
          <w:tcPr>
            <w:tcW w:w="50" w:type="dxa"/>
          </w:tcPr>
          <w:p>
            <w:pPr>
              <w:pStyle w:val="Normal"/>
              <w:ind w:left="60"/>
              <w:spacing w:before="30" w:after="30"/>
            </w:pPr>
            <w:r>
              <w:rPr>
                <w:rFonts w:ascii="Calibri" w:hAnsi="Calibri" w:eastAsia="Microsoft YaHei"/>
                <w:color w:val="4A5568"/>
                <w:sz w:val="20"/>
                <w:szCs w:val="20"/>
              </w:rPr>
              <w:t>Operational Acceptance Certificate; TRL 8; IOC declared</w:t>
            </w:r>
          </w:p>
        </w:tc>
        <w:tc>
          <w:tcPr>
            <w:tcW w:w="40" w:type="dxa"/>
          </w:tcPr>
          <w:p>
            <w:pPr>
              <w:pStyle w:val="Normal"/>
              <w:ind w:left="60"/>
              <w:spacing w:before="30" w:after="30"/>
            </w:pPr>
            <w:r>
              <w:rPr>
                <w:rFonts w:ascii="Calibri" w:hAnsi="Calibri" w:eastAsia="Microsoft YaHei"/>
                <w:color w:val="4A5568"/>
                <w:sz w:val="20"/>
                <w:szCs w:val="20"/>
              </w:rPr>
              <w:t>Q2-Q4 2029</w:t>
            </w:r>
          </w:p>
        </w:tc>
      </w:tr>
    </w:tbl>
    <w:p>
      <w:pPr>
        <w:pStyle w:val="Heading2"/>
      </w:pPr>
      <w:r>
        <w:rPr>
          <w:rFonts w:ascii="Calibri" w:hAnsi="Calibri" w:eastAsia="Microsoft YaHei" w:cs="Calibri"/>
          <w:b/>
          <w:color w:val="1D2D3D"/>
          <w:sz w:val="30"/>
          <w:szCs w:val="30"/>
        </w:rPr>
        <w:t>10. Force Structure and Deployment</w:t>
      </w:r>
    </w:p>
    <w:p>
      <w:pPr>
        <w:pStyle w:val="Normal"/>
      </w:pPr>
      <w:r>
        <w:rPr>
          <w:rFonts w:ascii="Calibri" w:hAnsi="Calibri" w:eastAsia="Microsoft YaHei" w:cs="Calibri"/>
          <w:color w:val="1D2D3D"/>
          <w:sz w:val="22"/>
          <w:szCs w:val="22"/>
        </w:rPr>
        <w:t>Gateway One is procured as a fleet-wide capability integrated into the 48 Striker Loyal Wingman aircraft and supported by 8 palletized ground stations. The force structure provides continuous coverage across all four Main Operating Bases (MOBs) with surge capacity for high-tempo operations.</w:t>
      </w:r>
    </w:p>
    <w:tbl>
      <w:tblPr>
        <w:tblBorders>
          <w:top w:val="single" w:space="0"/>
          <w:left w:val="nil" w:space="0"/>
          <w:bottom w:val="single" w:space="0"/>
          <w:right w:val="nil" w:space="0"/>
          <w:insideH w:val="single" w:space="0"/>
          <w:insideV w:val="nil" w:space="0"/>
        </w:tblBorders>
        <w:tblW w:w="5000" w:type="pct"/>
        <w:tblLayout w:type="fixed"/>
      </w:tblPr>
      <w:tblGrid>
        <w:gridCol w:w="50"/>
        <w:gridCol w:w="70"/>
      </w:tblGrid>
      <w:tr>
        <w:trPr>
          <w:tblHeader w:val="1"/>
        </w:trPr>
        <w:tc>
          <w:tcPr>
            <w:tcW w:w="50" w:type="dxa"/>
            <w:shd w:val="clear" w:color="auto" w:fill="E8EDF2"/>
          </w:tcPr>
          <w:p>
            <w:pPr>
              <w:pStyle w:val="Normal"/>
              <w:jc w:val="center"/>
              <w:spacing w:before="40" w:after="40"/>
            </w:pPr>
            <w:r>
              <w:rPr>
                <w:rFonts w:ascii="Calibri" w:hAnsi="Calibri" w:eastAsia="Microsoft YaHei"/>
                <w:color w:val="1D2D3D"/>
                <w:sz w:val="20"/>
                <w:b/>
                <w:szCs w:val="20"/>
              </w:rPr>
              <w:t>Element</w:t>
            </w:r>
          </w:p>
        </w:tc>
        <w:tc>
          <w:tcPr>
            <w:tcW w:w="70" w:type="dxa"/>
            <w:shd w:val="clear" w:color="auto" w:fill="E8EDF2"/>
          </w:tcPr>
          <w:p>
            <w:pPr>
              <w:pStyle w:val="Normal"/>
              <w:jc w:val="center"/>
              <w:spacing w:before="40" w:after="40"/>
            </w:pPr>
            <w:r>
              <w:rPr>
                <w:rFonts w:ascii="Calibri" w:hAnsi="Calibri" w:eastAsia="Microsoft YaHei"/>
                <w:color w:val="1D2D3D"/>
                <w:sz w:val="20"/>
                <w:b/>
                <w:szCs w:val="20"/>
              </w:rPr>
              <w:t>Details</w:t>
            </w:r>
          </w:p>
        </w:tc>
      </w:tr>
      <w:tr>
        <w:tc>
          <w:tcPr>
            <w:tcW w:w="50" w:type="dxa"/>
          </w:tcPr>
          <w:p>
            <w:pPr>
              <w:pStyle w:val="Normal"/>
              <w:ind w:left="60"/>
              <w:spacing w:before="30" w:after="30"/>
            </w:pPr>
            <w:r>
              <w:rPr>
                <w:rFonts w:ascii="Calibri" w:hAnsi="Calibri" w:eastAsia="Microsoft YaHei"/>
                <w:color w:val="4A5568"/>
                <w:sz w:val="20"/>
                <w:szCs w:val="20"/>
              </w:rPr>
              <w:t>Striker-Installed Systems</w:t>
            </w:r>
          </w:p>
        </w:tc>
        <w:tc>
          <w:tcPr>
            <w:tcW w:w="70" w:type="dxa"/>
          </w:tcPr>
          <w:p>
            <w:pPr>
              <w:pStyle w:val="Normal"/>
              <w:ind w:left="60"/>
              <w:spacing w:before="30" w:after="30"/>
            </w:pPr>
            <w:r>
              <w:rPr>
                <w:rFonts w:ascii="Calibri" w:hAnsi="Calibri" w:eastAsia="Microsoft YaHei"/>
                <w:color w:val="4A5568"/>
                <w:sz w:val="20"/>
                <w:szCs w:val="20"/>
              </w:rPr>
              <w:t>24 systems (50% of Striker fleet); 6 per MOB; 2 airborne relays typical; 4 hr endurance per sortie</w:t>
            </w:r>
          </w:p>
        </w:tc>
      </w:tr>
      <w:tr>
        <w:tc>
          <w:tcPr>
            <w:tcW w:w="50" w:type="dxa"/>
          </w:tcPr>
          <w:p>
            <w:pPr>
              <w:pStyle w:val="Normal"/>
              <w:ind w:left="60"/>
              <w:spacing w:before="30" w:after="30"/>
            </w:pPr>
            <w:r>
              <w:rPr>
                <w:rFonts w:ascii="Calibri" w:hAnsi="Calibri" w:eastAsia="Microsoft YaHei"/>
                <w:color w:val="4A5568"/>
                <w:sz w:val="20"/>
                <w:szCs w:val="20"/>
              </w:rPr>
              <w:t>Ground Stations</w:t>
            </w:r>
          </w:p>
        </w:tc>
        <w:tc>
          <w:tcPr>
            <w:tcW w:w="70" w:type="dxa"/>
          </w:tcPr>
          <w:p>
            <w:pPr>
              <w:pStyle w:val="Normal"/>
              <w:ind w:left="60"/>
              <w:spacing w:before="30" w:after="30"/>
            </w:pPr>
            <w:r>
              <w:rPr>
                <w:rFonts w:ascii="Calibri" w:hAnsi="Calibri" w:eastAsia="Microsoft YaHei"/>
                <w:color w:val="4A5568"/>
                <w:sz w:val="20"/>
                <w:szCs w:val="20"/>
              </w:rPr>
              <w:t>8 stations: 2 per MOB (Cold Lake, Bagotville, Goose Bay, Thule/Pituffik)</w:t>
            </w:r>
          </w:p>
        </w:tc>
      </w:tr>
      <w:tr>
        <w:tc>
          <w:tcPr>
            <w:tcW w:w="50" w:type="dxa"/>
          </w:tcPr>
          <w:p>
            <w:pPr>
              <w:pStyle w:val="Normal"/>
              <w:ind w:left="60"/>
              <w:spacing w:before="30" w:after="30"/>
            </w:pPr>
            <w:r>
              <w:rPr>
                <w:rFonts w:ascii="Calibri" w:hAnsi="Calibri" w:eastAsia="Microsoft YaHei"/>
                <w:color w:val="4A5568"/>
                <w:sz w:val="20"/>
                <w:szCs w:val="20"/>
              </w:rPr>
              <w:t>Spares Pool</w:t>
            </w:r>
          </w:p>
        </w:tc>
        <w:tc>
          <w:tcPr>
            <w:tcW w:w="70" w:type="dxa"/>
          </w:tcPr>
          <w:p>
            <w:pPr>
              <w:pStyle w:val="Normal"/>
              <w:ind w:left="60"/>
              <w:spacing w:before="30" w:after="30"/>
            </w:pPr>
            <w:r>
              <w:rPr>
                <w:rFonts w:ascii="Calibri" w:hAnsi="Calibri" w:eastAsia="Microsoft YaHei"/>
                <w:color w:val="4A5568"/>
                <w:sz w:val="20"/>
                <w:szCs w:val="20"/>
              </w:rPr>
              <w:t>4 complete LRU sets at Mirabel depot; 90% availability target</w:t>
            </w:r>
          </w:p>
        </w:tc>
      </w:tr>
      <w:tr>
        <w:tc>
          <w:tcPr>
            <w:tcW w:w="50" w:type="dxa"/>
          </w:tcPr>
          <w:p>
            <w:pPr>
              <w:pStyle w:val="Normal"/>
              <w:ind w:left="60"/>
              <w:spacing w:before="30" w:after="30"/>
            </w:pPr>
            <w:r>
              <w:rPr>
                <w:rFonts w:ascii="Calibri" w:hAnsi="Calibri" w:eastAsia="Microsoft YaHei"/>
                <w:color w:val="4A5568"/>
                <w:sz w:val="20"/>
                <w:szCs w:val="20"/>
              </w:rPr>
              <w:t>Training Systems</w:t>
            </w:r>
          </w:p>
        </w:tc>
        <w:tc>
          <w:tcPr>
            <w:tcW w:w="70" w:type="dxa"/>
          </w:tcPr>
          <w:p>
            <w:pPr>
              <w:pStyle w:val="Normal"/>
              <w:ind w:left="60"/>
              <w:spacing w:before="30" w:after="30"/>
            </w:pPr>
            <w:r>
              <w:rPr>
                <w:rFonts w:ascii="Calibri" w:hAnsi="Calibri" w:eastAsia="Microsoft YaHei"/>
                <w:color w:val="4A5568"/>
                <w:sz w:val="20"/>
                <w:szCs w:val="20"/>
              </w:rPr>
              <w:t>2 lab-based Gateway simulators at CFB Cold Lake; 1 mobile training unit</w:t>
            </w:r>
          </w:p>
        </w:tc>
      </w:tr>
      <w:tr>
        <w:tc>
          <w:tcPr>
            <w:tcW w:w="50" w:type="dxa"/>
          </w:tcPr>
          <w:p>
            <w:pPr>
              <w:pStyle w:val="Normal"/>
              <w:ind w:left="60"/>
              <w:spacing w:before="30" w:after="30"/>
            </w:pPr>
            <w:r>
              <w:rPr>
                <w:rFonts w:ascii="Calibri" w:hAnsi="Calibri" w:eastAsia="Microsoft YaHei"/>
                <w:color w:val="4A5568"/>
                <w:sz w:val="20"/>
                <w:szCs w:val="20"/>
              </w:rPr>
              <w:t>IOC Date</w:t>
            </w:r>
          </w:p>
        </w:tc>
        <w:tc>
          <w:tcPr>
            <w:tcW w:w="70" w:type="dxa"/>
          </w:tcPr>
          <w:p>
            <w:pPr>
              <w:pStyle w:val="Normal"/>
              <w:ind w:left="60"/>
              <w:spacing w:before="30" w:after="30"/>
            </w:pPr>
            <w:r>
              <w:rPr>
                <w:rFonts w:ascii="Calibri" w:hAnsi="Calibri" w:eastAsia="Microsoft YaHei"/>
                <w:color w:val="4A5568"/>
                <w:sz w:val="20"/>
                <w:szCs w:val="20"/>
              </w:rPr>
              <w:t>Q4 2029 (12 Striker systems + 4 ground stations, 2 MOBs)</w:t>
            </w:r>
          </w:p>
        </w:tc>
      </w:tr>
      <w:tr>
        <w:tc>
          <w:tcPr>
            <w:tcW w:w="50" w:type="dxa"/>
          </w:tcPr>
          <w:p>
            <w:pPr>
              <w:pStyle w:val="Normal"/>
              <w:ind w:left="60"/>
              <w:spacing w:before="30" w:after="30"/>
            </w:pPr>
            <w:r>
              <w:rPr>
                <w:rFonts w:ascii="Calibri" w:hAnsi="Calibri" w:eastAsia="Microsoft YaHei"/>
                <w:color w:val="4A5568"/>
                <w:sz w:val="20"/>
                <w:szCs w:val="20"/>
              </w:rPr>
              <w:t>FOC Date</w:t>
            </w:r>
          </w:p>
        </w:tc>
        <w:tc>
          <w:tcPr>
            <w:tcW w:w="70" w:type="dxa"/>
          </w:tcPr>
          <w:p>
            <w:pPr>
              <w:pStyle w:val="Normal"/>
              <w:ind w:left="60"/>
              <w:spacing w:before="30" w:after="30"/>
            </w:pPr>
            <w:r>
              <w:rPr>
                <w:rFonts w:ascii="Calibri" w:hAnsi="Calibri" w:eastAsia="Microsoft YaHei"/>
                <w:color w:val="4A5568"/>
                <w:sz w:val="20"/>
                <w:szCs w:val="20"/>
              </w:rPr>
              <w:t>Q4 2030 (24 Striker systems + 8 ground stations, all 4 MOBs)</w:t>
            </w:r>
          </w:p>
        </w:tc>
      </w:tr>
    </w:tbl>
    <w:p>
      <w:pPr>
        <w:pStyle w:val="Heading2"/>
      </w:pPr>
      <w:r>
        <w:rPr>
          <w:rFonts w:ascii="Calibri" w:hAnsi="Calibri" w:eastAsia="Microsoft YaHei" w:cs="Calibri"/>
          <w:b/>
          <w:color w:val="1D2D3D"/>
          <w:sz w:val="30"/>
          <w:szCs w:val="30"/>
        </w:rPr>
        <w:t>11. Conclusion</w:t>
      </w:r>
    </w:p>
    <w:p>
      <w:pPr>
        <w:pStyle w:val="Normal"/>
      </w:pPr>
      <w:r>
        <w:rPr>
          <w:rFonts w:ascii="Calibri" w:hAnsi="Calibri" w:eastAsia="Microsoft YaHei" w:cs="Calibri"/>
          <w:color w:val="1D2D3D"/>
          <w:sz w:val="22"/>
          <w:szCs w:val="22"/>
        </w:rPr>
        <w:t>Gateway One transforms the 16 F-35A aircraft Canada is committed to procure from an isolated "golden squadron" into a fully integrated sensor-strike node within the Arctic Horizon mixed fleet. By placing a sovereign, AI-enabled datalink gateway on the survivable Striker Loyal Wingman platform, Canada achieves what no other F-35 operator has attempted: the ability to share F-35 sensor data across a non-U.S., ITAR-free combat air system in real time.</w:t>
      </w:r>
    </w:p>
    <w:p>
      <w:pPr>
        <w:pStyle w:val="Normal"/>
      </w:pPr>
      <w:r>
        <w:rPr>
          <w:rFonts w:ascii="Calibri" w:hAnsi="Calibri" w:eastAsia="Microsoft YaHei" w:cs="Calibri"/>
          <w:color w:val="1D2D3D"/>
          <w:sz w:val="22"/>
          <w:szCs w:val="22"/>
        </w:rPr>
        <w:t>The system builds directly upon proven, operational demonstrations by Lockheed Martin Skunk Works (Project Deimos, Ramstein Flag) and Northrop Grumman (Babel Fish III, Freedom 550). The core components — Open Systems Gateway, software-defined radio, and AI translation engine — have been validated in real-world exercises. What Gateway One adds is Canadian sovereign control: Canadian-developed software, Canadian-managed encryption keys, and Canadian authority over data dissemination.</w:t>
      </w:r>
    </w:p>
    <w:p>
      <w:pPr>
        <w:pStyle w:val="Normal"/>
      </w:pPr>
      <w:r>
        <w:rPr>
          <w:rFonts w:ascii="Calibri" w:hAnsi="Calibri" w:eastAsia="Microsoft YaHei" w:cs="Calibri"/>
          <w:color w:val="1D2D3D"/>
          <w:sz w:val="22"/>
          <w:szCs w:val="22"/>
        </w:rPr>
        <w:t>At $151.5 million USD, Gateway One represents 1.6% of the total Arctic Horizon program cost — a modest investment that converts 16 F-35s from a sunk cost into a strategic force multiplier. The result is a seamless, interoperable mixed fleet of F-35s, Gripens, Strikers, and Sprinters, fully connected to NORAD and NATO networks, capable of prosecuting integrated joint all-domain operations across the Arctic and beyond.</w:t>
      </w:r>
    </w:p>
    <w:p>
      <w:pPr>
        <w:pStyle w:val="Normal"/>
        <w:spacing w:after="120"/>
      </w:pPr>
      <w:r>
        <w:rPr>
          <w:rFonts w:ascii="Calibri" w:hAnsi="Calibri" w:eastAsia="Microsoft YaHei"/>
          <w:color w:val="4A5568"/>
          <w:sz w:val="20"/>
          <w:szCs w:val="20"/>
        </w:rPr>
        <w:t>Document Reference: CDR-GW1-2026-001 | Classification: RESTRICTED // CDN // NOFORN | June 2026</w:t>
      </w:r>
    </w:p>
    <w:p>
      <w:pPr>
        <w:pStyle w:val="Normal"/>
        <w:sectPr>
          <w:type w:val="nextPage"/>
          <w:pgSz w:w="11906" w:h="16838"/>
          <w:pgMar w:top="1440" w:right="1800" w:bottom="1440" w:left="1800" w:header="720" w:footer="720"/>
        </w:sectPr>
      </w:pPr>
    </w:p>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c5b41bc815af4b68"/>
                    <a:stretch>
                      <a:fillRect/>
                    </a:stretch>
                  </pic:blipFill>
                  <pic:spPr>
                    <a:xfrm>
                      <a:off x="0" y="0"/>
                      <a:ext cx="7560000" cy="10692000"/>
                    </a:xfrm>
                    <a:prstGeom prst="rect"/>
                  </pic:spPr>
                </pic:pic>
              </a:graphicData>
            </a:graphic>
          </wp:anchor>
        </w:drawing>
      </w:r>
    </w:p>
    <w:p>
      <w:pPr>
        <w:pStyle w:val="Normal"/>
        <w:spacing w:before="6000"/>
        <w:jc w:val="center"/>
      </w:pPr>
      <w:r>
        <w:rPr>
          <w:b/>
          <w:color w:val="3D5A80"/>
          <w:sz w:val="56"/>
          <w:rFonts w:ascii="Calibri" w:hAnsi="Calibri" w:eastAsia="Microsoft YaHei" w:cs="Calibri"/>
          <w:szCs w:val="56"/>
        </w:rPr>
        <w:t>The Arctic Horizon</w:t>
      </w:r>
    </w:p>
    <w:p>
      <w:pPr>
        <w:pStyle w:val="Normal"/>
        <w:spacing w:before="200"/>
        <w:jc w:val="center"/>
      </w:pPr>
      <w:r>
        <w:rPr>
          <w:color w:val="5C7A99"/>
          <w:sz w:val="28"/>
          <w:rFonts w:ascii="Calibri" w:hAnsi="Calibri" w:eastAsia="Microsoft YaHei" w:cs="Calibri"/>
          <w:szCs w:val="28"/>
        </w:rPr>
        <w:t>Program Overview</w:t>
      </w:r>
    </w:p>
    <w:p>
      <w:pPr>
        <w:spacing w:before="600"/>
        <w:jc w:val="center"/>
      </w:pPr>
      <w:r>
        <w:rPr>
          <w:color w:val="4A5568"/>
          <w:sz w:val="20"/>
          <w:rFonts w:ascii="Calibri" w:hAnsi="Calibri" w:eastAsia="Microsoft YaHei" w:cs="Calibri"/>
          <w:szCs w:val="20"/>
        </w:rPr>
        <w:t>Canadian Unmanned Combat Air System Program Office</w:t>
      </w:r>
    </w:p>
    <w:p>
      <w:pPr>
        <w:pStyle w:val="Normal"/>
        <w:spacing w:before="200"/>
        <w:jc w:val="center"/>
      </w:pPr>
      <w:r>
        <w:rPr>
          <w:color w:val="8B9DAF"/>
          <w:sz w:val="18"/>
          <w:rFonts w:ascii="Calibri" w:hAnsi="Calibri" w:eastAsia="Microsoft YaHei" w:cs="Calibri"/>
          <w:szCs w:val="18"/>
        </w:rPr>
        <w:t>Scenario 1B Configuration | June 2026</w:t>
      </w:r>
    </w:p>
    <w:p>
      <w:pPr>
        <w:spacing w:before="4000"/>
        <w:jc w:val="center"/>
      </w:pPr>
      <w:r>
        <w:rPr>
          <w:color w:val="8B9DAF"/>
          <w:sz w:val="16"/>
          <w:rFonts w:ascii="Calibri" w:hAnsi="Calibri" w:eastAsia="Microsoft YaHei" w:cs="Calibri"/>
          <w:szCs w:val="16"/>
        </w:rPr>
        <w:t>RESTRICTED // CDN // NOFORN | Canadian Eyes Only</w:t>
      </w:r>
    </w:p>
    <w:p>
      <w:pPr>
        <w:spacing w:before="100"/>
        <w:jc w:val="center"/>
      </w:pPr>
      <w:r>
        <w:rPr>
          <w:color w:val="8B9DAF"/>
          <w:sz w:val="14"/>
          <w:rFonts w:ascii="Calibri" w:hAnsi="Calibri" w:eastAsia="Microsoft YaHei" w:cs="Calibri"/>
          <w:szCs w:val="14"/>
        </w:rPr>
        <w:t>© 2026 Government of Canada</w:t>
      </w:r>
    </w:p>
    <w:sectPr>
      <w:pgSz w:w="11906" w:h="16838"/>
      <w:pgMar w:top="0" w:right="0" w:bottom="0" w:left="0" w:header="0" w:footer="0"/>
    </w:sectPr>
  </w:body>
</w:document>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88" w:lineRule="auto"/>
    </w:pPr>
    <w:rPr>
      <w:rFonts w:ascii="Calibri" w:hAnsi="Calibri" w:eastAsia="Microsoft YaHei"/>
      <w:color w:val="1D2D3D"/>
      <w:sz w:val="22"/>
    </w:rPr>
  </w:style>
  <w:style w:type="paragraph" w:styleId="Heading1">
    <w:name w:val="heading 1"/>
    <w:basedOn w:val="Normal"/>
    <w:pPr>
      <w:keepNext/>
      <w:keepLines/>
      <w:spacing w:before="480" w:after="200"/>
      <w:outlineLvl w:val="0"/>
    </w:pPr>
    <w:rPr>
      <w:rFonts w:ascii="Calibri" w:hAnsi="Calibri" w:eastAsia="Microsoft YaHei"/>
      <w:b/>
      <w:color w:val="3D5A80"/>
      <w:sz w:val="40"/>
    </w:rPr>
  </w:style>
  <w:style w:type="paragraph" w:styleId="Heading2">
    <w:name w:val="heading 2"/>
    <w:basedOn w:val="Normal"/>
    <w:pPr>
      <w:keepNext/>
      <w:keepLines/>
      <w:spacing w:before="360" w:after="140"/>
      <w:outlineLvl w:val="1"/>
    </w:pPr>
    <w:rPr>
      <w:rFonts w:ascii="Calibri" w:hAnsi="Calibri" w:eastAsia="Microsoft YaHei"/>
      <w:b/>
      <w:color w:val="1D2D3D"/>
      <w:sz w:val="30"/>
    </w:rPr>
  </w:style>
  <w:style w:type="paragraph" w:styleId="Heading3">
    <w:name w:val="heading 3"/>
    <w:basedOn w:val="Normal"/>
    <w:pPr>
      <w:keepNext/>
      <w:keepLines/>
      <w:spacing w:before="280" w:after="100"/>
      <w:outlineLvl w:val="2"/>
    </w:pPr>
    <w:rPr>
      <w:rFonts w:ascii="Calibri" w:hAnsi="Calibri" w:eastAsia="Microsoft YaHei"/>
      <w:b/>
      <w:color w:val="4A5568"/>
      <w:sz w:val="26"/>
    </w:rPr>
  </w:style>
  <w:style w:type="paragraph" w:styleId="Heading4">
    <w:name w:val="heading 4"/>
    <w:basedOn w:val="Normal"/>
    <w:pPr>
      <w:keepNext/>
      <w:keepLines/>
      <w:spacing w:before="200" w:after="80"/>
      <w:outlineLvl w:val="3"/>
    </w:pPr>
    <w:rPr>
      <w:rFonts w:ascii="Calibri" w:hAnsi="Calibri" w:eastAsia="Microsoft YaHei"/>
      <w:b/>
      <w:color w:val="5C7A99"/>
      <w:sz w:val="24"/>
    </w:rPr>
  </w:style>
  <w:style w:type="paragraph" w:styleId="Caption">
    <w:name w:val="Caption"/>
    <w:basedOn w:val="Normal"/>
    <w:pPr>
      <w:spacing w:before="60" w:after="240"/>
      <w:jc w:val="center"/>
    </w:pPr>
    <w:rPr>
      <w:color w:val="8B9DAF"/>
      <w:sz w:val="20"/>
    </w:rPr>
  </w:style>
  <w:style w:type="paragraph" w:styleId="TOC1">
    <w:name w:val="toc 1"/>
    <w:basedOn w:val="Normal"/>
    <w:pPr>
      <w:tabs>
        <w:tab w:val="right" w:leader="dot" w:pos="9350"/>
      </w:tabs>
      <w:spacing w:before="200" w:after="60"/>
      <w:ind w:left="0"/>
    </w:pPr>
    <w:rPr>
      <w:b/>
      <w:color w:val="1D2D3D"/>
    </w:rPr>
  </w:style>
  <w:style w:type="paragraph" w:styleId="TOC2">
    <w:name w:val="toc 2"/>
    <w:basedOn w:val="Normal"/>
    <w:pPr>
      <w:tabs>
        <w:tab w:val="right" w:leader="dot" w:pos="9350"/>
      </w:tabs>
      <w:spacing w:before="60" w:after="60"/>
      <w:ind w:left="360"/>
    </w:pPr>
    <w:rPr>
      <w:color w:val="4A5568"/>
    </w:rPr>
  </w:style>
  <w:style w:type="paragraph" w:styleId="TOC3">
    <w:name w:val="toc 3"/>
    <w:basedOn w:val="Normal"/>
    <w:pPr>
      <w:tabs>
        <w:tab w:val="right" w:leader="dot" w:pos="9350"/>
      </w:tabs>
      <w:spacing w:before="40" w:after="60"/>
      <w:ind w:left="720"/>
    </w:pPr>
    <w:rPr>
      <w:color w:val="4A5568"/>
    </w:rPr>
  </w:style>
</w:styles>
</file>

<file path=word/_rels/document.xml.rels><?xml version='1.0' encoding='UTF-8'?>
<Relationships xmlns="http://schemas.openxmlformats.org/package/2006/relationships"><Relationship Id="R43d31258389b47f8" Type="http://schemas.openxmlformats.org/officeDocument/2006/relationships/numbering" Target="numbering.xml" /><Relationship Id="R9ec321b041814a31" Type="http://schemas.openxmlformats.org/officeDocument/2006/relationships/styles" Target="styles.xml" /><Relationship Id="Rc5b41bc815af4b68" Type="http://schemas.openxmlformats.org/officeDocument/2006/relationships/image" Target="media/image2.png" /><Relationship Id="Rdcf13fa41c414cfb" Type="http://schemas.openxmlformats.org/officeDocument/2006/relationships/settings" Target="settings.xml" /><Relationship Id="Rfc7d6e5d0d5f4026" Type="http://schemas.openxmlformats.org/officeDocument/2006/relationships/image" Target="media/image.png" /></Relationships>
</file>