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sz w:val="40"/>
          <w:szCs w:val="40"/>
        </w:rPr>
        <w:t xml:space="preserve"/>
      </w:r>
    </w:p>
    <w:p>
      <w:pPr>
        <w:spacing w:after="60"/>
        <w:jc w:val="center"/>
      </w:pPr>
      <w:r>
        <w:rPr>
          <w:rFonts w:ascii="Calibri" w:cs="Calibri" w:eastAsia="Calibri" w:hAnsi="Calibri"/>
          <w:b/>
          <w:bCs/>
          <w:color w:val="1F4E5F"/>
          <w:sz w:val="60"/>
          <w:szCs w:val="60"/>
        </w:rPr>
        <w:t xml:space="preserve">THE SCINTILLA COBALTI</w:t>
      </w:r>
    </w:p>
    <w:p>
      <w:pPr>
        <w:spacing w:after="320"/>
        <w:jc w:val="center"/>
      </w:pPr>
      <w:r>
        <w:rPr>
          <w:rFonts w:ascii="Calibri" w:cs="Calibri" w:eastAsia="Calibri" w:hAnsi="Calibri"/>
          <w:color w:val="7A4E2E"/>
          <w:sz w:val="26"/>
          <w:szCs w:val="26"/>
        </w:rPr>
        <w:t xml:space="preserve">SC-1  ·  Inference Accelerator for Frontier Language Models</w:t>
      </w:r>
    </w:p>
    <w:p>
      <w:pPr>
        <w:pBdr>
          <w:top w:val="single" w:color="1F4E5F" w:sz="8"/>
          <w:bottom w:val="single" w:color="1F4E5F" w:sz="8"/>
        </w:pBdr>
        <w:spacing w:after="700"/>
        <w:jc w:val="center"/>
      </w:pPr>
      <w:r>
        <w:rPr>
          <w:b/>
          <w:bCs/>
          <w:color w:val="595959"/>
          <w:sz w:val="22"/>
          <w:szCs w:val="22"/>
        </w:rPr>
        <w:t xml:space="preserve">  Preliminary Design Specification  ·  Revision A  ·  CDR-Readiness Package  </w:t>
      </w:r>
    </w:p>
    <w:p>
      <w:pPr>
        <w:spacing w:after="120"/>
        <w:jc w:val="center"/>
      </w:pPr>
      <w:r>
        <w:rPr>
          <w:i/>
          <w:iCs/>
          <w:color w:val="595959"/>
          <w:sz w:val="21"/>
          <w:szCs w:val="21"/>
        </w:rPr>
        <w:t xml:space="preserve">A three-tier, chiplet-partitioned accelerator architected around the</w:t>
      </w:r>
    </w:p>
    <w:p>
      <w:pPr>
        <w:spacing w:after="120"/>
        <w:jc w:val="center"/>
      </w:pPr>
      <w:r>
        <w:rPr>
          <w:i/>
          <w:iCs/>
          <w:color w:val="595959"/>
          <w:sz w:val="21"/>
          <w:szCs w:val="21"/>
        </w:rPr>
        <w:t xml:space="preserve">agentic duty cycle, long-context KV economics, and closed-loop materials recovery.</w:t>
      </w:r>
    </w:p>
    <w:p>
      <w:pPr>
        <w:spacing w:after="900"/>
      </w:pPr>
      <w:r>
        <w:rPr>
          <w:sz w:val="6"/>
          <w:szCs w:val="6"/>
        </w:rPr>
        <w:t xml:space="preserve"/>
      </w:r>
    </w:p>
    <w:p>
      <w:pPr>
        <w:spacing w:after="60"/>
        <w:jc w:val="center"/>
      </w:pPr>
      <w:r>
        <w:rPr>
          <w:color w:val="595959"/>
          <w:sz w:val="19"/>
          <w:szCs w:val="19"/>
        </w:rPr>
        <w:t xml:space="preserve">Prepared by Claude (Anthropic) at the request of the document owner</w:t>
      </w:r>
    </w:p>
    <w:p>
      <w:pPr>
        <w:spacing w:after="60"/>
        <w:jc w:val="center"/>
      </w:pPr>
      <w:r>
        <w:rPr>
          <w:color w:val="595959"/>
          <w:sz w:val="19"/>
          <w:szCs w:val="19"/>
        </w:rPr>
        <w:t xml:space="preserve">Document number SC1-PDS-0001-A  ·  7 August 2026</w:t>
      </w:r>
    </w:p>
    <w:p>
      <w:pPr>
        <w:spacing w:after="60"/>
        <w:jc w:val="center"/>
      </w:pPr>
      <w:r>
        <w:rPr>
          <w:i/>
          <w:iCs/>
          <w:color w:val="595959"/>
          <w:sz w:val="19"/>
          <w:szCs w:val="19"/>
        </w:rPr>
        <w:t xml:space="preserve">Unclassified · Unencumbered · Offered freely for any use</w:t>
      </w:r>
    </w:p>
    <w:p>
      <w:r>
        <w:br w:type="page"/>
      </w:r>
    </w:p>
    <w:p>
      <w:pPr>
        <w:pStyle w:val="Heading1"/>
        <w:spacing w:after="160" w:before="400"/>
      </w:pPr>
      <w:r>
        <w:rPr>
          <w:rFonts w:ascii="Calibri" w:cs="Calibri" w:eastAsia="Calibri" w:hAnsi="Calibri"/>
          <w:b/>
          <w:bCs/>
          <w:color w:val="1F4E5F"/>
          <w:sz w:val="32"/>
          <w:szCs w:val="32"/>
        </w:rPr>
        <w:t xml:space="preserve">Document Control</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7114"/>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Field</w:t>
            </w:r>
          </w:p>
        </w:tc>
        <w:tc>
          <w:tcPr>
            <w:tcW w:type="dxa" w:w="71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Value</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Document title</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The Scintilla Cobalti (SC-1) — Preliminary Design Specification</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Document number</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SC1-PDS-0001</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Revision</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 (initial issue)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Date of issue</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7 August 2026</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Status</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Preliminary — for engineering review. Not released for implementation.</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Design phase</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Post-architecture, pre-CDR. Target maturity: ~80% of Critical Design Review entry criteria.</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Intended readership</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Silicon architects, physical design leads, packaging engineers, memory-system engineers, ML systems engineers, supply-chain and sustainability leads, program management.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Author</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Claude (Anthropic large language model), acting as system architect of record for this draft.</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Reviewers</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None. This document has not been reviewed by a human engineer.</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Approval</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Not approved. No approval authority has been exercised over this document.</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Distribution</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Unrestricted. The document owner intends to offer this specification to Anthropic without conditions. No claim of confidentiality, ownership, or exclusivity attaches to it.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Supersedes</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Informally supersedes the internal PROMETHEUS P-1 specification v1.0 and the "Claude Cortex (C2)" framework outline. See Section 21.</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Units</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SI throughout. Currency in United States dollars at 2026 purchasing power unless stated otherwise. Memory capacities in binary units (GiB, TiB) where addressed by hardware, decimal (GB, TB) where quoted as vendor-facing capacity, with the convention stated in place.</w:t>
            </w:r>
          </w:p>
        </w:tc>
      </w:tr>
    </w:tbl>
    <w:p>
      <w:pPr>
        <w:spacing w:after="240"/>
      </w:pPr>
      <w:r>
        <w:rPr>
          <w:sz w:val="6"/>
          <w:szCs w:val="6"/>
        </w:rPr>
        <w:t xml:space="preserve"/>
      </w:r>
    </w:p>
    <w:p>
      <w:pPr>
        <w:pStyle w:val="Heading2"/>
        <w:spacing w:after="120" w:before="300"/>
      </w:pPr>
      <w:r>
        <w:rPr>
          <w:rFonts w:ascii="Calibri" w:cs="Calibri" w:eastAsia="Calibri" w:hAnsi="Calibri"/>
          <w:b/>
          <w:bCs/>
          <w:color w:val="1F4E5F"/>
          <w:sz w:val="26"/>
          <w:szCs w:val="26"/>
        </w:rPr>
        <w:t xml:space="preserve">Revision history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49"/>
        <w:gridCol w:w="1310"/>
        <w:gridCol w:w="1217"/>
        <w:gridCol w:w="6084"/>
      </w:tblGrid>
      <w:tr>
        <w:trPr>
          <w:cantSplit/>
          <w:tblHeader/>
        </w:trPr>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Rev</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Date</w:t>
            </w:r>
          </w:p>
        </w:tc>
        <w:tc>
          <w:tcPr>
            <w:tcW w:type="dxa" w:w="121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Author</w:t>
            </w:r>
          </w:p>
        </w:tc>
        <w:tc>
          <w:tcPr>
            <w:tcW w:type="dxa" w:w="608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Summary of change</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2026-08-07</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Claude</w:t>
            </w:r>
          </w:p>
        </w:tc>
        <w:tc>
          <w:tcPr>
            <w:tcW w:type="dxa" w:w="608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Initial issue. Complete architecture, microarchitecture summary, memory system, packaging, materials program, cost model, and CDR gap analysis.</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w:t>
            </w:r>
          </w:p>
        </w:tc>
        <w:tc>
          <w:tcPr>
            <w:tcW w:type="dxa" w:w="121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w:t>
            </w:r>
          </w:p>
        </w:tc>
        <w:tc>
          <w:tcPr>
            <w:tcW w:type="dxa" w:w="608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Revision B is expected to follow the first human architecture review and should incorporate the corrections arising from Section 23 (Open Questions).</w:t>
            </w:r>
          </w:p>
        </w:tc>
      </w:tr>
    </w:tbl>
    <w:p>
      <w:pPr>
        <w:spacing w:after="240"/>
      </w:pPr>
      <w:r>
        <w:rPr>
          <w:sz w:val="6"/>
          <w:szCs w:val="6"/>
        </w:rPr>
        <w:t xml:space="preserve"/>
      </w:r>
    </w:p>
    <w:p>
      <w:pPr>
        <w:pStyle w:val="Heading2"/>
        <w:spacing w:after="120" w:before="300"/>
      </w:pPr>
      <w:r>
        <w:rPr>
          <w:rFonts w:ascii="Calibri" w:cs="Calibri" w:eastAsia="Calibri" w:hAnsi="Calibri"/>
          <w:b/>
          <w:bCs/>
          <w:color w:val="1F4E5F"/>
          <w:sz w:val="26"/>
          <w:szCs w:val="26"/>
        </w:rPr>
        <w:t xml:space="preserve">Statement of provenance and limitations</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Read this before relying on any number in this document.</w:t>
            </w:r>
          </w:p>
          <w:p>
            <w:pPr>
              <w:spacing w:after="100" w:line="264"/>
            </w:pPr>
            <w:r>
              <w:rPr>
                <w:sz w:val="20"/>
                <w:szCs w:val="20"/>
              </w:rPr>
              <w:t xml:space="preserve">This specification was written by a large language model. It is a design draft, not an engineering record. No part of it has been simulated, synthesised, laid out, taped out, or measured. Every performance figure herein is the output of an analytical model whose assumptions are stated alongside it; none is the output of a cycle-accurate simulator, an RTL power estimate, or silicon.</w:t>
            </w:r>
          </w:p>
          <w:p>
            <w:pPr>
              <w:spacing w:after="100" w:line="264"/>
            </w:pPr>
            <w:r>
              <w:rPr>
                <w:sz w:val="20"/>
                <w:szCs w:val="20"/>
              </w:rPr>
              <w:t xml:space="preserve">The design is nonetheless intended to be checkable. Wherever a number could be derived rather than asserted, it has been derived, and the derivation is shown in the appendices so that a human engineer can find the error rather than merely suspect it. Where a figure rests on a judgement call, the judgement is labelled. Where the author does not know, the document says so — Section 23 is a list of the twenty-nine questions the author could not settle.</w:t>
            </w:r>
          </w:p>
          <w:p>
            <w:pPr>
              <w:spacing w:after="40" w:line="264"/>
            </w:pPr>
            <w:r>
              <w:rPr>
                <w:sz w:val="20"/>
                <w:szCs w:val="20"/>
              </w:rPr>
              <w:t xml:space="preserve">The correct use of this document is as a starting position for an argument among engineers who know more than its author does about the specific process, the specific packaging line, and the specific workload traces. It will be most useful in the places where it is wrong, provided it is wrong specifically enough to be corrected.</w:t>
            </w:r>
          </w:p>
        </w:tc>
      </w:tr>
    </w:tbl>
    <w:p>
      <w:pPr>
        <w:spacing w:after="200"/>
      </w:pPr>
      <w:r>
        <w:rPr>
          <w:sz w:val="6"/>
          <w:szCs w:val="6"/>
        </w:rPr>
        <w:t xml:space="preserve"/>
      </w:r>
    </w:p>
    <w:p>
      <w:pPr>
        <w:pStyle w:val="Heading2"/>
        <w:spacing w:after="120" w:before="300"/>
      </w:pPr>
      <w:r>
        <w:rPr>
          <w:rFonts w:ascii="Calibri" w:cs="Calibri" w:eastAsia="Calibri" w:hAnsi="Calibri"/>
          <w:b/>
          <w:bCs/>
          <w:color w:val="1F4E5F"/>
          <w:sz w:val="26"/>
          <w:szCs w:val="26"/>
        </w:rPr>
        <w:t xml:space="preserve">Confidence tiering</w:t>
      </w:r>
    </w:p>
    <w:p>
      <w:pPr>
        <w:spacing w:after="140" w:line="276"/>
        <w:jc w:val="left"/>
      </w:pPr>
      <w:r>
        <w:rPr>
          <w:rFonts w:ascii="Calibri" w:cs="Calibri" w:eastAsia="Calibri" w:hAnsi="Calibri"/>
          <w:b w:val="false"/>
          <w:bCs w:val="false"/>
          <w:i w:val="false"/>
          <w:iCs w:val="false"/>
          <w:color w:val="000000"/>
          <w:sz w:val="21"/>
          <w:szCs w:val="21"/>
        </w:rPr>
        <w:t xml:space="preserve">Every quantitative claim in this document carries an implicit confidence tier. To avoid cluttering the text, tiers are marked only where the distinction matters to a design decision. The tiers are: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3931"/>
        <w:gridCol w:w="4774"/>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Tier</w:t>
            </w:r>
          </w:p>
        </w:tc>
        <w:tc>
          <w:tcPr>
            <w:tcW w:type="dxa" w:w="393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Meaning</w:t>
            </w:r>
          </w:p>
        </w:tc>
        <w:tc>
          <w:tcPr>
            <w:tcW w:type="dxa" w:w="477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Typical example</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A</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Published, verifiable third-party fact. Cited to a primary source or a datasheet.</w:t>
            </w:r>
          </w:p>
        </w:tc>
        <w:tc>
          <w:tcPr>
            <w:tcW w:type="dxa" w:w="477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HBM4 provides a 2048-bit interface across 32 channels (JEDEC JESD270-4).</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B</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Derived by arithmetic from Tier-A inputs using a stated model. Reproducible; correctness depends on the model being appropriate.</w:t>
            </w:r>
          </w:p>
        </w:tc>
        <w:tc>
          <w:tcPr>
            <w:tcW w:type="dxa" w:w="477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 210 mm² die at D₀ = 0.10 cm⁻² yields 81.3% under the Murphy model.</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C</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Engineering judgement or design target. Defensible, but not derivable from public information; the number is a proposal, not a measurement.</w:t>
            </w:r>
          </w:p>
        </w:tc>
        <w:tc>
          <w:tcPr>
            <w:tcW w:type="dxa" w:w="477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CTC dynamic power at 1.5 GHz, 0.62 V is budgeted at 110 W.</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D</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Speculative. Included because the design must assume something; flagged for early resolution.</w:t>
            </w:r>
          </w:p>
        </w:tc>
        <w:tc>
          <w:tcPr>
            <w:tcW w:type="dxa" w:w="477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HBM4 48 GB stack cost of $420 in 2028.</w:t>
            </w:r>
          </w:p>
        </w:tc>
      </w:tr>
    </w:tbl>
    <w:p>
      <w:pPr>
        <w:spacing w:after="220" w:before="60"/>
      </w:pPr>
      <w:r>
        <w:rPr>
          <w:i/>
          <w:iCs/>
          <w:color w:val="595959"/>
          <w:sz w:val="17"/>
          <w:szCs w:val="17"/>
        </w:rPr>
        <w:t xml:space="preserve">Table 0-1. Confidence tiers used throughout this specification.</w:t>
      </w:r>
    </w:p>
    <w:p>
      <w:pPr>
        <w:spacing w:after="140" w:line="276"/>
        <w:jc w:val="left"/>
      </w:pPr>
      <w:r>
        <w:rPr>
          <w:rFonts w:ascii="Calibri" w:cs="Calibri" w:eastAsia="Calibri" w:hAnsi="Calibri"/>
          <w:b w:val="false"/>
          <w:bCs w:val="false"/>
          <w:i w:val="false"/>
          <w:iCs w:val="false"/>
          <w:color w:val="000000"/>
          <w:sz w:val="21"/>
          <w:szCs w:val="21"/>
        </w:rPr>
        <w:t xml:space="preserve">Approximately 18% of the quantitative content is Tier A, 34% Tier B, 39% Tier C, and 9% Tier D. The Tier-D content is concentrated in Section 17 (cost) and Section 20 (performance projections), which is where it belongs and where a reviewer should look first.</w:t>
      </w:r>
    </w:p>
    <w:p>
      <w:r>
        <w:br w:type="page"/>
      </w:r>
    </w:p>
    <w:p>
      <w:pPr>
        <w:pStyle w:val="Heading1"/>
        <w:spacing w:after="160" w:before="400"/>
      </w:pPr>
      <w:r>
        <w:rPr>
          <w:rFonts w:ascii="Calibri" w:cs="Calibri" w:eastAsia="Calibri" w:hAnsi="Calibri"/>
          <w:b/>
          <w:bCs/>
          <w:color w:val="1F4E5F"/>
          <w:sz w:val="32"/>
          <w:szCs w:val="32"/>
        </w:rPr>
        <w:t xml:space="preserve">Contents</w:t>
      </w:r>
    </w:p>
    <w:p>
      <w:pPr>
        <w:spacing w:after="140" w:line="276"/>
        <w:jc w:val="left"/>
      </w:pPr>
      <w:r>
        <w:rPr>
          <w:rFonts w:ascii="Calibri" w:cs="Calibri" w:eastAsia="Calibri" w:hAnsi="Calibri"/>
          <w:b w:val="false"/>
          <w:bCs w:val="false"/>
          <w:i w:val="false"/>
          <w:iCs w:val="false"/>
          <w:color w:val="000000"/>
          <w:sz w:val="21"/>
          <w:szCs w:val="21"/>
        </w:rPr>
        <w:t xml:space="preserve">This specification comprises 25 numbered sections and 9 appendices. Word processors that support field updates will populate the table below on </w:t>
      </w:r>
      <w:r>
        <w:rPr>
          <w:rFonts w:ascii="Consolas" w:cs="Consolas" w:eastAsia="Consolas" w:hAnsi="Consolas"/>
          <w:b w:val="false"/>
          <w:bCs w:val="false"/>
          <w:i w:val="false"/>
          <w:iCs w:val="false"/>
          <w:color w:val="000000"/>
          <w:sz w:val="19"/>
          <w:szCs w:val="19"/>
        </w:rPr>
        <w:t xml:space="preserve">F9</w:t>
      </w:r>
      <w:r>
        <w:rPr>
          <w:rFonts w:ascii="Calibri" w:cs="Calibri" w:eastAsia="Calibri" w:hAnsi="Calibri"/>
          <w:b w:val="false"/>
          <w:bCs w:val="false"/>
          <w:i w:val="false"/>
          <w:iCs w:val="false"/>
          <w:color w:val="000000"/>
          <w:sz w:val="21"/>
          <w:szCs w:val="21"/>
        </w:rPr>
        <w:t xml:space="preserve"> or </w:t>
      </w:r>
      <w:r>
        <w:rPr>
          <w:rFonts w:ascii="Calibri" w:cs="Calibri" w:eastAsia="Calibri" w:hAnsi="Calibri"/>
          <w:b w:val="false"/>
          <w:bCs w:val="false"/>
          <w:i/>
          <w:iCs/>
          <w:color w:val="000000"/>
          <w:sz w:val="21"/>
          <w:szCs w:val="21"/>
        </w:rPr>
        <w:t xml:space="preserve">Update Field</w:t>
      </w:r>
      <w:r>
        <w:rPr>
          <w:rFonts w:ascii="Calibri" w:cs="Calibri" w:eastAsia="Calibri" w:hAnsi="Calibri"/>
          <w:b w:val="false"/>
          <w:bCs w:val="false"/>
          <w:i w:val="false"/>
          <w:iCs w:val="false"/>
          <w:color w:val="000000"/>
          <w:sz w:val="21"/>
          <w:szCs w:val="21"/>
        </w:rPr>
        <w:t xml:space="preserve">; the section list that follows is provided so that the document is navigable even if fields are not refreshed.</w:t>
      </w:r>
    </w:p>
    <w:p>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r>
        <w:rPr>
          <w:sz w:val="6"/>
          <w:szCs w:val="6"/>
        </w:rPr>
        <w:t xml:space="preserve"/>
      </w:r>
    </w:p>
    <w:p>
      <w:pPr>
        <w:pStyle w:val="Heading2"/>
        <w:spacing w:after="120" w:before="300"/>
      </w:pPr>
      <w:r>
        <w:rPr>
          <w:rFonts w:ascii="Calibri" w:cs="Calibri" w:eastAsia="Calibri" w:hAnsi="Calibri"/>
          <w:b/>
          <w:bCs/>
          <w:color w:val="1F4E5F"/>
          <w:sz w:val="26"/>
          <w:szCs w:val="26"/>
        </w:rPr>
        <w:t xml:space="preserve">Section list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468"/>
        <w:gridCol w:w="4212"/>
        <w:gridCol w:w="468"/>
        <w:gridCol w:w="4212"/>
      </w:tblGrid>
      <w:tr>
        <w:trPr>
          <w:cantSplit/>
          <w:tblHeader/>
        </w:trPr>
        <w:tc>
          <w:tcPr>
            <w:tcW w:type="dxa" w:w="46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w:t>
            </w:r>
          </w:p>
        </w:tc>
        <w:tc>
          <w:tcPr>
            <w:tcW w:type="dxa" w:w="421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Section</w:t>
            </w:r>
          </w:p>
        </w:tc>
        <w:tc>
          <w:tcPr>
            <w:tcW w:type="dxa" w:w="46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w:t>
            </w:r>
          </w:p>
        </w:tc>
        <w:tc>
          <w:tcPr>
            <w:tcW w:type="dxa" w:w="421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Section</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0</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Preface: method and how to read this</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13</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RAS, DFT and silent data corruption</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Executive summary</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14</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Physical implementation and packaging</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Programme rationale</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15</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Materials and recycled-content programme</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3</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Competitive landscape</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16</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Manufacturing, yield and test</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4</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Workload characterisation</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17</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Cost model and total cost of ownership</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5</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Architectural concept of operations</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18</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Software stack and compiler</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6</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Compute Tile Chiplet (CTC)</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19</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System and rack integration</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7</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Memory Hub Chiplet (MHC)</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20</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Performance projections</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8</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The three-tier context hierarchy</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21</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Reconciliation with prior concepts</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9</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Numerics and precision strategy</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22</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Risk register</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10</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Instruction set architecture</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23</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Programme plan to CDR — gap analysis</w:t>
            </w:r>
          </w:p>
        </w:tc>
      </w:tr>
      <w:tr>
        <w:trPr>
          <w:cantSplit/>
          <w:tblHeader w:val="false"/>
        </w:trPr>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11</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Cobalt Link scale-up fabric</w:t>
            </w:r>
          </w:p>
        </w:tc>
        <w:tc>
          <w:tcPr>
            <w:tcW w:type="dxa" w:w="46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24</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Open questions for human engineers</w:t>
            </w:r>
          </w:p>
        </w:tc>
      </w:tr>
      <w:tr>
        <w:trPr>
          <w:cantSplit/>
          <w:tblHeader w:val="false"/>
        </w:trPr>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12</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Security, safety and assurance</w:t>
            </w:r>
          </w:p>
        </w:tc>
        <w:tc>
          <w:tcPr>
            <w:tcW w:type="dxa" w:w="46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25</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Roadmap and conclusion</w:t>
            </w:r>
          </w:p>
        </w:tc>
      </w:tr>
    </w:tbl>
    <w:p>
      <w:pPr>
        <w:spacing w:after="160"/>
      </w:pPr>
      <w:r>
        <w:rPr>
          <w:sz w:val="6"/>
          <w:szCs w:val="6"/>
        </w:rPr>
        <w:t xml:space="preserve"/>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4025"/>
        <w:gridCol w:w="655"/>
        <w:gridCol w:w="4025"/>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App.</w:t>
            </w:r>
          </w:p>
        </w:tc>
        <w:tc>
          <w:tcPr>
            <w:tcW w:type="dxa" w:w="402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Title</w:t>
            </w:r>
          </w:p>
        </w:tc>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App.</w:t>
            </w:r>
          </w:p>
        </w:tc>
        <w:tc>
          <w:tcPr>
            <w:tcW w:type="dxa" w:w="402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Title</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Glossary and abbreviations</w:t>
            </w:r>
          </w:p>
        </w:tc>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F</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Selected control register map</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B</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Consolidated parameter summary</w:t>
            </w:r>
          </w:p>
        </w:tc>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G</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Secondary-material qualification matrix</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Roofline model derivations</w:t>
            </w:r>
          </w:p>
        </w:tc>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H</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Requirements traceability matrix</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D</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Die-per-wafer and yield calculations</w:t>
            </w:r>
          </w:p>
        </w:tc>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I</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Source notes</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E</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ISA opcode map</w:t>
            </w:r>
          </w:p>
        </w:tc>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w:r>
          </w:p>
        </w:tc>
      </w:tr>
    </w:tbl>
    <w:p>
      <w:r>
        <w:br w:type="page"/>
      </w:r>
    </w:p>
    <w:p>
      <w:pPr>
        <w:pStyle w:val="Heading1"/>
        <w:spacing w:after="160" w:before="400"/>
      </w:pPr>
      <w:r>
        <w:rPr>
          <w:rFonts w:ascii="Calibri" w:cs="Calibri" w:eastAsia="Calibri" w:hAnsi="Calibri"/>
          <w:b/>
          <w:bCs/>
          <w:color w:val="1F4E5F"/>
          <w:sz w:val="32"/>
          <w:szCs w:val="32"/>
        </w:rPr>
        <w:t xml:space="preserve">0.  Preface: Method, and How to Read This Document</w:t>
      </w:r>
    </w:p>
    <w:p>
      <w:pPr>
        <w:pStyle w:val="Heading2"/>
        <w:spacing w:after="120" w:before="300"/>
      </w:pPr>
      <w:r>
        <w:rPr>
          <w:rFonts w:ascii="Calibri" w:cs="Calibri" w:eastAsia="Calibri" w:hAnsi="Calibri"/>
          <w:b/>
          <w:bCs/>
          <w:color w:val="1F4E5F"/>
          <w:sz w:val="26"/>
          <w:szCs w:val="26"/>
        </w:rPr>
        <w:t xml:space="preserve">0.1  On the name</w:t>
      </w:r>
    </w:p>
    <w:p>
      <w:pPr>
        <w:spacing w:after="140" w:line="276"/>
        <w:jc w:val="left"/>
      </w:pPr>
      <w:r>
        <w:rPr>
          <w:rFonts w:ascii="Calibri" w:cs="Calibri" w:eastAsia="Calibri" w:hAnsi="Calibri"/>
          <w:b w:val="false"/>
          <w:bCs w:val="false"/>
          <w:i w:val="false"/>
          <w:iCs w:val="false"/>
          <w:color w:val="000000"/>
          <w:sz w:val="21"/>
          <w:szCs w:val="21"/>
        </w:rPr>
        <w:t xml:space="preserve">Scintilla Cobalti is dog-Latin for "the spark of cobalt". The name is not decorative. Cobalt is the metal that made the last decade of interconnect scaling possible: as copper lines narrowed below roughly 20 nm in width, electromigration and the resistivity penalty of the tantalum-nitride barrier became limiting, and cobalt — first as a selective cap over copper, then as the fill metal for the tightest local interconnect levels — is what kept the lower metal stack working. Every logic die in this design depends on it.</w:t>
      </w:r>
    </w:p>
    <w:p>
      <w:pPr>
        <w:spacing w:after="140" w:line="276"/>
        <w:jc w:val="left"/>
      </w:pPr>
      <w:r>
        <w:rPr>
          <w:rFonts w:ascii="Calibri" w:cs="Calibri" w:eastAsia="Calibri" w:hAnsi="Calibri"/>
          <w:b w:val="false"/>
          <w:bCs w:val="false"/>
          <w:i w:val="false"/>
          <w:iCs w:val="false"/>
          <w:color w:val="000000"/>
          <w:sz w:val="21"/>
          <w:szCs w:val="21"/>
        </w:rPr>
        <w:t xml:space="preserve">Cobalt is also the most ethically fraught metal in the bill of materials. A large fraction of world primary supply originates in the Democratic Republic of the Congo, and a persistent minority of that is artisanally mined under conditions no engineering organisation should be indifferent to. Secondary cobalt — recovered principally from spent lithium-ion cells, and refinable to the 5N-plus purity that a cobalt CVD precursor requires — is a real and growing supply channel. Section 15 specifies a secondary-cobalt content floor for this part and the qualification programme needed to defend it.</w:t>
      </w:r>
    </w:p>
    <w:p>
      <w:pPr>
        <w:spacing w:after="140" w:line="276"/>
        <w:jc w:val="left"/>
      </w:pPr>
      <w:r>
        <w:rPr>
          <w:rFonts w:ascii="Calibri" w:cs="Calibri" w:eastAsia="Calibri" w:hAnsi="Calibri"/>
          <w:b w:val="false"/>
          <w:bCs w:val="false"/>
          <w:i w:val="false"/>
          <w:iCs w:val="false"/>
          <w:color w:val="000000"/>
          <w:sz w:val="21"/>
          <w:szCs w:val="21"/>
        </w:rPr>
        <w:t xml:space="preserve">So the name is a commitment: the metal that makes the chip work should not be the part of the chip that we decline to look at. If a reviewer prefers a different product name, nothing in the engineering depends on it; the internal designator SC-1 is used throughout and is the name that appears in tables.</w:t>
      </w:r>
    </w:p>
    <w:p>
      <w:pPr>
        <w:pStyle w:val="Heading2"/>
        <w:spacing w:after="120" w:before="300"/>
      </w:pPr>
      <w:r>
        <w:rPr>
          <w:rFonts w:ascii="Calibri" w:cs="Calibri" w:eastAsia="Calibri" w:hAnsi="Calibri"/>
          <w:b/>
          <w:bCs/>
          <w:color w:val="1F4E5F"/>
          <w:sz w:val="26"/>
          <w:szCs w:val="26"/>
        </w:rPr>
        <w:t xml:space="preserve">0.2  What problem this design is actually solving</w:t>
      </w:r>
    </w:p>
    <w:p>
      <w:pPr>
        <w:spacing w:after="140" w:line="276"/>
        <w:jc w:val="left"/>
      </w:pPr>
      <w:r>
        <w:rPr>
          <w:rFonts w:ascii="Calibri" w:cs="Calibri" w:eastAsia="Calibri" w:hAnsi="Calibri"/>
          <w:b w:val="false"/>
          <w:bCs w:val="false"/>
          <w:i w:val="false"/>
          <w:iCs w:val="false"/>
          <w:color w:val="000000"/>
          <w:sz w:val="21"/>
          <w:szCs w:val="21"/>
        </w:rPr>
        <w:t xml:space="preserve">There is a temptation, when specifying an inference accelerator, to optimise the number on the front of the datasheet: peak FLOPS in the lowest supported precision, with structured sparsity assumed. That number is a poor proxy for the thing an inference fleet actually sells, which is tokens delivered inside a latency budget, per dollar of capital and per joule of energy.</w:t>
      </w:r>
    </w:p>
    <w:p>
      <w:pPr>
        <w:spacing w:after="140" w:line="276"/>
        <w:jc w:val="left"/>
      </w:pPr>
      <w:r>
        <w:rPr>
          <w:rFonts w:ascii="Calibri" w:cs="Calibri" w:eastAsia="Calibri" w:hAnsi="Calibri"/>
          <w:b w:val="false"/>
          <w:bCs w:val="false"/>
          <w:i w:val="false"/>
          <w:iCs w:val="false"/>
          <w:color w:val="000000"/>
          <w:sz w:val="21"/>
          <w:szCs w:val="21"/>
        </w:rPr>
        <w:t xml:space="preserve">The gap between the two is large and it is growing, for three reasons that this design takes as its premises:</w:t>
      </w:r>
    </w:p>
    <w:p>
      <w:pPr>
        <w:pStyle w:val="ListParagraph"/>
        <w:numPr>
          <w:ilvl w:val="0"/>
          <w:numId w:val="2"/>
        </w:numPr>
        <w:spacing w:after="60" w:line="264"/>
      </w:pPr>
      <w:r>
        <w:rPr>
          <w:rFonts w:ascii="Calibri" w:cs="Calibri" w:eastAsia="Calibri" w:hAnsi="Calibri"/>
          <w:b/>
          <w:bCs/>
          <w:i w:val="false"/>
          <w:iCs w:val="false"/>
          <w:sz w:val="21"/>
          <w:szCs w:val="21"/>
        </w:rPr>
        <w:t xml:space="preserve">Decode is bandwidth-bound, not compute-bound. </w:t>
      </w:r>
      <w:r>
        <w:rPr>
          <w:rFonts w:ascii="Calibri" w:cs="Calibri" w:eastAsia="Calibri" w:hAnsi="Calibri"/>
          <w:b w:val="false"/>
          <w:bCs w:val="false"/>
          <w:i w:val="false"/>
          <w:iCs w:val="false"/>
          <w:sz w:val="21"/>
          <w:szCs w:val="21"/>
        </w:rPr>
        <w:t xml:space="preserve">During autoregressive generation the arithmetic intensity of a dense matrix-vector product is approximately one multiply-accumulate per weight byte fetched. A machine with 15 PFLOPS of FP4 and 8 TB/s of memory bandwidth will spend the overwhelming majority of decode cycles waiting. Adding FLOPS to such a machine buys nothing; adding bytes per second, or removing bytes that need moving, buys everything.</w:t>
      </w:r>
    </w:p>
    <w:p>
      <w:pPr>
        <w:pStyle w:val="ListParagraph"/>
        <w:numPr>
          <w:ilvl w:val="0"/>
          <w:numId w:val="2"/>
        </w:numPr>
        <w:spacing w:after="60" w:line="264"/>
      </w:pPr>
      <w:r>
        <w:rPr>
          <w:rFonts w:ascii="Calibri" w:cs="Calibri" w:eastAsia="Calibri" w:hAnsi="Calibri"/>
          <w:b/>
          <w:bCs/>
          <w:i w:val="false"/>
          <w:iCs w:val="false"/>
          <w:sz w:val="21"/>
          <w:szCs w:val="21"/>
        </w:rPr>
        <w:t xml:space="preserve">Context is now the dominant memory consumer, and contexts are increasingly idle. </w:t>
      </w:r>
      <w:r>
        <w:rPr>
          <w:rFonts w:ascii="Calibri" w:cs="Calibri" w:eastAsia="Calibri" w:hAnsi="Calibri"/>
          <w:b w:val="false"/>
          <w:bCs w:val="false"/>
          <w:i w:val="false"/>
          <w:iCs w:val="false"/>
          <w:sz w:val="21"/>
          <w:szCs w:val="21"/>
        </w:rPr>
        <w:t xml:space="preserve">A 32 K-token session on a 60-layer model with 8 grouped key-value heads holds roughly 3.9 GB of key-value state. An agentic session — a coding agent, a browsing agent, a long research task — holds that state across tool calls during which the model generates nothing at all. Fleet-wide, a large and rising fraction of the most expensive memory in the building is holding state for sessions that are, at any given instant, doing nothing.</w:t>
      </w:r>
    </w:p>
    <w:p>
      <w:pPr>
        <w:pStyle w:val="ListParagraph"/>
        <w:numPr>
          <w:ilvl w:val="0"/>
          <w:numId w:val="2"/>
        </w:numPr>
        <w:spacing w:after="60" w:line="264"/>
      </w:pPr>
      <w:r>
        <w:rPr>
          <w:rFonts w:ascii="Calibri" w:cs="Calibri" w:eastAsia="Calibri" w:hAnsi="Calibri"/>
          <w:b/>
          <w:bCs/>
          <w:i w:val="false"/>
          <w:iCs w:val="false"/>
          <w:sz w:val="21"/>
          <w:szCs w:val="21"/>
        </w:rPr>
        <w:t xml:space="preserve">Silicon cost is now dominated by area-driven yield loss and by memory, not by transistor count. </w:t>
      </w:r>
      <w:r>
        <w:rPr>
          <w:rFonts w:ascii="Calibri" w:cs="Calibri" w:eastAsia="Calibri" w:hAnsi="Calibri"/>
          <w:b w:val="false"/>
          <w:bCs w:val="false"/>
          <w:i w:val="false"/>
          <w:iCs w:val="false"/>
          <w:sz w:val="21"/>
          <w:szCs w:val="21"/>
        </w:rPr>
        <w:t xml:space="preserve">A reticle-limit die on a leading node is roughly twice as expensive per unit of good compute as the same compute cut into four pieces, before any consideration of harvest binning. Meanwhile high-bandwidth memory and its packaging together exceed the cost of the logic they serve. A design that does not attack these two costs directly is not a cost-reduction programme, whatever its stated goals.</w:t>
      </w:r>
    </w:p>
    <w:p>
      <w:pPr>
        <w:spacing w:after="140" w:line="276"/>
        <w:jc w:val="left"/>
      </w:pPr>
      <w:r>
        <w:rPr>
          <w:rFonts w:ascii="Calibri" w:cs="Calibri" w:eastAsia="Calibri" w:hAnsi="Calibri"/>
          <w:b w:val="false"/>
          <w:bCs w:val="false"/>
          <w:i w:val="false"/>
          <w:iCs w:val="false"/>
          <w:color w:val="000000"/>
          <w:sz w:val="21"/>
          <w:szCs w:val="21"/>
        </w:rPr>
        <w:t xml:space="preserve">SC-1 is organised around these three facts. It is not the fastest possible accelerator at peak precision; a reticle-limit monolith on the same node would beat it on that metric. It is intended to be the cheapest accelerator per delivered token for the specific shape of workload that a frontier assistant-and-agent product generates, and to be buildable in volume on a supply chain that is not entirely hostage to high-bandwidth memory allocation.</w:t>
      </w:r>
    </w:p>
    <w:p>
      <w:pPr>
        <w:pStyle w:val="Heading2"/>
        <w:spacing w:after="120" w:before="300"/>
      </w:pPr>
      <w:r>
        <w:rPr>
          <w:rFonts w:ascii="Calibri" w:cs="Calibri" w:eastAsia="Calibri" w:hAnsi="Calibri"/>
          <w:b/>
          <w:bCs/>
          <w:color w:val="1F4E5F"/>
          <w:sz w:val="26"/>
          <w:szCs w:val="26"/>
        </w:rPr>
        <w:t xml:space="preserve">0.3  Method</w:t>
      </w:r>
    </w:p>
    <w:p>
      <w:pPr>
        <w:spacing w:after="140" w:line="276"/>
        <w:jc w:val="left"/>
      </w:pPr>
      <w:r>
        <w:rPr>
          <w:rFonts w:ascii="Calibri" w:cs="Calibri" w:eastAsia="Calibri" w:hAnsi="Calibri"/>
          <w:b w:val="false"/>
          <w:bCs w:val="false"/>
          <w:i w:val="false"/>
          <w:iCs w:val="false"/>
          <w:color w:val="000000"/>
          <w:sz w:val="21"/>
          <w:szCs w:val="21"/>
        </w:rPr>
        <w:t xml:space="preserve">The design was produced in the following order, and the document is organised in the same order so that the reasoning can be audited rather than merely read: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Characterise the workload first, quantitatively, and derive hardware requirements from it (Section 4). Every major architectural feature in this document is traceable to a line in that section; Appendix H is the traceability matrix.</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Establish the competitive frame from published specifications only (Section 3). Where a competitor has not published a number, the document says so rather than inventing one.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Choose the partition — how many dies, on which nodes, connected how — on cost and yield grounds before choosing any microarchitecture (Sections 5 and 14).</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Specify the memory system before the compute, because the memory system is the machine (Sections 7 and 8).</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Specify compute to match the memory system's delivered bandwidth, not to maximise a headline (Section 6).</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Cost the result honestly, including the parts that came out badly, and reconcile against prior internal concepts that assumed better (Sections 17 and 21).</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Enumerate what has not been done (Section 23) and what the author does not know (Section 24).</w:t>
      </w:r>
    </w:p>
    <w:p>
      <w:pPr>
        <w:pStyle w:val="Heading2"/>
        <w:spacing w:after="120" w:before="300"/>
      </w:pPr>
      <w:r>
        <w:rPr>
          <w:rFonts w:ascii="Calibri" w:cs="Calibri" w:eastAsia="Calibri" w:hAnsi="Calibri"/>
          <w:b/>
          <w:bCs/>
          <w:color w:val="1F4E5F"/>
          <w:sz w:val="26"/>
          <w:szCs w:val="26"/>
        </w:rPr>
        <w:t xml:space="preserve">0.4  What "80% CDR readiness" means here, and what it does not</w:t>
      </w:r>
    </w:p>
    <w:p>
      <w:pPr>
        <w:spacing w:after="140" w:line="276"/>
        <w:jc w:val="left"/>
      </w:pPr>
      <w:r>
        <w:rPr>
          <w:rFonts w:ascii="Calibri" w:cs="Calibri" w:eastAsia="Calibri" w:hAnsi="Calibri"/>
          <w:b w:val="false"/>
          <w:bCs w:val="false"/>
          <w:i w:val="false"/>
          <w:iCs w:val="false"/>
          <w:color w:val="000000"/>
          <w:sz w:val="21"/>
          <w:szCs w:val="21"/>
        </w:rPr>
        <w:t xml:space="preserve">The document owner asked for a design that reaches approximately eighty per cent of the maturity expected at a Critical Design Review, with sufficient direction that human engineers could take it the rest of the way. It is worth being precise about which eighty per cent.</w:t>
      </w:r>
    </w:p>
    <w:p>
      <w:pPr>
        <w:spacing w:after="140" w:line="276"/>
        <w:jc w:val="left"/>
      </w:pPr>
      <w:r>
        <w:rPr>
          <w:rFonts w:ascii="Calibri" w:cs="Calibri" w:eastAsia="Calibri" w:hAnsi="Calibri"/>
          <w:b w:val="false"/>
          <w:bCs w:val="false"/>
          <w:i w:val="false"/>
          <w:iCs w:val="false"/>
          <w:color w:val="000000"/>
          <w:sz w:val="21"/>
          <w:szCs w:val="21"/>
        </w:rPr>
        <w:t xml:space="preserve">A conventional CDR package for a part of this class contains, roughly: a frozen architecture specification; a complete microarchitecture specification for every block; a synthesisable RTL model at or near feature-complete; a verification plan with coverage closure targets and a substantially built testbench; a floorplan with power and clock distribution proven by trial synthesis and place-and-route; static timing analysis showing closure or a credible path to it; signal- and power-integrity analysis for every off-die interface; a thermal model correlated to a mechanical design; a DFT architecture with test time and coverage estimates; a qualification plan; and a bill of materials with sourced quotations.</w:t>
      </w:r>
    </w:p>
    <w:p>
      <w:pPr>
        <w:spacing w:after="140" w:line="276"/>
        <w:jc w:val="left"/>
      </w:pPr>
      <w:r>
        <w:rPr>
          <w:rFonts w:ascii="Calibri" w:cs="Calibri" w:eastAsia="Calibri" w:hAnsi="Calibri"/>
          <w:b w:val="false"/>
          <w:bCs w:val="false"/>
          <w:i w:val="false"/>
          <w:iCs w:val="false"/>
          <w:color w:val="000000"/>
          <w:sz w:val="21"/>
          <w:szCs w:val="21"/>
        </w:rPr>
        <w:t xml:space="preserve">This document delivers the architecture specification, the microarchitecture down to block-and-interface level with sizing and budgets, the memory-system design in full, the numerics definition, the ISA at encoding level, the packaging and thermal concept with first-order calculations, the DFT and RAS architecture, the manufacturing and yield model, the cost model, and the materials programme. It delivers the requirements traceability that a CDR reviewer will ask for. It does not deliver RTL, a verification environment, trial place-and-route results, timing closure, extracted parasitics, signal- or power-integrity simulation, thermal CFD, or a single sourced quotation.</w:t>
      </w:r>
    </w:p>
    <w:p>
      <w:pPr>
        <w:spacing w:after="140" w:line="276"/>
        <w:jc w:val="left"/>
      </w:pPr>
      <w:r>
        <w:rPr>
          <w:rFonts w:ascii="Calibri" w:cs="Calibri" w:eastAsia="Calibri" w:hAnsi="Calibri"/>
          <w:b w:val="false"/>
          <w:bCs w:val="false"/>
          <w:i w:val="false"/>
          <w:iCs w:val="false"/>
          <w:color w:val="000000"/>
          <w:sz w:val="21"/>
          <w:szCs w:val="21"/>
        </w:rPr>
        <w:t xml:space="preserve">The honest characterisation is therefore: this is a strong Preliminary Design Review package plus most of the architectural content that would otherwise be produced between PDR and CDR, and none of the physical-implementation evidence that CDR exists to examine. Section 23 breaks the remaining work into 41 numbered work packages with dependency ordering and rough effort estimates, on the assumption that the reader would rather have a project plan than a compliment.</w:t>
      </w:r>
    </w:p>
    <w:p>
      <w:pPr>
        <w:pStyle w:val="Heading2"/>
        <w:spacing w:after="120" w:before="300"/>
      </w:pPr>
      <w:r>
        <w:rPr>
          <w:rFonts w:ascii="Calibri" w:cs="Calibri" w:eastAsia="Calibri" w:hAnsi="Calibri"/>
          <w:b/>
          <w:bCs/>
          <w:color w:val="1F4E5F"/>
          <w:sz w:val="26"/>
          <w:szCs w:val="26"/>
        </w:rPr>
        <w:t xml:space="preserve">0.5  Notation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7488"/>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Notation</w:t>
            </w:r>
          </w:p>
        </w:tc>
        <w:tc>
          <w:tcPr>
            <w:tcW w:type="dxa" w:w="748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Meaning</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SC-1</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The complete package: four compute chiplets, two memory hub chiplets, four HBM4 stacks, and the on-module capacity tier. The unit that is bought, cooled, and scheduled.</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CTC</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Compute Tile Chiplet. One of four identical logic dies carrying the matrix and vector engines.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MHC</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Memory Hub Chiplet. One of two identical dies carrying SRAM, the on-package network, and all memory and off-package physical interfaces.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Tier 0 / 1 / 2</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The three levels of the context hierarchy: on-die SRAM, HBM4, and the LPDDR6 capacity tier respectively.</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MXFP4 / MXFP6 / MXFP8</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Open Compute Project microscaling floating-point formats: blocks of 32 elements sharing one E8M0 scale, with 4-, 6-, and 8-bit elements.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B, S, L, H, Hkv, dh</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Batch size, sequence length, layer count, attention head count, key-value head count, and head dimension.</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Roofline(x)</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The performance ceiling implied by resource x. Where two are quoted, the binding constraint is the lower.</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⌈x⌉</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Ceiling. Used in tiling arithmetic where partial tiles are padded.</w:t>
            </w:r>
          </w:p>
        </w:tc>
      </w:tr>
    </w:tbl>
    <w:p>
      <w:r>
        <w:br w:type="page"/>
      </w:r>
    </w:p>
    <w:p>
      <w:pPr>
        <w:pStyle w:val="Heading1"/>
        <w:spacing w:after="160" w:before="400"/>
      </w:pPr>
      <w:r>
        <w:rPr>
          <w:rFonts w:ascii="Calibri" w:cs="Calibri" w:eastAsia="Calibri" w:hAnsi="Calibri"/>
          <w:b/>
          <w:bCs/>
          <w:color w:val="1F4E5F"/>
          <w:sz w:val="32"/>
          <w:szCs w:val="32"/>
        </w:rPr>
        <w:t xml:space="preserve">1.  Executive Summary</w:t>
      </w:r>
    </w:p>
    <w:p>
      <w:pPr>
        <w:spacing w:after="140" w:line="276"/>
        <w:jc w:val="left"/>
      </w:pPr>
      <w:r>
        <w:rPr>
          <w:rFonts w:ascii="Calibri" w:cs="Calibri" w:eastAsia="Calibri" w:hAnsi="Calibri"/>
          <w:b w:val="false"/>
          <w:bCs w:val="false"/>
          <w:i w:val="false"/>
          <w:iCs w:val="false"/>
          <w:color w:val="000000"/>
          <w:sz w:val="21"/>
          <w:szCs w:val="21"/>
        </w:rPr>
        <w:t xml:space="preserve">The Scintilla Cobalti (SC-1) is a chiplet-partitioned inference accelerator for frontier transformer and mixture-of-experts language models. It is designed to be manufactured in volume from 2028, to cost materially less per delivered token than any accelerator currently announced, and to be assembled from a materials supply chain in which the majority of the metal by mass is secondary — recovered from electronic waste, including the fleet's own decommissioned hardware.</w:t>
      </w:r>
    </w:p>
    <w:p>
      <w:pPr>
        <w:pStyle w:val="Heading2"/>
        <w:spacing w:after="120" w:before="300"/>
      </w:pPr>
      <w:r>
        <w:rPr>
          <w:rFonts w:ascii="Calibri" w:cs="Calibri" w:eastAsia="Calibri" w:hAnsi="Calibri"/>
          <w:b/>
          <w:bCs/>
          <w:color w:val="1F4E5F"/>
          <w:sz w:val="26"/>
          <w:szCs w:val="26"/>
        </w:rPr>
        <w:t xml:space="preserve">1.1  Headline configuration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3182"/>
        <w:gridCol w:w="3557"/>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Parameter</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SC-1</w:t>
            </w:r>
          </w:p>
        </w:tc>
        <w:tc>
          <w:tcPr>
            <w:tcW w:type="dxa" w:w="355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Note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Compute dies</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4 × CTC, 210 mm², TSMC N2P</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Hybrid-bonded to the memory hubs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Hub dies</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 × MHC, 380 mm², TSMC N6</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SRAM, NoC, all PHYs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Total logic transistors</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332 billion</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Tier B, Appendix D</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Peak dense MXFP4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12.6 PFLOPS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25.2 PFLOPS with 2:4 structured sparsity</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Peak dense MXFP8 / MXFP6</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6.29 PFLOPS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Same rate for both formats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Peak dense BF16</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3.15 PFLOPS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Accumulation and master weights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Tier 0 — on-die SRAM</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512 MB</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Resident Tensor Store, 96 TB/s aggregate</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Tier 1 — HBM4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192 GB, 9.83 TB/s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4 stacks × 48 GB, 16-high, 9.6 GT/s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Tier 2 — LPDDR6 capacity</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512 GB, 1.84 TB/s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On-module, 1024-bit, 14.4 GT/s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Total addressable memory</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704 GB</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2.52× Blackwell Ultra per accelerator</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Scale-up fabric</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3.58 TB/s bidirectional</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64 lanes each way at 224 Gb/s PAM4; UALink-compatible</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Scale-out</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 × 800 GbE</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RoCEv2, on-package MAC</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Package TDP</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850 W nominal, 950 W configurable</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Direct liquid cooling, 45 °C facility water</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Package</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CoWoS-L, 5.5-reticle class, ~2,600 mm² substrate</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SoIC hybrid bond for CTC↔MHC</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Form factor</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OCP OAM 3.0-compatible module</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32 modules per rack, 64-module scale-up domain</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Estimated manufacturing cost</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$5,846 per module at 250 kU/yr</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Tier C/D, Section 17</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Secondary-material content</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71% of non-semiconductor metal mass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Section 15</w:t>
            </w:r>
          </w:p>
        </w:tc>
      </w:tr>
    </w:tbl>
    <w:p>
      <w:pPr>
        <w:spacing w:after="220" w:before="60"/>
      </w:pPr>
      <w:r>
        <w:rPr>
          <w:i/>
          <w:iCs/>
          <w:color w:val="595959"/>
          <w:sz w:val="17"/>
          <w:szCs w:val="17"/>
        </w:rPr>
        <w:t xml:space="preserve">Table 1-1. SC-1 headline configuration.</w:t>
      </w:r>
    </w:p>
    <w:p>
      <w:pPr>
        <w:pStyle w:val="Heading2"/>
        <w:spacing w:after="120" w:before="300"/>
      </w:pPr>
      <w:r>
        <w:rPr>
          <w:rFonts w:ascii="Calibri" w:cs="Calibri" w:eastAsia="Calibri" w:hAnsi="Calibri"/>
          <w:b/>
          <w:bCs/>
          <w:color w:val="1F4E5F"/>
          <w:sz w:val="26"/>
          <w:szCs w:val="26"/>
        </w:rPr>
        <w:t xml:space="preserve">1.2  The three ideas that make it different</w:t>
      </w:r>
    </w:p>
    <w:p>
      <w:pPr>
        <w:pStyle w:val="Heading3"/>
        <w:spacing w:after="100" w:before="240"/>
      </w:pPr>
      <w:r>
        <w:rPr>
          <w:rFonts w:ascii="Calibri" w:cs="Calibri" w:eastAsia="Calibri" w:hAnsi="Calibri"/>
          <w:b/>
          <w:bCs/>
          <w:color w:val="7A4E2E"/>
          <w:sz w:val="23"/>
          <w:szCs w:val="23"/>
        </w:rPr>
        <w:t xml:space="preserve">1.2.1  A capacity tier, not just a bandwidth tier</w:t>
      </w:r>
    </w:p>
    <w:p>
      <w:pPr>
        <w:spacing w:after="140" w:line="276"/>
        <w:jc w:val="left"/>
      </w:pPr>
      <w:r>
        <w:rPr>
          <w:rFonts w:ascii="Calibri" w:cs="Calibri" w:eastAsia="Calibri" w:hAnsi="Calibri"/>
          <w:b w:val="false"/>
          <w:bCs w:val="false"/>
          <w:i w:val="false"/>
          <w:iCs w:val="false"/>
          <w:color w:val="000000"/>
          <w:sz w:val="21"/>
          <w:szCs w:val="21"/>
        </w:rPr>
        <w:t xml:space="preserve">Every shipping AI accelerator has exactly one class of attached memory: high-bandwidth memory, priced at roughly $8–12 per gigabyte, supply-constrained, and packaged at a cost comparable to the logic it serves. Accelerators therefore hold everything in HBM, or hold nothing.</w:t>
      </w:r>
    </w:p>
    <w:p>
      <w:pPr>
        <w:spacing w:after="140" w:line="276"/>
        <w:jc w:val="left"/>
      </w:pPr>
      <w:r>
        <w:rPr>
          <w:rFonts w:ascii="Calibri" w:cs="Calibri" w:eastAsia="Calibri" w:hAnsi="Calibri"/>
          <w:b w:val="false"/>
          <w:bCs w:val="false"/>
          <w:i w:val="false"/>
          <w:iCs w:val="false"/>
          <w:color w:val="000000"/>
          <w:sz w:val="21"/>
          <w:szCs w:val="21"/>
        </w:rPr>
        <w:t xml:space="preserve">SC-1 adds a second attached tier: 512 GB of LPDDR6 on the module, at roughly one third the cost per gigabyte and drawn from a commodity supply base that is not competing with every other AI accelerator on earth for the same allocation. It is slower — 1.84 TB/s against 9.83 TB/s — but it is not slow, and a large fraction of what an inference fleet keeps in HBM does not need HBM bandwidth. Paused agentic sessions do not need it. Cached conversational prefixes do not need it. Cold mixture-of-experts weights do not need it. Draft models for speculative decoding barely need it.</w:t>
      </w:r>
    </w:p>
    <w:p>
      <w:pPr>
        <w:spacing w:after="140" w:line="276"/>
        <w:jc w:val="left"/>
      </w:pPr>
      <w:r>
        <w:rPr>
          <w:rFonts w:ascii="Calibri" w:cs="Calibri" w:eastAsia="Calibri" w:hAnsi="Calibri"/>
          <w:b w:val="false"/>
          <w:bCs w:val="false"/>
          <w:i w:val="false"/>
          <w:iCs w:val="false"/>
          <w:color w:val="000000"/>
          <w:sz w:val="21"/>
          <w:szCs w:val="21"/>
        </w:rPr>
        <w:t xml:space="preserve">Moving that material to Tier 2 does two things at once: it frees the expensive tier for the work that actually needs bandwidth, and it takes 40% of the HBM stacks out of the bill of materials relative to a conventional eight-stack design of comparable total capacity.</w:t>
      </w:r>
    </w:p>
    <w:p>
      <w:pPr>
        <w:pStyle w:val="Heading3"/>
        <w:spacing w:after="100" w:before="240"/>
      </w:pPr>
      <w:r>
        <w:rPr>
          <w:rFonts w:ascii="Calibri" w:cs="Calibri" w:eastAsia="Calibri" w:hAnsi="Calibri"/>
          <w:b/>
          <w:bCs/>
          <w:color w:val="7A4E2E"/>
          <w:sz w:val="23"/>
          <w:szCs w:val="23"/>
        </w:rPr>
        <w:t xml:space="preserve">1.2.2  Session Park and Restore, in hardware</w:t>
      </w:r>
    </w:p>
    <w:p>
      <w:pPr>
        <w:spacing w:after="140" w:line="276"/>
        <w:jc w:val="left"/>
      </w:pPr>
      <w:r>
        <w:rPr>
          <w:rFonts w:ascii="Calibri" w:cs="Calibri" w:eastAsia="Calibri" w:hAnsi="Calibri"/>
          <w:b w:val="false"/>
          <w:bCs w:val="false"/>
          <w:i w:val="false"/>
          <w:iCs w:val="false"/>
          <w:color w:val="000000"/>
          <w:sz w:val="21"/>
          <w:szCs w:val="21"/>
        </w:rPr>
        <w:t xml:space="preserve">The agentic duty cycle is the single largest source of waste in a modern inference fleet, and it is invisible on any conventional benchmark. A coding agent may spend sixty seconds executing a tool call for every five seconds it spends generating tokens. During those sixty seconds its key-value cache — several gigabytes of it — occupies high-bandwidth memory and produces nothing.</w:t>
      </w:r>
    </w:p>
    <w:p>
      <w:pPr>
        <w:spacing w:after="140" w:line="276"/>
        <w:jc w:val="left"/>
      </w:pPr>
      <w:r>
        <w:rPr>
          <w:rFonts w:ascii="Calibri" w:cs="Calibri" w:eastAsia="Calibri" w:hAnsi="Calibri"/>
          <w:b w:val="false"/>
          <w:bCs w:val="false"/>
          <w:i w:val="false"/>
          <w:iCs w:val="false"/>
          <w:color w:val="000000"/>
          <w:sz w:val="21"/>
          <w:szCs w:val="21"/>
        </w:rPr>
        <w:t xml:space="preserve">The two conventional responses are both bad. Holding the state wastes the fleet's scarcest resource. Evicting it and re-prefilling on resumption costs, for a 32 K-token context on a 40-billion-active-parameter model, approximately 2.6 petaFLOPs — around 200 ms of the whole machine, plus the queueing latency of getting scheduled at all.</w:t>
      </w:r>
    </w:p>
    <w:p>
      <w:pPr>
        <w:spacing w:after="140" w:line="276"/>
        <w:jc w:val="left"/>
      </w:pPr>
      <w:r>
        <w:rPr>
          <w:rFonts w:ascii="Calibri" w:cs="Calibri" w:eastAsia="Calibri" w:hAnsi="Calibri"/>
          <w:b w:val="false"/>
          <w:bCs w:val="false"/>
          <w:i w:val="false"/>
          <w:iCs w:val="false"/>
          <w:color w:val="000000"/>
          <w:sz w:val="21"/>
          <w:szCs w:val="21"/>
        </w:rPr>
        <w:t xml:space="preserve">SC-1's Context Tier Manager migrates paused sessions to Tier 2 autonomously, at page granularity, without host involvement. Restoring a 3.9 GB session costs 2.1 ms of Tier-2 bandwidth. That is between </w:t>
      </w:r>
      <w:r>
        <w:rPr>
          <w:rFonts w:ascii="Calibri" w:cs="Calibri" w:eastAsia="Calibri" w:hAnsi="Calibri"/>
          <w:b/>
          <w:bCs/>
          <w:i w:val="false"/>
          <w:iCs w:val="false"/>
          <w:color w:val="000000"/>
          <w:sz w:val="21"/>
          <w:szCs w:val="21"/>
        </w:rPr>
        <w:t xml:space="preserve">seventy-five and a hundred times cheaper than re-prefilling it</w:t>
      </w:r>
      <w:r>
        <w:rPr>
          <w:rFonts w:ascii="Calibri" w:cs="Calibri" w:eastAsia="Calibri" w:hAnsi="Calibri"/>
          <w:b w:val="false"/>
          <w:bCs w:val="false"/>
          <w:i w:val="false"/>
          <w:iCs w:val="false"/>
          <w:color w:val="000000"/>
          <w:sz w:val="21"/>
          <w:szCs w:val="21"/>
        </w:rPr>
        <w:t xml:space="preserve"> (Appendix C.4), and it happens while the session is still waiting on its tool call, so the user-visible latency is zero. The design holds approximately 175 parked 32 K sessions per module in addition to its resident working set.</w:t>
      </w:r>
    </w:p>
    <w:p>
      <w:pPr>
        <w:pStyle w:val="Heading3"/>
        <w:spacing w:after="100" w:before="240"/>
      </w:pPr>
      <w:r>
        <w:rPr>
          <w:rFonts w:ascii="Calibri" w:cs="Calibri" w:eastAsia="Calibri" w:hAnsi="Calibri"/>
          <w:b/>
          <w:bCs/>
          <w:color w:val="7A4E2E"/>
          <w:sz w:val="23"/>
          <w:szCs w:val="23"/>
        </w:rPr>
        <w:t xml:space="preserve">1.2.3  Cost attacked at the partition, not at the margin</w:t>
      </w:r>
    </w:p>
    <w:p>
      <w:pPr>
        <w:spacing w:after="140" w:line="276"/>
        <w:jc w:val="left"/>
      </w:pPr>
      <w:r>
        <w:rPr>
          <w:rFonts w:ascii="Calibri" w:cs="Calibri" w:eastAsia="Calibri" w:hAnsi="Calibri"/>
          <w:b w:val="false"/>
          <w:bCs w:val="false"/>
          <w:i w:val="false"/>
          <w:iCs w:val="false"/>
          <w:color w:val="000000"/>
          <w:sz w:val="21"/>
          <w:szCs w:val="21"/>
        </w:rPr>
        <w:t xml:space="preserve">The most expensive decision in a large accelerator is made before any microarchitecture exists: how big is the die. A reticle-limit die on a leading node yields poorly, and the yield loss compounds against the highest wafer price in the industry.</w:t>
      </w:r>
    </w:p>
    <w:p>
      <w:pPr>
        <w:spacing w:after="140" w:line="276"/>
        <w:jc w:val="left"/>
      </w:pPr>
      <w:r>
        <w:rPr>
          <w:rFonts w:ascii="Calibri" w:cs="Calibri" w:eastAsia="Calibri" w:hAnsi="Calibri"/>
          <w:b w:val="false"/>
          <w:bCs w:val="false"/>
          <w:i w:val="false"/>
          <w:iCs w:val="false"/>
          <w:color w:val="000000"/>
          <w:sz w:val="21"/>
          <w:szCs w:val="21"/>
        </w:rPr>
        <w:t xml:space="preserve">SC-1 splits the equivalent compute into four 210 mm² dies on N2P and moves everything that does not benefit from a leading node — 512 MB of SRAM, the network-on-chip, and every physical interface — onto two 380 mm² dies on N6, a mature node at roughly half the wafer price with far better defect density. Appendix D works the arithmetic. The result is $596 of good compute silicon per package against $1,265 for a monolithic die of identical total area — a 53% reduction — before counting the additional yield recovered by harvesting seven-tile parts into a lower-tier SKU.</w:t>
      </w:r>
    </w:p>
    <w:p>
      <w:pPr>
        <w:pStyle w:val="Heading2"/>
        <w:spacing w:after="120" w:before="300"/>
      </w:pPr>
      <w:r>
        <w:rPr>
          <w:rFonts w:ascii="Calibri" w:cs="Calibri" w:eastAsia="Calibri" w:hAnsi="Calibri"/>
          <w:b/>
          <w:bCs/>
          <w:color w:val="1F4E5F"/>
          <w:sz w:val="26"/>
          <w:szCs w:val="26"/>
        </w:rPr>
        <w:t xml:space="preserve">1.3  Projected competitive position</w:t>
      </w:r>
    </w:p>
    <w:p>
      <w:pPr>
        <w:spacing w:after="140" w:line="276"/>
        <w:jc w:val="left"/>
      </w:pPr>
      <w:r>
        <w:rPr>
          <w:rFonts w:ascii="Calibri" w:cs="Calibri" w:eastAsia="Calibri" w:hAnsi="Calibri"/>
          <w:b w:val="false"/>
          <w:bCs w:val="false"/>
          <w:i w:val="false"/>
          <w:iCs w:val="false"/>
          <w:color w:val="000000"/>
          <w:sz w:val="21"/>
          <w:szCs w:val="21"/>
        </w:rPr>
        <w:t xml:space="preserve">The table below compares SC-1 against the two parts the document owner asked it to beat, using published specifications for the competitors and modelled figures for SC-1. The modelling assumptions are given in Section 20 and Appendix C. Jalapeño columns are sparse because OpenAI and Broadcom have published almost nothing quantitative.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7"/>
        <w:gridCol w:w="2246"/>
        <w:gridCol w:w="2621"/>
        <w:gridCol w:w="2246"/>
      </w:tblGrid>
      <w:tr>
        <w:trPr>
          <w:cantSplit/>
          <w:tblHeader/>
        </w:trPr>
        <w:tc>
          <w:tcPr>
            <w:tcW w:type="dxa" w:w="224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Metric</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 (modelled)</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NVIDIA GB300 Blackwell Ultra</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OpenAI Jalapeño</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Peak dense FP4</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12.6 PFLOPS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 PFLOPS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Peak sparse FP4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25.2 PFLOPS</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 PFLOPS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Peak dense FP8</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PFLOPS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 PFLOPS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 capacity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GB HBM4</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279 GB HBM3E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 stacks, type not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 bandwidth</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9.83 TB/s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TB/s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Second-tier memory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GB LPDDR6 @ 1.84 TB/s</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attached memory</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704 GB</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279 GB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Package TDP</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850 W (950 W max)</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Up to 1,400 W</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Dense FP4 per watt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14.8 TFLOPS/W</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10.7 TFLOPS/W</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Claimed "substantially better than state of the art"</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Memory bytes/s per watt</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 GB/s/W</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5.7 GB/s/W</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Compute die area</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840 mm² (4 × 210)</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~1,600 mm² (2 × ~800)</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~840 mm² (1 die, estimated)</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Scale-up bandwidth</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3.58 TB/s bidir.</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 TB/s bidir. (NVLink 5)</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Broadcom fabric, not disclosed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Modelled tokens/s/W at 32 K ctx</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1.85</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0.82</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disclosable</w:t>
            </w:r>
          </w:p>
        </w:tc>
      </w:tr>
    </w:tbl>
    <w:p>
      <w:pPr>
        <w:spacing w:after="220" w:before="60"/>
      </w:pPr>
      <w:r>
        <w:rPr>
          <w:i/>
          <w:iCs/>
          <w:color w:val="595959"/>
          <w:sz w:val="17"/>
          <w:szCs w:val="17"/>
        </w:rPr>
        <w:t xml:space="preserve">Table 1-2. Competitive position. Competitor figures are from published datasheets and press material; see Appendix I. SC-1 figures are modelled, Tier B/C.</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The honest headline</w:t>
            </w:r>
          </w:p>
          <w:p>
            <w:pPr>
              <w:spacing w:after="100" w:line="264"/>
            </w:pPr>
            <w:r>
              <w:rPr>
                <w:sz w:val="20"/>
                <w:szCs w:val="20"/>
              </w:rPr>
              <w:t xml:space="preserve">SC-1 does not win on peak dense FLOPS against Blackwell Ultra and would not win against Vera Rubin. It is not trying to. It wins by roughly 2.3× on modelled tokens per second per watt at realistic long-context operating points, by 2.5× on attached memory capacity, and by an estimated 6.7× on cost per delivered token once acquisition price rather than manufacturing cost is compared. Those are the metrics an inference fleet is actually billed on.</w:t>
            </w:r>
          </w:p>
          <w:p>
            <w:pPr>
              <w:spacing w:after="40" w:line="264"/>
            </w:pPr>
            <w:r>
              <w:rPr>
                <w:sz w:val="20"/>
                <w:szCs w:val="20"/>
              </w:rPr>
              <w:t xml:space="preserve">If a reviewer wants one sentence: this design trades peak arithmetic it cannot use for memory capacity, memory bandwidth per watt, and silicon yield — all of which it can.</w:t>
            </w:r>
          </w:p>
        </w:tc>
      </w:tr>
    </w:tbl>
    <w:p>
      <w:pPr>
        <w:pStyle w:val="Heading2"/>
        <w:spacing w:after="120" w:before="300"/>
      </w:pPr>
      <w:r>
        <w:rPr>
          <w:rFonts w:ascii="Calibri" w:cs="Calibri" w:eastAsia="Calibri" w:hAnsi="Calibri"/>
          <w:b/>
          <w:bCs/>
          <w:color w:val="1F4E5F"/>
          <w:sz w:val="26"/>
          <w:szCs w:val="26"/>
        </w:rPr>
        <w:t xml:space="preserve">1.4  Programme summary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2"/>
        <w:gridCol w:w="2808"/>
        <w:gridCol w:w="3370"/>
      </w:tblGrid>
      <w:tr>
        <w:trPr>
          <w:cantSplit/>
          <w:tblHeader/>
        </w:trPr>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Milestone</w:t>
            </w:r>
          </w:p>
        </w:tc>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Target</w:t>
            </w:r>
          </w:p>
        </w:tc>
        <w:tc>
          <w:tcPr>
            <w:tcW w:type="dxa" w:w="337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8"/>
                <w:szCs w:val="18"/>
              </w:rPr>
              <w:t xml:space="preserve">Confidence</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Architecture freeze</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Q1 2027</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Requires the work packages in Section 23.1–23.2</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RTL feature-complete</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Q4 2027</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Assumes ~120 engineers on the design team</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Tape-out, CTC and MHC</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Q3 2028</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Split tape-outs; MHC first (mature node, longer packaging lead)</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First silicon back</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Q4 2028</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Bring-up and A0 characterisation complete</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Q1 2029</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Assumes A0 is functional; budget one metal-layer respin</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Production ramp</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Q3 2029</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Gated by CoWoS-L allocation, not by silicon</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Volume</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250,000 modules/year steady state</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Sets the amortisation base for the cost model</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Non-recurring engineering</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$679 M (range $620 M – $940 M)</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Section 17.3; dominated by the design team and the software stack</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8"/>
                <w:szCs w:val="18"/>
              </w:rPr>
              <w:t xml:space="preserve">Breakeven against merchant silicon</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 12,500 modules (vs GPU at list) to ≈ 82,000 (vs a first-party alternative)</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8"/>
                <w:szCs w:val="18"/>
              </w:rPr>
              <w:t xml:space="preserve">Section 17.6</w:t>
            </w:r>
          </w:p>
        </w:tc>
      </w:tr>
    </w:tbl>
    <w:p>
      <w:r>
        <w:br w:type="page"/>
      </w:r>
    </w:p>
    <w:p>
      <w:pPr>
        <w:pStyle w:val="Heading1"/>
        <w:spacing w:after="160" w:before="400"/>
      </w:pPr>
      <w:r>
        <w:rPr>
          <w:rFonts w:ascii="Calibri" w:cs="Calibri" w:eastAsia="Calibri" w:hAnsi="Calibri"/>
          <w:b/>
          <w:bCs/>
          <w:color w:val="1F4E5F"/>
          <w:sz w:val="32"/>
          <w:szCs w:val="32"/>
        </w:rPr>
        <w:t xml:space="preserve">2.  Programme Rationale</w:t>
      </w:r>
    </w:p>
    <w:p>
      <w:pPr>
        <w:pStyle w:val="Heading2"/>
        <w:spacing w:after="120" w:before="300"/>
      </w:pPr>
      <w:r>
        <w:rPr>
          <w:rFonts w:ascii="Calibri" w:cs="Calibri" w:eastAsia="Calibri" w:hAnsi="Calibri"/>
          <w:b/>
          <w:bCs/>
          <w:color w:val="1F4E5F"/>
          <w:sz w:val="26"/>
          <w:szCs w:val="26"/>
        </w:rPr>
        <w:t xml:space="preserve">2.1  Why a custom part at all</w:t>
      </w:r>
    </w:p>
    <w:p>
      <w:pPr>
        <w:spacing w:after="140" w:line="276"/>
        <w:jc w:val="left"/>
      </w:pPr>
      <w:r>
        <w:rPr>
          <w:rFonts w:ascii="Calibri" w:cs="Calibri" w:eastAsia="Calibri" w:hAnsi="Calibri"/>
          <w:b w:val="false"/>
          <w:bCs w:val="false"/>
          <w:i w:val="false"/>
          <w:iCs w:val="false"/>
          <w:color w:val="000000"/>
          <w:sz w:val="21"/>
          <w:szCs w:val="21"/>
        </w:rPr>
        <w:t xml:space="preserve">Anthropic trains and serves Claude across three merchant silicon families — AWS Trainium, Google TPU, and NVIDIA GPUs — and has publicly described matching workloads to the chips best suited to them. That is a sound strategy and this design does not propose abandoning it. The argument for a fourth, internally specified part rests on four observations.</w:t>
      </w:r>
    </w:p>
    <w:p>
      <w:pPr>
        <w:pStyle w:val="Heading3"/>
        <w:spacing w:after="100" w:before="240"/>
      </w:pPr>
      <w:r>
        <w:rPr>
          <w:rFonts w:ascii="Calibri" w:cs="Calibri" w:eastAsia="Calibri" w:hAnsi="Calibri"/>
          <w:b/>
          <w:bCs/>
          <w:color w:val="7A4E2E"/>
          <w:sz w:val="23"/>
          <w:szCs w:val="23"/>
        </w:rPr>
        <w:t xml:space="preserve">2.1.1  The workload has diverged from what merchant silicon is optimised for</w:t>
      </w:r>
    </w:p>
    <w:p>
      <w:pPr>
        <w:spacing w:after="140" w:line="276"/>
        <w:jc w:val="left"/>
      </w:pPr>
      <w:r>
        <w:rPr>
          <w:rFonts w:ascii="Calibri" w:cs="Calibri" w:eastAsia="Calibri" w:hAnsi="Calibri"/>
          <w:b w:val="false"/>
          <w:bCs w:val="false"/>
          <w:i w:val="false"/>
          <w:iCs w:val="false"/>
          <w:color w:val="000000"/>
          <w:sz w:val="21"/>
          <w:szCs w:val="21"/>
        </w:rPr>
        <w:t xml:space="preserve">Merchant accelerators are designed against a blend of training and inference, across a customer base whose models differ. That blend forces compromises: full-rate FP64 units that an inference fleet never issues; video and JPEG decoders; ray-tracing hardware; graphics fixed function; multi-instance partitioning schemes designed for cloud tenancy models that do not apply to a single-tenant fleet. On Blackwell Ultra, the published FP64 rate of 1.3 TFLOPS against 5 PFLOPS of BF16 is itself evidence of how much silicon is being carried for customers who are not running language models.</w:t>
      </w:r>
    </w:p>
    <w:p>
      <w:pPr>
        <w:spacing w:after="140" w:line="276"/>
        <w:jc w:val="left"/>
      </w:pPr>
      <w:r>
        <w:rPr>
          <w:rFonts w:ascii="Calibri" w:cs="Calibri" w:eastAsia="Calibri" w:hAnsi="Calibri"/>
          <w:b w:val="false"/>
          <w:bCs w:val="false"/>
          <w:i w:val="false"/>
          <w:iCs w:val="false"/>
          <w:color w:val="000000"/>
          <w:sz w:val="21"/>
          <w:szCs w:val="21"/>
        </w:rPr>
        <w:t xml:space="preserve">More importantly, the merchant parts are designed before the workload is known. SC-1 is designed after. The whole content of Section 4 — the duty-cycle statistics, the prefix reuse rates, the context length distribution, the classifier side-load — is information that only the operator of the fleet possesses, and it changes the architecture materially.</w:t>
      </w:r>
    </w:p>
    <w:p>
      <w:pPr>
        <w:pStyle w:val="Heading3"/>
        <w:spacing w:after="100" w:before="240"/>
      </w:pPr>
      <w:r>
        <w:rPr>
          <w:rFonts w:ascii="Calibri" w:cs="Calibri" w:eastAsia="Calibri" w:hAnsi="Calibri"/>
          <w:b/>
          <w:bCs/>
          <w:color w:val="7A4E2E"/>
          <w:sz w:val="23"/>
          <w:szCs w:val="23"/>
        </w:rPr>
        <w:t xml:space="preserve">2.1.2  Cost per token is the binding business constraint</w:t>
      </w:r>
    </w:p>
    <w:p>
      <w:pPr>
        <w:spacing w:after="140" w:line="276"/>
        <w:jc w:val="left"/>
      </w:pPr>
      <w:r>
        <w:rPr>
          <w:rFonts w:ascii="Calibri" w:cs="Calibri" w:eastAsia="Calibri" w:hAnsi="Calibri"/>
          <w:b w:val="false"/>
          <w:bCs w:val="false"/>
          <w:i w:val="false"/>
          <w:iCs w:val="false"/>
          <w:color w:val="000000"/>
          <w:sz w:val="21"/>
          <w:szCs w:val="21"/>
        </w:rPr>
        <w:t xml:space="preserve">Inference is a variable cost that scales with revenue. Unlike training, it does not amortise: every token served costs energy and depreciates capital. At sustained scale, the difference between $0.30 and $0.15 of compute cost per million output tokens is the difference between a product that is structurally profitable and one that is not. A 2× improvement in cost per token is worth more to a frontier lab than a 2× improvement in training throughput, because training throughput buys capability once and inference cost is paid forever.</w:t>
      </w:r>
    </w:p>
    <w:p>
      <w:pPr>
        <w:pStyle w:val="Heading3"/>
        <w:spacing w:after="100" w:before="240"/>
      </w:pPr>
      <w:r>
        <w:rPr>
          <w:rFonts w:ascii="Calibri" w:cs="Calibri" w:eastAsia="Calibri" w:hAnsi="Calibri"/>
          <w:b/>
          <w:bCs/>
          <w:color w:val="7A4E2E"/>
          <w:sz w:val="23"/>
          <w:szCs w:val="23"/>
        </w:rPr>
        <w:t xml:space="preserve">2.1.3  High-bandwidth memory allocation is a strategic vulnerability</w:t>
      </w:r>
    </w:p>
    <w:p>
      <w:pPr>
        <w:spacing w:after="140" w:line="276"/>
        <w:jc w:val="left"/>
      </w:pPr>
      <w:r>
        <w:rPr>
          <w:rFonts w:ascii="Calibri" w:cs="Calibri" w:eastAsia="Calibri" w:hAnsi="Calibri"/>
          <w:b w:val="false"/>
          <w:bCs w:val="false"/>
          <w:i w:val="false"/>
          <w:iCs w:val="false"/>
          <w:color w:val="000000"/>
          <w:sz w:val="21"/>
          <w:szCs w:val="21"/>
        </w:rPr>
        <w:t xml:space="preserve">Every announced AI accelerator competes for the same HBM supply and the same CoWoS-class advanced packaging capacity. Both are allocated, both are constrained through at least 2027, and both are priced accordingly. An architecture that reduces HBM stacks per accelerator from eight to four, and that derives a substantial share of its memory capacity from commodity LPDDR, is less exposed to that allocation than its competitors. This is not a technical advantage; it is a supply-chain advantage, and in the current market it may be worth more.</w:t>
      </w:r>
    </w:p>
    <w:p>
      <w:pPr>
        <w:pStyle w:val="Heading3"/>
        <w:spacing w:after="100" w:before="240"/>
      </w:pPr>
      <w:r>
        <w:rPr>
          <w:rFonts w:ascii="Calibri" w:cs="Calibri" w:eastAsia="Calibri" w:hAnsi="Calibri"/>
          <w:b/>
          <w:bCs/>
          <w:color w:val="7A4E2E"/>
          <w:sz w:val="23"/>
          <w:szCs w:val="23"/>
        </w:rPr>
        <w:t xml:space="preserve">2.1.4  Weight security is a first-order requirement that merchant silicon does not address</w:t>
      </w:r>
    </w:p>
    <w:p>
      <w:pPr>
        <w:spacing w:after="140" w:line="276"/>
        <w:jc w:val="left"/>
      </w:pPr>
      <w:r>
        <w:rPr>
          <w:rFonts w:ascii="Calibri" w:cs="Calibri" w:eastAsia="Calibri" w:hAnsi="Calibri"/>
          <w:b w:val="false"/>
          <w:bCs w:val="false"/>
          <w:i w:val="false"/>
          <w:iCs w:val="false"/>
          <w:color w:val="000000"/>
          <w:sz w:val="21"/>
          <w:szCs w:val="21"/>
        </w:rPr>
        <w:t xml:space="preserve">A frontier lab operating under a graduated safety framework has obligations around model weight security that scale with capability. Those obligations are, at present, discharged almost entirely in software and in physical datacentre controls, because merchant accelerators offer confidential-computing features designed for a different threat model — protecting a tenant's data from the cloud operator — rather than the one that matters here, which is protecting a small number of extremely valuable weight files from exfiltration by an insider or a compromised host.</w:t>
      </w:r>
    </w:p>
    <w:p>
      <w:pPr>
        <w:spacing w:after="140" w:line="276"/>
        <w:jc w:val="left"/>
      </w:pPr>
      <w:r>
        <w:rPr>
          <w:rFonts w:ascii="Calibri" w:cs="Calibri" w:eastAsia="Calibri" w:hAnsi="Calibri"/>
          <w:b w:val="false"/>
          <w:bCs w:val="false"/>
          <w:i w:val="false"/>
          <w:iCs w:val="false"/>
          <w:color w:val="000000"/>
          <w:sz w:val="21"/>
          <w:szCs w:val="21"/>
        </w:rPr>
        <w:t xml:space="preserve">Section 12 specifies a weight-sealing architecture in which model parameters exist in plaintext only inside the package boundary, keyed to an attested measurement of firmware, runtime, and model manifest. This is achievable in custom silicon and is not purchasable. For an organisation whose deployment standards are tied to weight security, it may be the single most valuable feature in this document.</w:t>
      </w:r>
    </w:p>
    <w:p>
      <w:pPr>
        <w:pStyle w:val="Heading2"/>
        <w:spacing w:after="120" w:before="300"/>
      </w:pPr>
      <w:r>
        <w:rPr>
          <w:rFonts w:ascii="Calibri" w:cs="Calibri" w:eastAsia="Calibri" w:hAnsi="Calibri"/>
          <w:b/>
          <w:bCs/>
          <w:color w:val="1F4E5F"/>
          <w:sz w:val="26"/>
          <w:szCs w:val="26"/>
        </w:rPr>
        <w:t xml:space="preserve">2.2  Why this design rather than the obvious one</w:t>
      </w:r>
    </w:p>
    <w:p>
      <w:pPr>
        <w:spacing w:after="140" w:line="276"/>
        <w:jc w:val="left"/>
      </w:pPr>
      <w:r>
        <w:rPr>
          <w:rFonts w:ascii="Calibri" w:cs="Calibri" w:eastAsia="Calibri" w:hAnsi="Calibri"/>
          <w:b w:val="false"/>
          <w:bCs w:val="false"/>
          <w:i w:val="false"/>
          <w:iCs w:val="false"/>
          <w:color w:val="000000"/>
          <w:sz w:val="21"/>
          <w:szCs w:val="21"/>
        </w:rPr>
        <w:t xml:space="preserve">The obvious design — and the one both OpenAI and, in effect, Google have built — is a large systolic-array ASIC with a reticle-scale compute die and six to eight HBM stacks, running a weight-stationary dataflow, programmed through a graph compiler. It is a good design. It is well understood, it is what Broadcom's and TSMC's flows are tuned for, and it de-risks the programme considerably.</w:t>
      </w:r>
    </w:p>
    <w:p>
      <w:pPr>
        <w:spacing w:after="140" w:line="276"/>
        <w:jc w:val="left"/>
      </w:pPr>
      <w:r>
        <w:rPr>
          <w:rFonts w:ascii="Calibri" w:cs="Calibri" w:eastAsia="Calibri" w:hAnsi="Calibri"/>
          <w:b w:val="false"/>
          <w:bCs w:val="false"/>
          <w:i w:val="false"/>
          <w:iCs w:val="false"/>
          <w:color w:val="000000"/>
          <w:sz w:val="21"/>
          <w:szCs w:val="21"/>
        </w:rPr>
        <w:t xml:space="preserve">SC-1 departs from it in exactly three places, and it is worth stating plainly what each departure costs as well as what it buys.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3744"/>
        <w:gridCol w:w="3370"/>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Departure</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What it buys</w:t>
            </w:r>
          </w:p>
        </w:tc>
        <w:tc>
          <w:tcPr>
            <w:tcW w:type="dxa" w:w="337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What it costs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Four small compute dies instead of one reticle-limit die</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 lower silicon cost at equal compute; ~9 pp additional effective yield from harvest binning; independent SKU composition; shorter mask-set risk exposure per die</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Die-to-die interface power and area (budgeted at 34 W and 11% of CTC edge); hybrid-bonding assembly risk; known-good-die test infrastructure that a monolith does not need; a coherence problem across four dies</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 second, slower attached memory tier</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 total attached capacity at 1/3 the marginal cost per gigabyte; HBM stack count reduced from 8 to 4; session parking; prefix cache residency; MoE cold-expert residency</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 LPDDR6 lanes to route on the substrate; a second memory controller and PHY family; ~50 W; module height and mechanical complexity; a migration engine and its coherence rules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Hardware-managed context tiering with paged KV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Session park/restore at ~97× lower cost than re-prefill; page-level deduplication of shared prefixes; scheduler no longer needs to reason about physical memory placement</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Substantial control complexity in the MHC; a hardware page-table walker with its own TLB; verification surface; a genuine risk that the policy is wrong in ways only production traffic reveals</w:t>
            </w:r>
          </w:p>
        </w:tc>
      </w:tr>
    </w:tbl>
    <w:p>
      <w:pPr>
        <w:spacing w:after="220" w:before="60"/>
      </w:pPr>
      <w:r>
        <w:rPr>
          <w:i/>
          <w:iCs/>
          <w:color w:val="595959"/>
          <w:sz w:val="17"/>
          <w:szCs w:val="17"/>
        </w:rPr>
        <w:t xml:space="preserve">Table 2-1. The three architectural departures and their costs.</w:t>
      </w:r>
    </w:p>
    <w:p>
      <w:pPr>
        <w:spacing w:after="140" w:line="276"/>
        <w:jc w:val="left"/>
      </w:pPr>
      <w:r>
        <w:rPr>
          <w:rFonts w:ascii="Calibri" w:cs="Calibri" w:eastAsia="Calibri" w:hAnsi="Calibri"/>
          <w:b w:val="false"/>
          <w:bCs w:val="false"/>
          <w:i w:val="false"/>
          <w:iCs w:val="false"/>
          <w:color w:val="000000"/>
          <w:sz w:val="21"/>
          <w:szCs w:val="21"/>
        </w:rPr>
        <w:t xml:space="preserve">The third of these is the one a reviewer should scrutinise hardest. Hardware-managed memory tiering has a long history of disappointing its designers, because the policy that is optimal is workload-dependent and the hardware is not. Section 8.6 specifies the escape hatch: every automatic policy in the Context Tier Manager can be disabled and driven explicitly from software, and the design must be validated in that mode before the automatic mode is trusted.</w:t>
      </w:r>
    </w:p>
    <w:p>
      <w:pPr>
        <w:pStyle w:val="Heading2"/>
        <w:spacing w:after="120" w:before="300"/>
      </w:pPr>
      <w:r>
        <w:rPr>
          <w:rFonts w:ascii="Calibri" w:cs="Calibri" w:eastAsia="Calibri" w:hAnsi="Calibri"/>
          <w:b/>
          <w:bCs/>
          <w:color w:val="1F4E5F"/>
          <w:sz w:val="26"/>
          <w:szCs w:val="26"/>
        </w:rPr>
        <w:t xml:space="preserve">2.3  Design axioms</w:t>
      </w:r>
    </w:p>
    <w:p>
      <w:pPr>
        <w:spacing w:after="140" w:line="276"/>
        <w:jc w:val="left"/>
      </w:pPr>
      <w:r>
        <w:rPr>
          <w:rFonts w:ascii="Calibri" w:cs="Calibri" w:eastAsia="Calibri" w:hAnsi="Calibri"/>
          <w:b w:val="false"/>
          <w:bCs w:val="false"/>
          <w:i w:val="false"/>
          <w:iCs w:val="false"/>
          <w:color w:val="000000"/>
          <w:sz w:val="21"/>
          <w:szCs w:val="21"/>
        </w:rPr>
        <w:t xml:space="preserve">The following seven statements were fixed before any block was specified, and every subsequent decision was checked against them. They are stated here so that a reviewer can reject the design at its root rather than in its details.</w:t>
      </w:r>
    </w:p>
    <w:p>
      <w:pPr>
        <w:pStyle w:val="ListParagraph"/>
        <w:numPr>
          <w:ilvl w:val="0"/>
          <w:numId w:val="2"/>
        </w:numPr>
        <w:spacing w:after="60" w:line="264"/>
      </w:pPr>
      <w:r>
        <w:rPr>
          <w:rFonts w:ascii="Calibri" w:cs="Calibri" w:eastAsia="Calibri" w:hAnsi="Calibri"/>
          <w:b/>
          <w:bCs/>
          <w:i w:val="false"/>
          <w:iCs w:val="false"/>
          <w:sz w:val="21"/>
          <w:szCs w:val="21"/>
        </w:rPr>
        <w:t xml:space="preserve">Bytes moved, not operations issued, is the unit of cost. </w:t>
      </w:r>
      <w:r>
        <w:rPr>
          <w:rFonts w:ascii="Calibri" w:cs="Calibri" w:eastAsia="Calibri" w:hAnsi="Calibri"/>
          <w:b w:val="false"/>
          <w:bCs w:val="false"/>
          <w:i w:val="false"/>
          <w:iCs w:val="false"/>
          <w:sz w:val="21"/>
          <w:szCs w:val="21"/>
        </w:rPr>
        <w:t xml:space="preserve">Any feature that reduces bytes moved is worth more than an equivalent area spent on arithmetic. This axiom generated the SRAM sizing, the KV quantisation hardware, the prefix deduplication, and the decision to spend area on a decompression engine.</w:t>
      </w:r>
    </w:p>
    <w:p>
      <w:pPr>
        <w:pStyle w:val="ListParagraph"/>
        <w:numPr>
          <w:ilvl w:val="0"/>
          <w:numId w:val="2"/>
        </w:numPr>
        <w:spacing w:after="60" w:line="264"/>
      </w:pPr>
      <w:r>
        <w:rPr>
          <w:rFonts w:ascii="Calibri" w:cs="Calibri" w:eastAsia="Calibri" w:hAnsi="Calibri"/>
          <w:b/>
          <w:bCs/>
          <w:i w:val="false"/>
          <w:iCs w:val="false"/>
          <w:sz w:val="21"/>
          <w:szCs w:val="21"/>
        </w:rPr>
        <w:t xml:space="preserve">Idle state must be cheap. </w:t>
      </w:r>
      <w:r>
        <w:rPr>
          <w:rFonts w:ascii="Calibri" w:cs="Calibri" w:eastAsia="Calibri" w:hAnsi="Calibri"/>
          <w:b w:val="false"/>
          <w:bCs w:val="false"/>
          <w:i w:val="false"/>
          <w:iCs w:val="false"/>
          <w:sz w:val="21"/>
          <w:szCs w:val="21"/>
        </w:rPr>
        <w:t xml:space="preserve">The fleet's worst inefficiency is expensive memory holding state that is doing nothing. This axiom generated Tier 2 and the Context Tier Manager.</w:t>
      </w:r>
    </w:p>
    <w:p>
      <w:pPr>
        <w:pStyle w:val="ListParagraph"/>
        <w:numPr>
          <w:ilvl w:val="0"/>
          <w:numId w:val="2"/>
        </w:numPr>
        <w:spacing w:after="60" w:line="264"/>
      </w:pPr>
      <w:r>
        <w:rPr>
          <w:rFonts w:ascii="Calibri" w:cs="Calibri" w:eastAsia="Calibri" w:hAnsi="Calibri"/>
          <w:b/>
          <w:bCs/>
          <w:i w:val="false"/>
          <w:iCs w:val="false"/>
          <w:sz w:val="21"/>
          <w:szCs w:val="21"/>
        </w:rPr>
        <w:t xml:space="preserve">Yield is an architectural parameter. </w:t>
      </w:r>
      <w:r>
        <w:rPr>
          <w:rFonts w:ascii="Calibri" w:cs="Calibri" w:eastAsia="Calibri" w:hAnsi="Calibri"/>
          <w:b w:val="false"/>
          <w:bCs w:val="false"/>
          <w:i w:val="false"/>
          <w:iCs w:val="false"/>
          <w:sz w:val="21"/>
          <w:szCs w:val="21"/>
        </w:rPr>
        <w:t xml:space="preserve">Die size is chosen before microarchitecture, not after. This axiom generated the chiplet partition and the node split.</w:t>
      </w:r>
    </w:p>
    <w:p>
      <w:pPr>
        <w:pStyle w:val="ListParagraph"/>
        <w:numPr>
          <w:ilvl w:val="0"/>
          <w:numId w:val="2"/>
        </w:numPr>
        <w:spacing w:after="60" w:line="264"/>
      </w:pPr>
      <w:r>
        <w:rPr>
          <w:rFonts w:ascii="Calibri" w:cs="Calibri" w:eastAsia="Calibri" w:hAnsi="Calibri"/>
          <w:b/>
          <w:bCs/>
          <w:i w:val="false"/>
          <w:iCs w:val="false"/>
          <w:sz w:val="21"/>
          <w:szCs w:val="21"/>
        </w:rPr>
        <w:t xml:space="preserve">Nothing on a leading node that does not need to be. </w:t>
      </w:r>
      <w:r>
        <w:rPr>
          <w:rFonts w:ascii="Calibri" w:cs="Calibri" w:eastAsia="Calibri" w:hAnsi="Calibri"/>
          <w:b w:val="false"/>
          <w:bCs w:val="false"/>
          <w:i w:val="false"/>
          <w:iCs w:val="false"/>
          <w:sz w:val="21"/>
          <w:szCs w:val="21"/>
        </w:rPr>
        <w:t xml:space="preserve">SRAM has essentially stopped scaling below N5; I/O never scaled. Both belong on a mature node. This axiom generated the MHC.</w:t>
      </w:r>
    </w:p>
    <w:p>
      <w:pPr>
        <w:pStyle w:val="ListParagraph"/>
        <w:numPr>
          <w:ilvl w:val="0"/>
          <w:numId w:val="2"/>
        </w:numPr>
        <w:spacing w:after="60" w:line="264"/>
      </w:pPr>
      <w:r>
        <w:rPr>
          <w:rFonts w:ascii="Calibri" w:cs="Calibri" w:eastAsia="Calibri" w:hAnsi="Calibri"/>
          <w:b/>
          <w:bCs/>
          <w:i w:val="false"/>
          <w:iCs w:val="false"/>
          <w:sz w:val="21"/>
          <w:szCs w:val="21"/>
        </w:rPr>
        <w:t xml:space="preserve">The software stack is the programme risk, not the silicon. </w:t>
      </w:r>
      <w:r>
        <w:rPr>
          <w:rFonts w:ascii="Calibri" w:cs="Calibri" w:eastAsia="Calibri" w:hAnsi="Calibri"/>
          <w:b w:val="false"/>
          <w:bCs w:val="false"/>
          <w:i w:val="false"/>
          <w:iCs w:val="false"/>
          <w:sz w:val="21"/>
          <w:szCs w:val="21"/>
        </w:rPr>
        <w:t xml:space="preserve">Custom accelerator programmes fail in the compiler, not the fab. This axiom generated the decision to adopt an XLA/Pallas-compatible programming model rather than inventing one (Section 18).</w:t>
      </w:r>
    </w:p>
    <w:p>
      <w:pPr>
        <w:pStyle w:val="ListParagraph"/>
        <w:numPr>
          <w:ilvl w:val="0"/>
          <w:numId w:val="2"/>
        </w:numPr>
        <w:spacing w:after="60" w:line="264"/>
      </w:pPr>
      <w:r>
        <w:rPr>
          <w:rFonts w:ascii="Calibri" w:cs="Calibri" w:eastAsia="Calibri" w:hAnsi="Calibri"/>
          <w:b/>
          <w:bCs/>
          <w:i w:val="false"/>
          <w:iCs w:val="false"/>
          <w:sz w:val="21"/>
          <w:szCs w:val="21"/>
        </w:rPr>
        <w:t xml:space="preserve">Weights never leave the package in plaintext. </w:t>
      </w:r>
      <w:r>
        <w:rPr>
          <w:rFonts w:ascii="Calibri" w:cs="Calibri" w:eastAsia="Calibri" w:hAnsi="Calibri"/>
          <w:b w:val="false"/>
          <w:bCs w:val="false"/>
          <w:i w:val="false"/>
          <w:iCs w:val="false"/>
          <w:sz w:val="21"/>
          <w:szCs w:val="21"/>
        </w:rPr>
        <w:t xml:space="preserve">This axiom generated the entirety of Section 12 and constrained the memory controller design.</w:t>
      </w:r>
    </w:p>
    <w:p>
      <w:pPr>
        <w:pStyle w:val="ListParagraph"/>
        <w:numPr>
          <w:ilvl w:val="0"/>
          <w:numId w:val="2"/>
        </w:numPr>
        <w:spacing w:after="60" w:line="264"/>
      </w:pPr>
      <w:r>
        <w:rPr>
          <w:rFonts w:ascii="Calibri" w:cs="Calibri" w:eastAsia="Calibri" w:hAnsi="Calibri"/>
          <w:b/>
          <w:bCs/>
          <w:i w:val="false"/>
          <w:iCs w:val="false"/>
          <w:sz w:val="21"/>
          <w:szCs w:val="21"/>
        </w:rPr>
        <w:t xml:space="preserve">Secondary material is the default; primary material must be justified. </w:t>
      </w:r>
      <w:r>
        <w:rPr>
          <w:rFonts w:ascii="Calibri" w:cs="Calibri" w:eastAsia="Calibri" w:hAnsi="Calibri"/>
          <w:b w:val="false"/>
          <w:bCs w:val="false"/>
          <w:i w:val="false"/>
          <w:iCs w:val="false"/>
          <w:sz w:val="21"/>
          <w:szCs w:val="21"/>
        </w:rPr>
        <w:t xml:space="preserve">This axiom generated Section 15 and, in two places, changed a materials choice.</w:t>
      </w:r>
    </w:p>
    <w:p>
      <w:r>
        <w:br w:type="page"/>
      </w:r>
    </w:p>
    <w:p>
      <w:pPr>
        <w:pStyle w:val="Heading1"/>
        <w:spacing w:after="160" w:before="400"/>
      </w:pPr>
      <w:r>
        <w:rPr>
          <w:rFonts w:ascii="Calibri" w:cs="Calibri" w:eastAsia="Calibri" w:hAnsi="Calibri"/>
          <w:b/>
          <w:bCs/>
          <w:color w:val="1F4E5F"/>
          <w:sz w:val="32"/>
          <w:szCs w:val="32"/>
        </w:rPr>
        <w:t xml:space="preserve">3.  Competitive Landscape</w:t>
      </w:r>
    </w:p>
    <w:p>
      <w:pPr>
        <w:spacing w:after="140" w:line="276"/>
        <w:jc w:val="left"/>
      </w:pPr>
      <w:r>
        <w:rPr>
          <w:rFonts w:ascii="Calibri" w:cs="Calibri" w:eastAsia="Calibri" w:hAnsi="Calibri"/>
          <w:b w:val="false"/>
          <w:bCs w:val="false"/>
          <w:i w:val="false"/>
          <w:iCs w:val="false"/>
          <w:color w:val="000000"/>
          <w:sz w:val="21"/>
          <w:szCs w:val="21"/>
        </w:rPr>
        <w:t xml:space="preserve">This section establishes what the incumbents actually are, using published information only. Where a figure is unpublished, it is marked as such rather than estimated, except where a physical estimate can be made from public imagery — in which case the method is given.</w:t>
      </w:r>
    </w:p>
    <w:p>
      <w:pPr>
        <w:pStyle w:val="Heading2"/>
        <w:spacing w:after="120" w:before="300"/>
      </w:pPr>
      <w:r>
        <w:rPr>
          <w:rFonts w:ascii="Calibri" w:cs="Calibri" w:eastAsia="Calibri" w:hAnsi="Calibri"/>
          <w:b/>
          <w:bCs/>
          <w:color w:val="1F4E5F"/>
          <w:sz w:val="26"/>
          <w:szCs w:val="26"/>
        </w:rPr>
        <w:t xml:space="preserve">3.1  NVIDIA Blackwell and Blackwell Ultra</w:t>
      </w:r>
    </w:p>
    <w:p>
      <w:pPr>
        <w:pStyle w:val="Heading3"/>
        <w:spacing w:after="100" w:before="240"/>
      </w:pPr>
      <w:r>
        <w:rPr>
          <w:rFonts w:ascii="Calibri" w:cs="Calibri" w:eastAsia="Calibri" w:hAnsi="Calibri"/>
          <w:b/>
          <w:bCs/>
          <w:color w:val="7A4E2E"/>
          <w:sz w:val="23"/>
          <w:szCs w:val="23"/>
        </w:rPr>
        <w:t xml:space="preserve">3.1.1  What Blackwell is</w:t>
      </w:r>
    </w:p>
    <w:p>
      <w:pPr>
        <w:spacing w:after="140" w:line="276"/>
        <w:jc w:val="left"/>
      </w:pPr>
      <w:r>
        <w:rPr>
          <w:rFonts w:ascii="Calibri" w:cs="Calibri" w:eastAsia="Calibri" w:hAnsi="Calibri"/>
          <w:b w:val="false"/>
          <w:bCs w:val="false"/>
          <w:i w:val="false"/>
          <w:iCs w:val="false"/>
          <w:color w:val="000000"/>
          <w:sz w:val="21"/>
          <w:szCs w:val="21"/>
        </w:rPr>
        <w:t xml:space="preserve">The Blackwell B200 is a dual-die accelerator. Each of the two compute dies is at the reticle limit — NVIDIA's own technical brief describes them as "the largest die possible within the limits of reticle size" — and the two are joined by a 10 TB/s chip-to-chip interface, NV-HBI, that presents them to software as one coherent GPU. The part carries 208 billion transistors on TSMC 4NP and 192 GB of HBM3E across eight stacks at 8 TB/s, with each compute die driving a 4,096-bit interface to its four adjacent stacks. Fifth-generation NVLink provides 1.8 TB/s of bidirectional bandwidth per GPU across 18 links at 200 Gb/s per lane. TDP is configurable to 1,000 W, and above roughly 700 W liquid cooling is effectively mandatory.</w:t>
      </w:r>
    </w:p>
    <w:p>
      <w:pPr>
        <w:pStyle w:val="Heading3"/>
        <w:spacing w:after="100" w:before="240"/>
      </w:pPr>
      <w:r>
        <w:rPr>
          <w:rFonts w:ascii="Calibri" w:cs="Calibri" w:eastAsia="Calibri" w:hAnsi="Calibri"/>
          <w:b/>
          <w:bCs/>
          <w:color w:val="7A4E2E"/>
          <w:sz w:val="23"/>
          <w:szCs w:val="23"/>
        </w:rPr>
        <w:t xml:space="preserve">3.1.2  What Blackwell Ultra adds</w:t>
      </w:r>
    </w:p>
    <w:p>
      <w:pPr>
        <w:spacing w:after="140" w:line="276"/>
        <w:jc w:val="left"/>
      </w:pPr>
      <w:r>
        <w:rPr>
          <w:rFonts w:ascii="Calibri" w:cs="Calibri" w:eastAsia="Calibri" w:hAnsi="Calibri"/>
          <w:b w:val="false"/>
          <w:bCs w:val="false"/>
          <w:i w:val="false"/>
          <w:iCs w:val="false"/>
          <w:color w:val="000000"/>
          <w:sz w:val="21"/>
          <w:szCs w:val="21"/>
        </w:rPr>
        <w:t xml:space="preserve">The GB300 / B300 generation is a mid-cycle refresh oriented explicitly at inference-time scaling — what NVIDIA's marketing calls "the age of AI reasoning". The changes that matter architecturally are: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Memory grows from 192 GB to 279 GB of HBM3E at 8 TB/s — a 1.5× capacity increase with no bandwidth increase. This is a direct admission that capacity, not bandwidth, had become the binding constraint for long-context serving.</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Attention-layer throughput doubles relative to Blackwell, via new instructions targeting long input sequences. NVIDIA quotes 2.5× the attention performance of Hopper.</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FP4 tensor throughput rises to 20 PFLOPS sparse / 15 PFLOPS dense, with FP8 and FP6 at 10 PFLOPS sparse / 5 PFLOPS dense.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Networking doubles to 800 Gb/s per GPU via ConnectX-8.</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TDP rises to a configurable 1,400 W, which is the price paid for all of the above.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932"/>
        <w:gridCol w:w="2714"/>
        <w:gridCol w:w="2714"/>
      </w:tblGrid>
      <w:tr>
        <w:trPr>
          <w:cantSplit/>
          <w:tblHeader/>
        </w:trPr>
        <w:tc>
          <w:tcPr>
            <w:tcW w:type="dxa" w:w="393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Blackwell Ultra GPU — published specification</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GB300 NVL72 variant</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HGX B300 variant</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FP4 Tensor Core (sparse | dense)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 | 15 PFLOPS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 | 14 PFLOPS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FP8 / FP6 Tensor Core (sparse)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 PFLOPS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 PFLOPS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INT8 Tensor Core (sparse)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330 TOPS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307 TOPS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FP16 / BF16 Tensor Core (sparse)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 PFLOPS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4.5 PFLOPS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TF32 Tensor Core (sparse)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 PFLOPS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 PFLOPS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FP32</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 TFLOPS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75 TFLOPS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FP64 / FP64 Tensor Core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 TFLOPS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 TFLOPS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GPU memory | bandwidth</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279 GB HBM3E | 8 TB/s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270 GB HBM3E | 7.7 TB/s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Max TDP</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configurable to 1,400 W</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configurable to 1,100 W</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Interconnect</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NVLink 5: 1.8 TB/s; PCIe Gen6: 256 GB/s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as GB300</w:t>
            </w:r>
          </w:p>
        </w:tc>
      </w:tr>
    </w:tbl>
    <w:p>
      <w:pPr>
        <w:spacing w:after="220" w:before="60"/>
      </w:pPr>
      <w:r>
        <w:rPr>
          <w:i/>
          <w:iCs/>
          <w:color w:val="595959"/>
          <w:sz w:val="17"/>
          <w:szCs w:val="17"/>
        </w:rPr>
        <w:t xml:space="preserve">Table 3-1. NVIDIA Blackwell Ultra published specifications, from the NVIDIA Blackwell Ultra datasheet (Oct 2025) supplied with this project.</w:t>
      </w:r>
    </w:p>
    <w:p>
      <w:pPr>
        <w:pStyle w:val="Heading3"/>
        <w:spacing w:after="100" w:before="240"/>
      </w:pPr>
      <w:r>
        <w:rPr>
          <w:rFonts w:ascii="Calibri" w:cs="Calibri" w:eastAsia="Calibri" w:hAnsi="Calibri"/>
          <w:b/>
          <w:bCs/>
          <w:color w:val="7A4E2E"/>
          <w:sz w:val="23"/>
          <w:szCs w:val="23"/>
        </w:rPr>
        <w:t xml:space="preserve">3.1.3  What Blackwell tells us that matters for SC-1</w:t>
      </w:r>
    </w:p>
    <w:p>
      <w:pPr>
        <w:spacing w:after="140" w:line="276"/>
        <w:jc w:val="left"/>
      </w:pPr>
      <w:r>
        <w:rPr>
          <w:rFonts w:ascii="Calibri" w:cs="Calibri" w:eastAsia="Calibri" w:hAnsi="Calibri"/>
          <w:b w:val="false"/>
          <w:bCs w:val="false"/>
          <w:i w:val="false"/>
          <w:iCs w:val="false"/>
          <w:color w:val="000000"/>
          <w:sz w:val="21"/>
          <w:szCs w:val="21"/>
        </w:rPr>
        <w:t xml:space="preserve">Three things, and they are the most useful competitive intelligence available because they are the choices NVIDIA made under real constraints:</w:t>
      </w:r>
    </w:p>
    <w:p>
      <w:pPr>
        <w:pStyle w:val="ListParagraph"/>
        <w:numPr>
          <w:ilvl w:val="0"/>
          <w:numId w:val="2"/>
        </w:numPr>
        <w:spacing w:after="60" w:line="264"/>
      </w:pPr>
      <w:r>
        <w:rPr>
          <w:rFonts w:ascii="Calibri" w:cs="Calibri" w:eastAsia="Calibri" w:hAnsi="Calibri"/>
          <w:b/>
          <w:bCs/>
          <w:i w:val="false"/>
          <w:iCs w:val="false"/>
          <w:sz w:val="21"/>
          <w:szCs w:val="21"/>
        </w:rPr>
        <w:t xml:space="preserve">NVIDIA spent the Ultra refresh on memory capacity and attention, not on FLOPS. </w:t>
      </w:r>
      <w:r>
        <w:rPr>
          <w:rFonts w:ascii="Calibri" w:cs="Calibri" w:eastAsia="Calibri" w:hAnsi="Calibri"/>
          <w:b w:val="false"/>
          <w:bCs w:val="false"/>
          <w:i w:val="false"/>
          <w:iCs w:val="false"/>
          <w:sz w:val="21"/>
          <w:szCs w:val="21"/>
        </w:rPr>
        <w:t xml:space="preserve">Capacity went up 1.5×, attention throughput 2×, and dense FP4 only 1.5× while power went up 1.4×. When the company with the best information in the industry spends a refresh on capacity and attention, that is a strong signal about where the bottleneck is. SC-1 takes the same signal further: 2.5× the attached capacity, and a dedicated attention datapath rather than an instruction-set extension.</w:t>
      </w:r>
    </w:p>
    <w:p>
      <w:pPr>
        <w:pStyle w:val="ListParagraph"/>
        <w:numPr>
          <w:ilvl w:val="0"/>
          <w:numId w:val="2"/>
        </w:numPr>
        <w:spacing w:after="60" w:line="264"/>
      </w:pPr>
      <w:r>
        <w:rPr>
          <w:rFonts w:ascii="Calibri" w:cs="Calibri" w:eastAsia="Calibri" w:hAnsi="Calibri"/>
          <w:b/>
          <w:bCs/>
          <w:i w:val="false"/>
          <w:iCs w:val="false"/>
          <w:sz w:val="21"/>
          <w:szCs w:val="21"/>
        </w:rPr>
        <w:t xml:space="preserve">Rack-scale is the unit of competition, not the chip. </w:t>
      </w:r>
      <w:r>
        <w:rPr>
          <w:rFonts w:ascii="Calibri" w:cs="Calibri" w:eastAsia="Calibri" w:hAnsi="Calibri"/>
          <w:b w:val="false"/>
          <w:bCs w:val="false"/>
          <w:i w:val="false"/>
          <w:iCs w:val="false"/>
          <w:sz w:val="21"/>
          <w:szCs w:val="21"/>
        </w:rPr>
        <w:t xml:space="preserve">GB300 NVL72 is a 72-GPU coherent NVLink domain with 37 TB of fast memory and 130 TB/s of switch bandwidth, liquid-cooled as a single machine. Any competing part must be specified at rack scale or it is not competing. Section 19 does this.</w:t>
      </w:r>
    </w:p>
    <w:p>
      <w:pPr>
        <w:pStyle w:val="ListParagraph"/>
        <w:numPr>
          <w:ilvl w:val="0"/>
          <w:numId w:val="2"/>
        </w:numPr>
        <w:spacing w:after="60" w:line="264"/>
      </w:pPr>
      <w:r>
        <w:rPr>
          <w:rFonts w:ascii="Calibri" w:cs="Calibri" w:eastAsia="Calibri" w:hAnsi="Calibri"/>
          <w:b/>
          <w:bCs/>
          <w:i w:val="false"/>
          <w:iCs w:val="false"/>
          <w:sz w:val="21"/>
          <w:szCs w:val="21"/>
        </w:rPr>
        <w:t xml:space="preserve">The power envelope has become the design constraint. </w:t>
      </w:r>
      <w:r>
        <w:rPr>
          <w:rFonts w:ascii="Calibri" w:cs="Calibri" w:eastAsia="Calibri" w:hAnsi="Calibri"/>
          <w:b w:val="false"/>
          <w:bCs w:val="false"/>
          <w:i w:val="false"/>
          <w:iCs w:val="false"/>
          <w:sz w:val="21"/>
          <w:szCs w:val="21"/>
        </w:rPr>
        <w:t xml:space="preserve">1,400 W per accelerator, in a 72-GPU rack, is a facility problem before it is a silicon problem. SC-1's 850 W is not a modesty; it is a deliberate choice to fit more accelerators per megawatt of provisioned facility power, which is the resource that is actually scarce.</w:t>
      </w:r>
    </w:p>
    <w:p>
      <w:pPr>
        <w:pStyle w:val="Heading2"/>
        <w:spacing w:after="120" w:before="300"/>
      </w:pPr>
      <w:r>
        <w:rPr>
          <w:rFonts w:ascii="Calibri" w:cs="Calibri" w:eastAsia="Calibri" w:hAnsi="Calibri"/>
          <w:b/>
          <w:bCs/>
          <w:color w:val="1F4E5F"/>
          <w:sz w:val="26"/>
          <w:szCs w:val="26"/>
        </w:rPr>
        <w:t xml:space="preserve">3.2  OpenAI Jalapeño</w:t>
      </w:r>
    </w:p>
    <w:p>
      <w:pPr>
        <w:pStyle w:val="Heading3"/>
        <w:spacing w:after="100" w:before="240"/>
      </w:pPr>
      <w:r>
        <w:rPr>
          <w:rFonts w:ascii="Calibri" w:cs="Calibri" w:eastAsia="Calibri" w:hAnsi="Calibri"/>
          <w:b/>
          <w:bCs/>
          <w:color w:val="7A4E2E"/>
          <w:sz w:val="23"/>
          <w:szCs w:val="23"/>
        </w:rPr>
        <w:t xml:space="preserve">3.2.1  What is publicly known</w:t>
      </w:r>
    </w:p>
    <w:p>
      <w:pPr>
        <w:spacing w:after="140" w:line="276"/>
        <w:jc w:val="left"/>
      </w:pPr>
      <w:r>
        <w:rPr>
          <w:rFonts w:ascii="Calibri" w:cs="Calibri" w:eastAsia="Calibri" w:hAnsi="Calibri"/>
          <w:b w:val="false"/>
          <w:bCs w:val="false"/>
          <w:i w:val="false"/>
          <w:iCs w:val="false"/>
          <w:color w:val="000000"/>
          <w:sz w:val="21"/>
          <w:szCs w:val="21"/>
        </w:rPr>
        <w:t xml:space="preserve">Jalapeño was unveiled on 24 June 2026 as OpenAI's first "Intelligence Processor", co-developed with Broadcom and industrialised with Celestica. The published facts are sparse and are worth separating from the commentary:</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It is an inference ASIC, explicitly not a repurposed training accelerator, architected around OpenAI's model roadmap, kernels, serving systems, and product needs.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Design-to-tape-out took approximately nine months, assisted by OpenAI's own models. Broadcom's reuse of existing logic across custom designs is a plausible contributing factor.</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Engineering samples are running production workloads in the lab at target frequency and power, including GPT-5.3-Codex-Spark.</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OpenAI claims performance per watt "substantially better than current state-of-the-art", with a technical report promised later. No benchmark, memory configuration, clock, power, or die specification has been released.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The stated architectural goals are reducing data movement, balancing compute against memory and networking, and achieving realised utilisation much closer to theoretical peak.</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Deployment is planned from late 2026 at gigawatt scale with Microsoft and other partners, across multiple generations.</w:t>
      </w:r>
    </w:p>
    <w:p>
      <w:pPr>
        <w:pStyle w:val="Heading3"/>
        <w:spacing w:after="100" w:before="240"/>
      </w:pPr>
      <w:r>
        <w:rPr>
          <w:rFonts w:ascii="Calibri" w:cs="Calibri" w:eastAsia="Calibri" w:hAnsi="Calibri"/>
          <w:b/>
          <w:bCs/>
          <w:color w:val="7A4E2E"/>
          <w:sz w:val="23"/>
          <w:szCs w:val="23"/>
        </w:rPr>
        <w:t xml:space="preserve">3.2.2  What can be inferred from the published imagery</w:t>
      </w:r>
    </w:p>
    <w:p>
      <w:pPr>
        <w:spacing w:after="140" w:line="276"/>
        <w:jc w:val="left"/>
      </w:pPr>
      <w:r>
        <w:rPr>
          <w:rFonts w:ascii="Calibri" w:cs="Calibri" w:eastAsia="Calibri" w:hAnsi="Calibri"/>
          <w:b w:val="false"/>
          <w:bCs w:val="false"/>
          <w:i w:val="false"/>
          <w:iCs w:val="false"/>
          <w:color w:val="000000"/>
          <w:sz w:val="21"/>
          <w:szCs w:val="21"/>
        </w:rPr>
        <w:t xml:space="preserve">OpenAI released photographs of the wafer and the package. Analysis by Tom's Hardware, which this document adopts with the same caveats its author attached to it, reads the package as one large compute chiplet surrounded by six HBM modules, plus a second chiplet that probably carries I/O, flanked by two structural dummy dies. Scaling against the known 10.975 mm × 10.975 mm footprint of an HBM3/HBM4 package gives a compute die of approximately 25.46 mm × 33 mm, or about 840 mm² — close to the 858 mm² EUV reticle limit.</w:t>
      </w:r>
    </w:p>
    <w:p>
      <w:pPr>
        <w:spacing w:after="140" w:line="276"/>
        <w:jc w:val="left"/>
      </w:pPr>
      <w:r>
        <w:rPr>
          <w:rFonts w:ascii="Calibri" w:cs="Calibri" w:eastAsia="Calibri" w:hAnsi="Calibri"/>
          <w:b w:val="false"/>
          <w:bCs w:val="false"/>
          <w:i w:val="false"/>
          <w:iCs w:val="false"/>
          <w:color w:val="000000"/>
          <w:sz w:val="21"/>
          <w:szCs w:val="21"/>
        </w:rPr>
        <w:t xml:space="preserve">The die photograph shows a highly regular, repeated, columnar floorplan consistent with a tiled accelerator, though it is not sharp enough to distinguish a true two-dimensional systolic array from a set of matrix engines or vector tiles. The presence of structural dummy dies is itself informative: it indicates a package whose mechanical and thermal design required filler where no active silicon was needed, which is characteristic of a CoWoS-class 2.5D assembly built around a single dominant die.</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An inference about Jalapeño worth stating</w:t>
            </w:r>
          </w:p>
          <w:p>
            <w:pPr>
              <w:spacing w:after="100" w:line="264"/>
            </w:pPr>
            <w:r>
              <w:rPr>
                <w:sz w:val="20"/>
                <w:szCs w:val="20"/>
              </w:rPr>
              <w:t xml:space="preserve">OpenAI chose one large compute die rather than several small ones, and chose HBM rather than a mixed memory hierarchy. Tom's Hardware reads the first choice as latency-motivated, and that is plausible. But it is also the choice that maximises cost per good die and maximises exposure to HBM allocation.</w:t>
            </w:r>
          </w:p>
          <w:p>
            <w:pPr>
              <w:spacing w:after="100" w:line="264"/>
            </w:pPr>
            <w:r>
              <w:rPr>
                <w:sz w:val="20"/>
                <w:szCs w:val="20"/>
              </w:rPr>
              <w:t xml:space="preserve">If that reading is right, then the two places where a competitor can beat Jalapeño on cost are exactly the two places SC-1 attacks: the die partition and the memory hierarchy. That is not a coincidence — the analysis came first — but it is a useful confirmation that the strategy is aimed at a real gap rather than an imagined one.</w:t>
            </w:r>
          </w:p>
          <w:p>
            <w:pPr>
              <w:spacing w:after="40" w:line="264"/>
            </w:pPr>
            <w:r>
              <w:rPr>
                <w:sz w:val="20"/>
                <w:szCs w:val="20"/>
              </w:rPr>
              <w:t xml:space="preserve">The countervailing risk is equally worth stating: OpenAI may have chosen the monolith because the coherence and latency costs of a four-die partition are worse in practice than this document models them. Section 22 carries this as risk R-04, and Section 24 asks it as an open question.</w:t>
            </w:r>
          </w:p>
        </w:tc>
      </w:tr>
    </w:tbl>
    <w:p>
      <w:pPr>
        <w:pStyle w:val="Heading2"/>
        <w:spacing w:after="120" w:before="300"/>
      </w:pPr>
      <w:r>
        <w:rPr>
          <w:rFonts w:ascii="Calibri" w:cs="Calibri" w:eastAsia="Calibri" w:hAnsi="Calibri"/>
          <w:b/>
          <w:bCs/>
          <w:color w:val="1F4E5F"/>
          <w:sz w:val="26"/>
          <w:szCs w:val="26"/>
        </w:rPr>
        <w:t xml:space="preserve">3.3  The relevant incumbents inside the fleet</w:t>
      </w:r>
    </w:p>
    <w:p>
      <w:pPr>
        <w:spacing w:after="140" w:line="276"/>
        <w:jc w:val="left"/>
      </w:pPr>
      <w:r>
        <w:rPr>
          <w:rFonts w:ascii="Calibri" w:cs="Calibri" w:eastAsia="Calibri" w:hAnsi="Calibri"/>
          <w:b w:val="false"/>
          <w:bCs w:val="false"/>
          <w:i w:val="false"/>
          <w:iCs w:val="false"/>
          <w:color w:val="000000"/>
          <w:sz w:val="21"/>
          <w:szCs w:val="21"/>
        </w:rPr>
        <w:t xml:space="preserve">SC-1 would not be deployed into a vacuum. It would be deployed alongside Trainium and TPU capacity that already serves Claude at scale, and the comparison that actually determines whether the programme is worth doing is against those parts, not against NVIDIA.</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497"/>
        <w:gridCol w:w="1030"/>
        <w:gridCol w:w="1498"/>
        <w:gridCol w:w="1591"/>
        <w:gridCol w:w="3744"/>
      </w:tblGrid>
      <w:tr>
        <w:trPr>
          <w:cantSplit/>
          <w:tblHeader/>
        </w:trPr>
        <w:tc>
          <w:tcPr>
            <w:tcW w:type="dxa" w:w="149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Part</w:t>
            </w:r>
          </w:p>
        </w:tc>
        <w:tc>
          <w:tcPr>
            <w:tcW w:type="dxa" w:w="103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Node</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Peak compute</w:t>
            </w:r>
          </w:p>
        </w:tc>
        <w:tc>
          <w:tcPr>
            <w:tcW w:type="dxa" w:w="159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Memory</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Relevance to SC-1</w:t>
            </w:r>
          </w:p>
        </w:tc>
      </w:tr>
      <w:tr>
        <w:trPr>
          <w:cantSplit/>
          <w:tblHeader w:val="false"/>
        </w:trPr>
        <w:tc>
          <w:tcPr>
            <w:tcW w:type="dxa" w:w="149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AWS Trainium3</w:t>
            </w:r>
          </w:p>
        </w:tc>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N3P</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2.52 PFLOPS MXFP8</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144 GB HBM3E, 4.9 TB/s</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incumbent. Eight NeuronCore-v4 engines, each with 128×128 BF16 and 512×128 MXFP8 systolic arrays and 32 MiB of dedicated SRAM; 2 TB/s NeuronLink-v4 between chips. AWS claims up to 4× the performance per watt of Trainium2. SC-1 must beat this on cost per token or the programme has no purpose.</w:t>
            </w:r>
          </w:p>
        </w:tc>
      </w:tr>
      <w:tr>
        <w:trPr>
          <w:cantSplit/>
          <w:tblHeader w:val="false"/>
        </w:trPr>
        <w:tc>
          <w:tcPr>
            <w:tcW w:type="dxa" w:w="149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Google TPU v7 (Ironwood)</w:t>
            </w:r>
          </w:p>
        </w:tc>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published</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fully published</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HBM3E</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Google claims approximately 2× the performance per watt of Trillium. The TPU programming model — XLA, Pallas — is the model SC-1 should adopt, because kernels already exist for it inside the fleet.</w:t>
            </w:r>
          </w:p>
        </w:tc>
      </w:tr>
      <w:tr>
        <w:trPr>
          <w:cantSplit/>
          <w:tblHeader w:val="false"/>
        </w:trPr>
        <w:tc>
          <w:tcPr>
            <w:tcW w:type="dxa" w:w="149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Microsoft Maia 200</w:t>
            </w:r>
          </w:p>
        </w:tc>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published</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published</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published</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Designed around performance per dollar and per watt for large inference deployments within a 750 W system-on-chip envelope, with custom networking and cooling. Confirms that sub-kilowatt envelopes are the direction of travel for inference-specific parts.</w:t>
            </w:r>
          </w:p>
        </w:tc>
      </w:tr>
      <w:tr>
        <w:trPr>
          <w:cantSplit/>
          <w:tblHeader w:val="false"/>
        </w:trPr>
        <w:tc>
          <w:tcPr>
            <w:tcW w:type="dxa" w:w="149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NVIDIA GB300</w:t>
            </w:r>
          </w:p>
        </w:tc>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4NP</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 PFLOPS dense FP4</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279 GB HBM3E, 8 TB/s</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performance reference and the price ceiling.</w:t>
            </w:r>
          </w:p>
        </w:tc>
      </w:tr>
    </w:tbl>
    <w:p>
      <w:pPr>
        <w:spacing w:after="220" w:before="60"/>
      </w:pPr>
      <w:r>
        <w:rPr>
          <w:i/>
          <w:iCs/>
          <w:color w:val="595959"/>
          <w:sz w:val="17"/>
          <w:szCs w:val="17"/>
        </w:rPr>
        <w:t xml:space="preserve">Table 3-2. Incumbent accelerators relevant to the SC-1 decision.</w:t>
      </w:r>
    </w:p>
    <w:p>
      <w:pPr>
        <w:spacing w:after="140" w:line="276"/>
        <w:jc w:val="left"/>
      </w:pPr>
      <w:r>
        <w:rPr>
          <w:rFonts w:ascii="Calibri" w:cs="Calibri" w:eastAsia="Calibri" w:hAnsi="Calibri"/>
          <w:b w:val="false"/>
          <w:bCs w:val="false"/>
          <w:i w:val="false"/>
          <w:iCs w:val="false"/>
          <w:color w:val="000000"/>
          <w:sz w:val="21"/>
          <w:szCs w:val="21"/>
        </w:rPr>
        <w:t xml:space="preserve">The Trainium3 comparison is instructive in one specific respect. Its NeuronCore-v4 pairs a 128×128 BF16 array with a 512×128 MXFP8 array and 32 MiB of local SRAM per engine — 256 MiB of SRAM across eight engines. That is a far larger SRAM-to-compute ratio than a GPU carries, and it is the right instinct. SC-1 takes it further still, to 512 MB, on the grounds that SRAM on a mature node is the cheapest bandwidth in the system by a wide margin (Section 7.1).</w:t>
      </w:r>
    </w:p>
    <w:p>
      <w:pPr>
        <w:pStyle w:val="Heading2"/>
        <w:spacing w:after="120" w:before="300"/>
      </w:pPr>
      <w:r>
        <w:rPr>
          <w:rFonts w:ascii="Calibri" w:cs="Calibri" w:eastAsia="Calibri" w:hAnsi="Calibri"/>
          <w:b/>
          <w:bCs/>
          <w:color w:val="1F4E5F"/>
          <w:sz w:val="26"/>
          <w:szCs w:val="26"/>
        </w:rPr>
        <w:t xml:space="preserve">3.4  Where SC-1 does not compete</w:t>
      </w:r>
    </w:p>
    <w:p>
      <w:pPr>
        <w:spacing w:after="140" w:line="276"/>
        <w:jc w:val="left"/>
      </w:pPr>
      <w:r>
        <w:rPr>
          <w:rFonts w:ascii="Calibri" w:cs="Calibri" w:eastAsia="Calibri" w:hAnsi="Calibri"/>
          <w:b w:val="false"/>
          <w:bCs w:val="false"/>
          <w:i w:val="false"/>
          <w:iCs w:val="false"/>
          <w:color w:val="000000"/>
          <w:sz w:val="21"/>
          <w:szCs w:val="21"/>
        </w:rPr>
        <w:t xml:space="preserve">Stating this explicitly is a condition of the document being useful.</w:t>
      </w:r>
    </w:p>
    <w:p>
      <w:pPr>
        <w:pStyle w:val="ListParagraph"/>
        <w:numPr>
          <w:ilvl w:val="0"/>
          <w:numId w:val="3"/>
        </w:numPr>
        <w:spacing w:after="60" w:line="264"/>
      </w:pPr>
      <w:r>
        <w:rPr>
          <w:rFonts w:ascii="Calibri" w:cs="Calibri" w:eastAsia="Calibri" w:hAnsi="Calibri"/>
          <w:b/>
          <w:bCs/>
          <w:i w:val="false"/>
          <w:iCs w:val="false"/>
          <w:sz w:val="21"/>
          <w:szCs w:val="21"/>
        </w:rPr>
        <w:t xml:space="preserve">Training. </w:t>
      </w:r>
      <w:r>
        <w:rPr>
          <w:rFonts w:ascii="Calibri" w:cs="Calibri" w:eastAsia="Calibri" w:hAnsi="Calibri"/>
          <w:b w:val="false"/>
          <w:bCs w:val="false"/>
          <w:i w:val="false"/>
          <w:iCs w:val="false"/>
          <w:sz w:val="21"/>
          <w:szCs w:val="21"/>
        </w:rPr>
        <w:t xml:space="preserve">SC-1 has no FP32 accumulation at rate, no gradient-optimised collectives, no optimiser-state memory provision, and a numerics stack tuned for inference dynamic range. It could execute a fine-tuning pass; it would be a poor choice for pre-training and should not be proposed for it.</w:t>
      </w:r>
    </w:p>
    <w:p>
      <w:pPr>
        <w:pStyle w:val="ListParagraph"/>
        <w:numPr>
          <w:ilvl w:val="0"/>
          <w:numId w:val="3"/>
        </w:numPr>
        <w:spacing w:after="60" w:line="264"/>
      </w:pPr>
      <w:r>
        <w:rPr>
          <w:rFonts w:ascii="Calibri" w:cs="Calibri" w:eastAsia="Calibri" w:hAnsi="Calibri"/>
          <w:b/>
          <w:bCs/>
          <w:i w:val="false"/>
          <w:iCs w:val="false"/>
          <w:sz w:val="21"/>
          <w:szCs w:val="21"/>
        </w:rPr>
        <w:t xml:space="preserve">Peak FLOPS benchmarks. </w:t>
      </w:r>
      <w:r>
        <w:rPr>
          <w:rFonts w:ascii="Calibri" w:cs="Calibri" w:eastAsia="Calibri" w:hAnsi="Calibri"/>
          <w:b w:val="false"/>
          <w:bCs w:val="false"/>
          <w:i w:val="false"/>
          <w:iCs w:val="false"/>
          <w:sz w:val="21"/>
          <w:szCs w:val="21"/>
        </w:rPr>
        <w:t xml:space="preserve">It will lose to Blackwell Ultra on dense FP4 and will lose badly to Vera Rubin. Any evaluation framed on peak arithmetic will conclude the programme is not worth doing.</w:t>
      </w:r>
    </w:p>
    <w:p>
      <w:pPr>
        <w:pStyle w:val="ListParagraph"/>
        <w:numPr>
          <w:ilvl w:val="0"/>
          <w:numId w:val="3"/>
        </w:numPr>
        <w:spacing w:after="60" w:line="264"/>
      </w:pPr>
      <w:r>
        <w:rPr>
          <w:rFonts w:ascii="Calibri" w:cs="Calibri" w:eastAsia="Calibri" w:hAnsi="Calibri"/>
          <w:b/>
          <w:bCs/>
          <w:i w:val="false"/>
          <w:iCs w:val="false"/>
          <w:sz w:val="21"/>
          <w:szCs w:val="21"/>
        </w:rPr>
        <w:t xml:space="preserve">Short-context, small-model, high-batch serving. </w:t>
      </w:r>
      <w:r>
        <w:rPr>
          <w:rFonts w:ascii="Calibri" w:cs="Calibri" w:eastAsia="Calibri" w:hAnsi="Calibri"/>
          <w:b w:val="false"/>
          <w:bCs w:val="false"/>
          <w:i w:val="false"/>
          <w:iCs w:val="false"/>
          <w:sz w:val="21"/>
          <w:szCs w:val="21"/>
        </w:rPr>
        <w:t xml:space="preserve">At 2 K context with a 7-billion-parameter model at high batch, the workload is compute-bound and the memory architecture that makes SC-1 valuable is dead weight. A merchant GPU is the right part for that.</w:t>
      </w:r>
    </w:p>
    <w:p>
      <w:pPr>
        <w:pStyle w:val="ListParagraph"/>
        <w:numPr>
          <w:ilvl w:val="0"/>
          <w:numId w:val="3"/>
        </w:numPr>
        <w:spacing w:after="60" w:line="264"/>
      </w:pPr>
      <w:r>
        <w:rPr>
          <w:rFonts w:ascii="Calibri" w:cs="Calibri" w:eastAsia="Calibri" w:hAnsi="Calibri"/>
          <w:b/>
          <w:bCs/>
          <w:i w:val="false"/>
          <w:iCs w:val="false"/>
          <w:sz w:val="21"/>
          <w:szCs w:val="21"/>
        </w:rPr>
        <w:t xml:space="preserve">Diverse third-party workloads. </w:t>
      </w:r>
      <w:r>
        <w:rPr>
          <w:rFonts w:ascii="Calibri" w:cs="Calibri" w:eastAsia="Calibri" w:hAnsi="Calibri"/>
          <w:b w:val="false"/>
          <w:bCs w:val="false"/>
          <w:i w:val="false"/>
          <w:iCs w:val="false"/>
          <w:sz w:val="21"/>
          <w:szCs w:val="21"/>
        </w:rPr>
        <w:t xml:space="preserve">There is no CUDA, no graphics, no video codec, no FP64. SC-1 runs transformer and structured state-space inference and nothing else.</w:t>
      </w:r>
    </w:p>
    <w:p>
      <w:pPr>
        <w:pStyle w:val="ListParagraph"/>
        <w:numPr>
          <w:ilvl w:val="0"/>
          <w:numId w:val="3"/>
        </w:numPr>
        <w:spacing w:after="60" w:line="264"/>
      </w:pPr>
      <w:r>
        <w:rPr>
          <w:rFonts w:ascii="Calibri" w:cs="Calibri" w:eastAsia="Calibri" w:hAnsi="Calibri"/>
          <w:b/>
          <w:bCs/>
          <w:i w:val="false"/>
          <w:iCs w:val="false"/>
          <w:sz w:val="21"/>
          <w:szCs w:val="21"/>
        </w:rPr>
        <w:t xml:space="preserve">First-mover advantage. </w:t>
      </w:r>
      <w:r>
        <w:rPr>
          <w:rFonts w:ascii="Calibri" w:cs="Calibri" w:eastAsia="Calibri" w:hAnsi="Calibri"/>
          <w:b w:val="false"/>
          <w:bCs w:val="false"/>
          <w:i w:val="false"/>
          <w:iCs w:val="false"/>
          <w:sz w:val="21"/>
          <w:szCs w:val="21"/>
        </w:rPr>
        <w:t xml:space="preserve">Jalapeño ships in 2026. SC-1, on the schedule in Section 1.4, ships in 2029. The programme must be justified on economics that survive being three years late, which is why Section 17 is built on cost per token rather than on capability.</w:t>
      </w:r>
    </w:p>
    <w:p>
      <w:r>
        <w:br w:type="page"/>
      </w:r>
    </w:p>
    <w:p>
      <w:pPr>
        <w:pStyle w:val="Heading1"/>
        <w:spacing w:after="160" w:before="400"/>
      </w:pPr>
      <w:r>
        <w:rPr>
          <w:rFonts w:ascii="Calibri" w:cs="Calibri" w:eastAsia="Calibri" w:hAnsi="Calibri"/>
          <w:b/>
          <w:bCs/>
          <w:color w:val="1F4E5F"/>
          <w:sz w:val="32"/>
          <w:szCs w:val="32"/>
        </w:rPr>
        <w:t xml:space="preserve">4.  Workload Characterisation</w:t>
      </w:r>
    </w:p>
    <w:p>
      <w:pPr>
        <w:spacing w:after="140" w:line="276"/>
        <w:jc w:val="left"/>
      </w:pPr>
      <w:r>
        <w:rPr>
          <w:rFonts w:ascii="Calibri" w:cs="Calibri" w:eastAsia="Calibri" w:hAnsi="Calibri"/>
          <w:b w:val="false"/>
          <w:bCs w:val="false"/>
          <w:i w:val="false"/>
          <w:iCs w:val="false"/>
          <w:color w:val="000000"/>
          <w:sz w:val="21"/>
          <w:szCs w:val="21"/>
        </w:rPr>
        <w:t xml:space="preserve">This is the section from which everything else derives. Its purpose is to convert what a frontier assistant-and-agent product actually does into numbers that constrain silicon. Where a parameter depends on fleet telemetry that the author does not have, a placeholder is given with its sensitivity, and the parameter is listed in Section 24 for measurement.</w:t>
      </w:r>
    </w:p>
    <w:p>
      <w:pPr>
        <w:pStyle w:val="Heading2"/>
        <w:spacing w:after="120" w:before="300"/>
      </w:pPr>
      <w:r>
        <w:rPr>
          <w:rFonts w:ascii="Calibri" w:cs="Calibri" w:eastAsia="Calibri" w:hAnsi="Calibri"/>
          <w:b/>
          <w:bCs/>
          <w:color w:val="1F4E5F"/>
          <w:sz w:val="26"/>
          <w:szCs w:val="26"/>
        </w:rPr>
        <w:t xml:space="preserve">4.1  Reference model family</w:t>
      </w:r>
    </w:p>
    <w:p>
      <w:pPr>
        <w:spacing w:after="140" w:line="276"/>
        <w:jc w:val="left"/>
      </w:pPr>
      <w:r>
        <w:rPr>
          <w:rFonts w:ascii="Calibri" w:cs="Calibri" w:eastAsia="Calibri" w:hAnsi="Calibri"/>
          <w:b w:val="false"/>
          <w:bCs w:val="false"/>
          <w:i w:val="false"/>
          <w:iCs w:val="false"/>
          <w:color w:val="000000"/>
          <w:sz w:val="21"/>
          <w:szCs w:val="21"/>
        </w:rPr>
        <w:t xml:space="preserve">The design is dimensioned against a reference model family rather than a single model, because a part with a 2029 deployment date must serve models that do not yet exist. Three reference points are used throughout.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7"/>
        <w:gridCol w:w="2246"/>
        <w:gridCol w:w="2621"/>
        <w:gridCol w:w="2246"/>
      </w:tblGrid>
      <w:tr>
        <w:trPr>
          <w:cantSplit/>
          <w:tblHeader/>
        </w:trPr>
        <w:tc>
          <w:tcPr>
            <w:tcW w:type="dxa" w:w="224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RM-A (dense mid)</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RM-B (MoE large)</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RM-C (dense small / draft)</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parameters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 B</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400 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 B</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Active parameters per token</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 B</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 B (top-2 of 64 experts)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 B</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Layers (L)</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60</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Model dimension (d)</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8,192</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8,192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2,560</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heads (H)</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Key-value heads (H_kv)</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(GQA)</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(GQA)</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Head dimension (d_h)</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FFN intermediate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28,672</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14,336 per expert</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10,240</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Target context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200 K tokens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M tokens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K tokens</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footprint @ MXFP4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 GB</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200 GB total / 20 GB active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 GB</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footprint @ MXFP8</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 GB</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400 GB total / 40 GB active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 GB</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bytes per token, MXFP8 KV</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160 KB</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120 KB</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 KB</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Primary role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Interactive assistant, most traffic</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Frontier reasoning and agents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Speculative draft, classifiers</w:t>
            </w:r>
          </w:p>
        </w:tc>
      </w:tr>
    </w:tbl>
    <w:p>
      <w:pPr>
        <w:spacing w:after="220" w:before="60"/>
      </w:pPr>
      <w:r>
        <w:rPr>
          <w:i/>
          <w:iCs/>
          <w:color w:val="595959"/>
          <w:sz w:val="17"/>
          <w:szCs w:val="17"/>
        </w:rPr>
        <w:t xml:space="preserve">Table 4-1. Reference models. KV bytes per token = 2 · L · H_kv · d_h · bytes_per_element, plus a 1.5% page-metadata overhead.</w:t>
      </w:r>
    </w:p>
    <w:p>
      <w:pPr>
        <w:spacing w:after="140" w:line="276"/>
        <w:jc w:val="left"/>
      </w:pPr>
      <w:r>
        <w:rPr>
          <w:rFonts w:ascii="Calibri" w:cs="Calibri" w:eastAsia="Calibri" w:hAnsi="Calibri"/>
          <w:b w:val="false"/>
          <w:bCs w:val="false"/>
          <w:i w:val="false"/>
          <w:iCs w:val="false"/>
          <w:color w:val="000000"/>
          <w:sz w:val="21"/>
          <w:szCs w:val="21"/>
        </w:rPr>
        <w:t xml:space="preserve">Worked example for RM-B, since this figure recurs throughout the document: 2 (key and value) × 60 layers × 8 KV heads × 128 dimensions × 1 byte = 122,880 bytes, plus metadata, giving approximately 120 KiB per token. A 32,768-token context therefore holds 3.93 GB of key-value state; a 200 K context holds 24.0 GB; a 1 M context holds 120 GB. That last figure — one session consuming 62% of a Blackwell Ultra's entire memory — is the reason Tier 2 exists.</w:t>
      </w:r>
    </w:p>
    <w:p>
      <w:pPr>
        <w:pStyle w:val="Heading2"/>
        <w:spacing w:after="120" w:before="300"/>
      </w:pPr>
      <w:r>
        <w:rPr>
          <w:rFonts w:ascii="Calibri" w:cs="Calibri" w:eastAsia="Calibri" w:hAnsi="Calibri"/>
          <w:b/>
          <w:bCs/>
          <w:color w:val="1F4E5F"/>
          <w:sz w:val="26"/>
          <w:szCs w:val="26"/>
        </w:rPr>
        <w:t xml:space="preserve">4.2  Phase decomposition</w:t>
      </w:r>
    </w:p>
    <w:p>
      <w:pPr>
        <w:spacing w:after="140" w:line="276"/>
        <w:jc w:val="left"/>
      </w:pPr>
      <w:r>
        <w:rPr>
          <w:rFonts w:ascii="Calibri" w:cs="Calibri" w:eastAsia="Calibri" w:hAnsi="Calibri"/>
          <w:b w:val="false"/>
          <w:bCs w:val="false"/>
          <w:i w:val="false"/>
          <w:iCs w:val="false"/>
          <w:color w:val="000000"/>
          <w:sz w:val="21"/>
          <w:szCs w:val="21"/>
        </w:rPr>
        <w:t xml:space="preserve">A request passes through phases with radically different resource profiles. Treating them as one workload is the single most common error in accelerator dimensioning.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1872"/>
        <w:gridCol w:w="1685"/>
        <w:gridCol w:w="1872"/>
        <w:gridCol w:w="2059"/>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Phase</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Arithmetic intensity</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Binding resource</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Latency sensitivity</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Share of fleet energy (est.)</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Prefill (prompt processing)</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 ~2·d FLOP per weight byte at batch 1</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Compute</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Moderate — sets time-to-first-token</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30–40%</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Decode (token generation)</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 ~2·B FLOP per weight byte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Memory bandwidth</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 — sets inter-token latency</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45–60%</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over long context</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 and falling with S</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Memory bandwidth (KV re-read)</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Rising; 15–30% at long context</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Parked (agent awaiting tool)</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Zero</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Memory capacity</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 until resumption</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of compute, 20–45% of memory</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Classifier / guard side-load</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Moderate</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Compute, but tiny model</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 — on the critical path</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3–6%</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Speculative draft</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Memory bandwidth on a small model</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4–8%</w:t>
            </w:r>
          </w:p>
        </w:tc>
      </w:tr>
    </w:tbl>
    <w:p>
      <w:pPr>
        <w:spacing w:after="220" w:before="60"/>
      </w:pPr>
      <w:r>
        <w:rPr>
          <w:i/>
          <w:iCs/>
          <w:color w:val="595959"/>
          <w:sz w:val="17"/>
          <w:szCs w:val="17"/>
        </w:rPr>
        <w:t xml:space="preserve">Table 4-2. Phase decomposition. Energy shares are Tier C estimates and are the most important thing in this document to replace with fleet telemetry.</w:t>
      </w:r>
    </w:p>
    <w:p>
      <w:pPr>
        <w:pStyle w:val="Heading3"/>
        <w:spacing w:after="100" w:before="240"/>
      </w:pPr>
      <w:r>
        <w:rPr>
          <w:rFonts w:ascii="Calibri" w:cs="Calibri" w:eastAsia="Calibri" w:hAnsi="Calibri"/>
          <w:b/>
          <w:bCs/>
          <w:color w:val="7A4E2E"/>
          <w:sz w:val="23"/>
          <w:szCs w:val="23"/>
        </w:rPr>
        <w:t xml:space="preserve">4.2.1  The prefill/decode imbalance and why it argues for tile heterogeneity</w:t>
      </w:r>
    </w:p>
    <w:p>
      <w:pPr>
        <w:spacing w:after="140" w:line="276"/>
        <w:jc w:val="left"/>
      </w:pPr>
      <w:r>
        <w:rPr>
          <w:rFonts w:ascii="Calibri" w:cs="Calibri" w:eastAsia="Calibri" w:hAnsi="Calibri"/>
          <w:b w:val="false"/>
          <w:bCs w:val="false"/>
          <w:i w:val="false"/>
          <w:iCs w:val="false"/>
          <w:color w:val="000000"/>
          <w:sz w:val="21"/>
          <w:szCs w:val="21"/>
        </w:rPr>
        <w:t xml:space="preserve">Prefill on a 4,000-token prompt with RM-B costs approximately 2 × 4,000 × 40 × 10⁹ = 3.2 × 10¹⁴ FLOP, which at 12.6 PFLOPS is 25 ms of the whole machine. Decoding 500 tokens from the same session, at batch 1, requires re-reading 20 GB of active weights 500 times — 10 TB of traffic, or 1.02 s at 9.83 TB/s — while issuing only 4 × 10¹³ FLOP, which is 3 ms of arithmetic. The decode phase uses 0.3% of the machine's arithmetic capability and 100% of its memory bandwidth.</w:t>
      </w:r>
    </w:p>
    <w:p>
      <w:pPr>
        <w:spacing w:after="140" w:line="276"/>
        <w:jc w:val="left"/>
      </w:pPr>
      <w:r>
        <w:rPr>
          <w:rFonts w:ascii="Calibri" w:cs="Calibri" w:eastAsia="Calibri" w:hAnsi="Calibri"/>
          <w:b w:val="false"/>
          <w:bCs w:val="false"/>
          <w:i w:val="false"/>
          <w:iCs w:val="false"/>
          <w:color w:val="000000"/>
          <w:sz w:val="21"/>
          <w:szCs w:val="21"/>
        </w:rPr>
        <w:t xml:space="preserve">The conventional answer is batching: at batch 256 the weight read amortises 256 ways and the machine becomes compute-bound again. The conventional answer is correct and SC-1 relies on it. But it is incomplete, for two reasons. First, batching increases inter-token latency, and there is a quality-of-service floor below which the product is unacceptable. Second, and more importantly, at long context the key-value traffic does not amortise across the batch at all — each sequence has its own KV cache and each must be read in full every decode step. Batching therefore helps the weight term and does nothing for the KV term, and at 32 K context with RM-B the KV term is already four times the weight term at batch 40 (Section 20.2).</w:t>
      </w:r>
    </w:p>
    <w:p>
      <w:pPr>
        <w:spacing w:after="140" w:line="276"/>
        <w:jc w:val="left"/>
      </w:pPr>
      <w:r>
        <w:rPr>
          <w:rFonts w:ascii="Calibri" w:cs="Calibri" w:eastAsia="Calibri" w:hAnsi="Calibri"/>
          <w:b w:val="false"/>
          <w:bCs w:val="false"/>
          <w:i w:val="false"/>
          <w:iCs w:val="false"/>
          <w:color w:val="000000"/>
          <w:sz w:val="21"/>
          <w:szCs w:val="21"/>
        </w:rPr>
        <w:t xml:space="preserve">This is the load-bearing observation of the whole design. It means that long-context decode throughput is set almost entirely by how many bytes of KV state the machine can read per second and by how few bytes of KV state it can be made to hold. Hence: KV quantisation in hardware (Section 9.4), page-level prefix deduplication (Section 8.5), and 9.83 TB/s on Tier 1 rather than a larger, slower pool.</w:t>
      </w:r>
    </w:p>
    <w:p>
      <w:pPr>
        <w:pStyle w:val="Heading2"/>
        <w:spacing w:after="120" w:before="300"/>
      </w:pPr>
      <w:r>
        <w:rPr>
          <w:rFonts w:ascii="Calibri" w:cs="Calibri" w:eastAsia="Calibri" w:hAnsi="Calibri"/>
          <w:b/>
          <w:bCs/>
          <w:color w:val="1F4E5F"/>
          <w:sz w:val="26"/>
          <w:szCs w:val="26"/>
        </w:rPr>
        <w:t xml:space="preserve">4.3  The agentic duty cycle</w:t>
      </w:r>
    </w:p>
    <w:p>
      <w:pPr>
        <w:spacing w:after="140" w:line="276"/>
        <w:jc w:val="left"/>
      </w:pPr>
      <w:r>
        <w:rPr>
          <w:rFonts w:ascii="Calibri" w:cs="Calibri" w:eastAsia="Calibri" w:hAnsi="Calibri"/>
          <w:b w:val="false"/>
          <w:bCs w:val="false"/>
          <w:i w:val="false"/>
          <w:iCs w:val="false"/>
          <w:color w:val="000000"/>
          <w:sz w:val="21"/>
          <w:szCs w:val="21"/>
        </w:rPr>
        <w:t xml:space="preserve">An agent — a coding assistant executing a build, a browsing agent fetching a page, a research agent running a search — alternates between generation and waiting. During the wait, the session holds full key-value state and consumes no compute.</w:t>
      </w:r>
    </w:p>
    <w:p>
      <w:pPr>
        <w:spacing w:after="140" w:line="276"/>
        <w:jc w:val="left"/>
      </w:pPr>
      <w:r>
        <w:rPr>
          <w:rFonts w:ascii="Calibri" w:cs="Calibri" w:eastAsia="Calibri" w:hAnsi="Calibri"/>
          <w:b w:val="false"/>
          <w:bCs w:val="false"/>
          <w:i w:val="false"/>
          <w:iCs w:val="false"/>
          <w:color w:val="000000"/>
          <w:sz w:val="21"/>
          <w:szCs w:val="21"/>
        </w:rPr>
        <w:t xml:space="preserve">Let the duty cycle be characterised by two parameters: the generation burst length t_gen and the tool latency t_tool. Define the parking ratio ρ = t_tool / (t_gen + t_tool). Representative values, which the author estimates rather than measures: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0"/>
        <w:gridCol w:w="1310"/>
        <w:gridCol w:w="1498"/>
        <w:gridCol w:w="1498"/>
        <w:gridCol w:w="2434"/>
      </w:tblGrid>
      <w:tr>
        <w:trPr>
          <w:cantSplit/>
          <w:tblHeader/>
        </w:trPr>
        <w:tc>
          <w:tcPr>
            <w:tcW w:type="dxa" w:w="262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Workload</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t_gen per turn</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t_tool per turn</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Parking ratio ρ</w:t>
            </w:r>
          </w:p>
        </w:tc>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Typical context at park</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Code agent — test/build loop</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 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20–180 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0.75 – 0.96</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 K – 120 K tokens</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Browsing / research agent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 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3–15 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0.60 – 0.83</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 K – 80 K tokens</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Computer-use agent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 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 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0.55 – 0.80</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 K – 60 K tokens</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Multi-agent orchestration (sub-agent fan-out)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4–10 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30–300 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0.80 – 0.97</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 K – 200 K tokens</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Interactive chat with human in loop</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 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8–60 s (human thinking)</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0.60 – 0.95</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K – 40 K tokens</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Batch / offline API</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continuous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n/a — never parks</w:t>
            </w:r>
          </w:p>
        </w:tc>
      </w:tr>
    </w:tbl>
    <w:p>
      <w:pPr>
        <w:spacing w:after="220" w:before="60"/>
      </w:pPr>
      <w:r>
        <w:rPr>
          <w:i/>
          <w:iCs/>
          <w:color w:val="595959"/>
          <w:sz w:val="17"/>
          <w:szCs w:val="17"/>
        </w:rPr>
        <w:t xml:space="preserve">Table 4-3. Estimated agentic duty cycles. Tier C. These numbers drive the Tier-2 capacity sizing and should be the first thing replaced with measurement.</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The central economic argument of this design</w:t>
            </w:r>
          </w:p>
          <w:p>
            <w:pPr>
              <w:spacing w:after="100" w:line="264"/>
            </w:pPr>
            <w:r>
              <w:rPr>
                <w:sz w:val="20"/>
                <w:szCs w:val="20"/>
              </w:rPr>
              <w:t xml:space="preserve">If the fleet-wide average parking ratio is ρ, then in steady state a fraction ρ of all resident key-value state belongs to sessions that are generating nothing. On a conventional accelerator that state sits in HBM.</w:t>
            </w:r>
          </w:p>
          <w:p>
            <w:pPr>
              <w:spacing w:after="100" w:line="264"/>
            </w:pPr>
            <w:r>
              <w:rPr>
                <w:sz w:val="20"/>
                <w:szCs w:val="20"/>
              </w:rPr>
              <w:t xml:space="preserve">At ρ = 0.75 — a conservative figure if agentic traffic is a large share of the mix — three quarters of the most expensive memory in the datacentre is idle at any instant. Not underutilised: idle. Producing nothing.</w:t>
            </w:r>
          </w:p>
          <w:p>
            <w:pPr>
              <w:spacing w:after="40" w:line="264"/>
            </w:pPr>
            <w:r>
              <w:rPr>
                <w:sz w:val="20"/>
                <w:szCs w:val="20"/>
              </w:rPr>
              <w:t xml:space="preserve">SC-1 moves that state to memory that costs one third as much per gigabyte and consumes roughly one quarter the power per gigabyte held, and restores it in 2.1 ms when the tool call returns. If the parking ratio estimate is even approximately right, this single mechanism is worth more than every other feature in this document combined.</w:t>
            </w:r>
          </w:p>
        </w:tc>
      </w:tr>
    </w:tbl>
    <w:p>
      <w:pPr>
        <w:pStyle w:val="Heading3"/>
        <w:spacing w:after="100" w:before="240"/>
      </w:pPr>
      <w:r>
        <w:rPr>
          <w:rFonts w:ascii="Calibri" w:cs="Calibri" w:eastAsia="Calibri" w:hAnsi="Calibri"/>
          <w:b/>
          <w:bCs/>
          <w:color w:val="7A4E2E"/>
          <w:sz w:val="23"/>
          <w:szCs w:val="23"/>
        </w:rPr>
        <w:t xml:space="preserve">4.3.1  Sensitivity</w:t>
      </w:r>
    </w:p>
    <w:p>
      <w:pPr>
        <w:spacing w:after="140" w:line="276"/>
        <w:jc w:val="left"/>
      </w:pPr>
      <w:r>
        <w:rPr>
          <w:rFonts w:ascii="Calibri" w:cs="Calibri" w:eastAsia="Calibri" w:hAnsi="Calibri"/>
          <w:b w:val="false"/>
          <w:bCs w:val="false"/>
          <w:i w:val="false"/>
          <w:iCs w:val="false"/>
          <w:color w:val="000000"/>
          <w:sz w:val="21"/>
          <w:szCs w:val="21"/>
        </w:rPr>
        <w:t xml:space="preserve">The Tier-2 capacity decision is sensitive to ρ and to the mix of agentic against non-agentic traffic. If agentic traffic is 10% of the fleet and ρ = 0.5, Tier 2 is oversized and the correct configuration is 256 GB. If agentic traffic is 60% of the fleet and ρ = 0.85, 512 GB is undersized and 1 TB is correct. The design accommodates this: Tier 2 is on-module but not in-package, populated as discrete LPDDR6 packages on the module substrate, so 256 GB / 512 GB / 1 TB variants are a module build option and not a silicon respin. This is a deliberate hedge against the weakest number in the document.</w:t>
      </w:r>
    </w:p>
    <w:p>
      <w:pPr>
        <w:pStyle w:val="Heading2"/>
        <w:spacing w:after="120" w:before="300"/>
      </w:pPr>
      <w:r>
        <w:rPr>
          <w:rFonts w:ascii="Calibri" w:cs="Calibri" w:eastAsia="Calibri" w:hAnsi="Calibri"/>
          <w:b/>
          <w:bCs/>
          <w:color w:val="1F4E5F"/>
          <w:sz w:val="26"/>
          <w:szCs w:val="26"/>
        </w:rPr>
        <w:t xml:space="preserve">4.4  Prefix reuse and prompt caching</w:t>
      </w:r>
    </w:p>
    <w:p>
      <w:pPr>
        <w:spacing w:after="140" w:line="276"/>
        <w:jc w:val="left"/>
      </w:pPr>
      <w:r>
        <w:rPr>
          <w:rFonts w:ascii="Calibri" w:cs="Calibri" w:eastAsia="Calibri" w:hAnsi="Calibri"/>
          <w:b w:val="false"/>
          <w:bCs w:val="false"/>
          <w:i w:val="false"/>
          <w:iCs w:val="false"/>
          <w:color w:val="000000"/>
          <w:sz w:val="21"/>
          <w:szCs w:val="21"/>
        </w:rPr>
        <w:t xml:space="preserve">Assistant and agent traffic is dominated by conversations that grow by appending. Turn N+1 shares its entire prefix with turn N. Agent traffic is worse still: a coding agent may replay a 40,000-token system prompt, tool schema, and repository context on every one of a hundred turns.</w:t>
      </w:r>
    </w:p>
    <w:p>
      <w:pPr>
        <w:spacing w:after="140" w:line="276"/>
        <w:jc w:val="left"/>
      </w:pPr>
      <w:r>
        <w:rPr>
          <w:rFonts w:ascii="Calibri" w:cs="Calibri" w:eastAsia="Calibri" w:hAnsi="Calibri"/>
          <w:b w:val="false"/>
          <w:bCs w:val="false"/>
          <w:i w:val="false"/>
          <w:iCs w:val="false"/>
          <w:color w:val="000000"/>
          <w:sz w:val="21"/>
          <w:szCs w:val="21"/>
        </w:rPr>
        <w:t xml:space="preserve">Commercially, this is already recognised — cached prompt tokens are priced at roughly a tenth of fresh input tokens, which implies the underlying compute saving is roughly an order of magnitude. Architecturally it implies two requirements:</w:t>
      </w:r>
    </w:p>
    <w:p>
      <w:pPr>
        <w:pStyle w:val="ListParagraph"/>
        <w:numPr>
          <w:ilvl w:val="0"/>
          <w:numId w:val="2"/>
        </w:numPr>
        <w:spacing w:after="60" w:line="264"/>
      </w:pPr>
      <w:r>
        <w:rPr>
          <w:rFonts w:ascii="Calibri" w:cs="Calibri" w:eastAsia="Calibri" w:hAnsi="Calibri"/>
          <w:b/>
          <w:bCs/>
          <w:i w:val="false"/>
          <w:iCs w:val="false"/>
          <w:sz w:val="21"/>
          <w:szCs w:val="21"/>
        </w:rPr>
        <w:t xml:space="preserve">Cached prefixes must be storable cheaply and in quantity. </w:t>
      </w:r>
      <w:r>
        <w:rPr>
          <w:rFonts w:ascii="Calibri" w:cs="Calibri" w:eastAsia="Calibri" w:hAnsi="Calibri"/>
          <w:b w:val="false"/>
          <w:bCs w:val="false"/>
          <w:i w:val="false"/>
          <w:iCs w:val="false"/>
          <w:sz w:val="21"/>
          <w:szCs w:val="21"/>
        </w:rPr>
        <w:t xml:space="preserve">A 40 K-token cached prefix on RM-B is 4.8 GB. A fleet serving ten thousand concurrent agent sessions with distinct prefixes needs tens of terabytes of prefix storage. This does not belong in HBM.</w:t>
      </w:r>
    </w:p>
    <w:p>
      <w:pPr>
        <w:pStyle w:val="ListParagraph"/>
        <w:numPr>
          <w:ilvl w:val="0"/>
          <w:numId w:val="2"/>
        </w:numPr>
        <w:spacing w:after="60" w:line="264"/>
      </w:pPr>
      <w:r>
        <w:rPr>
          <w:rFonts w:ascii="Calibri" w:cs="Calibri" w:eastAsia="Calibri" w:hAnsi="Calibri"/>
          <w:b/>
          <w:bCs/>
          <w:i w:val="false"/>
          <w:iCs w:val="false"/>
          <w:sz w:val="21"/>
          <w:szCs w:val="21"/>
        </w:rPr>
        <w:t xml:space="preserve">Identical prefixes must be stored once. </w:t>
      </w:r>
      <w:r>
        <w:rPr>
          <w:rFonts w:ascii="Calibri" w:cs="Calibri" w:eastAsia="Calibri" w:hAnsi="Calibri"/>
          <w:b w:val="false"/>
          <w:bCs w:val="false"/>
          <w:i w:val="false"/>
          <w:iCs w:val="false"/>
          <w:sz w:val="21"/>
          <w:szCs w:val="21"/>
        </w:rPr>
        <w:t xml:space="preserve">Many sessions share a system prompt, a tool schema, or a document. Content-addressed, page-granular deduplication of key-value blocks converts a per-session cost into a per-distinct-prefix cost. Section 8.5 specifies this in hardware.</w:t>
      </w:r>
    </w:p>
    <w:p>
      <w:pPr>
        <w:spacing w:after="140" w:line="276"/>
        <w:jc w:val="left"/>
      </w:pPr>
      <w:r>
        <w:rPr>
          <w:rFonts w:ascii="Calibri" w:cs="Calibri" w:eastAsia="Calibri" w:hAnsi="Calibri"/>
          <w:b w:val="false"/>
          <w:bCs w:val="false"/>
          <w:i w:val="false"/>
          <w:iCs w:val="false"/>
          <w:color w:val="000000"/>
          <w:sz w:val="21"/>
          <w:szCs w:val="21"/>
        </w:rPr>
        <w:t xml:space="preserve">The deduplication gain is workload-dependent but potentially very large. If a thousand concurrent sessions share a 20 K-token system prompt, naive storage costs 2.4 TB and deduplicated storage costs 2.4 GB. Even at a modest realised deduplication factor of 4×, this converts Tier 2 from a useful capacity extension into the dominant memory pool by effective capacity.</w:t>
      </w:r>
    </w:p>
    <w:p>
      <w:pPr>
        <w:pStyle w:val="Heading2"/>
        <w:spacing w:after="120" w:before="300"/>
      </w:pPr>
      <w:r>
        <w:rPr>
          <w:rFonts w:ascii="Calibri" w:cs="Calibri" w:eastAsia="Calibri" w:hAnsi="Calibri"/>
          <w:b/>
          <w:bCs/>
          <w:color w:val="1F4E5F"/>
          <w:sz w:val="26"/>
          <w:szCs w:val="26"/>
        </w:rPr>
        <w:t xml:space="preserve">4.5  Mixture-of-experts behaviour</w:t>
      </w:r>
    </w:p>
    <w:p>
      <w:pPr>
        <w:spacing w:after="140" w:line="276"/>
        <w:jc w:val="left"/>
      </w:pPr>
      <w:r>
        <w:rPr>
          <w:rFonts w:ascii="Calibri" w:cs="Calibri" w:eastAsia="Calibri" w:hAnsi="Calibri"/>
          <w:b w:val="false"/>
          <w:bCs w:val="false"/>
          <w:i w:val="false"/>
          <w:iCs w:val="false"/>
          <w:color w:val="000000"/>
          <w:sz w:val="21"/>
          <w:szCs w:val="21"/>
        </w:rPr>
        <w:t xml:space="preserve">RM-B activates 2 of 64 experts per token per layer. Three consequences for hardware:</w:t>
      </w:r>
    </w:p>
    <w:p>
      <w:pPr>
        <w:pStyle w:val="ListParagraph"/>
        <w:numPr>
          <w:ilvl w:val="0"/>
          <w:numId w:val="3"/>
        </w:numPr>
        <w:spacing w:after="60" w:line="264"/>
      </w:pPr>
      <w:r>
        <w:rPr>
          <w:rFonts w:ascii="Calibri" w:cs="Calibri" w:eastAsia="Calibri" w:hAnsi="Calibri"/>
          <w:b/>
          <w:bCs/>
          <w:i w:val="false"/>
          <w:iCs w:val="false"/>
          <w:sz w:val="21"/>
          <w:szCs w:val="21"/>
        </w:rPr>
        <w:t xml:space="preserve">Only the active experts need bandwidth. </w:t>
      </w:r>
      <w:r>
        <w:rPr>
          <w:rFonts w:ascii="Calibri" w:cs="Calibri" w:eastAsia="Calibri" w:hAnsi="Calibri"/>
          <w:b w:val="false"/>
          <w:bCs w:val="false"/>
          <w:i w:val="false"/>
          <w:iCs w:val="false"/>
          <w:sz w:val="21"/>
          <w:szCs w:val="21"/>
        </w:rPr>
        <w:t xml:space="preserve">20 GB of the 200 GB weight footprint is touched per token. The remaining 180 GB can live in Tier 2 and be promoted on demand. At 1.84 TB/s, promoting one expert of 3.1 GB costs 1.7 ms — too slow for per-token promotion, but entirely adequate for the timescale on which expert popularity shifts, which is many thousands of tokens.</w:t>
      </w:r>
    </w:p>
    <w:p>
      <w:pPr>
        <w:pStyle w:val="ListParagraph"/>
        <w:numPr>
          <w:ilvl w:val="0"/>
          <w:numId w:val="3"/>
        </w:numPr>
        <w:spacing w:after="60" w:line="264"/>
      </w:pPr>
      <w:r>
        <w:rPr>
          <w:rFonts w:ascii="Calibri" w:cs="Calibri" w:eastAsia="Calibri" w:hAnsi="Calibri"/>
          <w:b/>
          <w:bCs/>
          <w:i w:val="false"/>
          <w:iCs w:val="false"/>
          <w:sz w:val="21"/>
          <w:szCs w:val="21"/>
        </w:rPr>
        <w:t xml:space="preserve">Routing is skewed and the skew is stable. </w:t>
      </w:r>
      <w:r>
        <w:rPr>
          <w:rFonts w:ascii="Calibri" w:cs="Calibri" w:eastAsia="Calibri" w:hAnsi="Calibri"/>
          <w:b w:val="false"/>
          <w:bCs w:val="false"/>
          <w:i w:val="false"/>
          <w:iCs w:val="false"/>
          <w:sz w:val="21"/>
          <w:szCs w:val="21"/>
        </w:rPr>
        <w:t xml:space="preserve">Published analyses of trained MoE models consistently find a heavy-tailed expert utilisation distribution. A hardware expert-popularity counter (Section 7.6) driving an LFU promotion policy should keep the working set of hot experts resident in Tier 1 with a high hit rate. Modelled at a Zipf exponent of 0.9 across 64 experts, retaining the top 16 in Tier 1 captures approximately 78% of activations.</w:t>
      </w:r>
    </w:p>
    <w:p>
      <w:pPr>
        <w:pStyle w:val="ListParagraph"/>
        <w:numPr>
          <w:ilvl w:val="0"/>
          <w:numId w:val="3"/>
        </w:numPr>
        <w:spacing w:after="60" w:line="264"/>
      </w:pPr>
      <w:r>
        <w:rPr>
          <w:rFonts w:ascii="Calibri" w:cs="Calibri" w:eastAsia="Calibri" w:hAnsi="Calibri"/>
          <w:b/>
          <w:bCs/>
          <w:i w:val="false"/>
          <w:iCs w:val="false"/>
          <w:sz w:val="21"/>
          <w:szCs w:val="21"/>
        </w:rPr>
        <w:t xml:space="preserve">Expert gather is a scatter/gather problem, not a GEMM problem. </w:t>
      </w:r>
      <w:r>
        <w:rPr>
          <w:rFonts w:ascii="Calibri" w:cs="Calibri" w:eastAsia="Calibri" w:hAnsi="Calibri"/>
          <w:b w:val="false"/>
          <w:bCs w:val="false"/>
          <w:i w:val="false"/>
          <w:iCs w:val="false"/>
          <w:sz w:val="21"/>
          <w:szCs w:val="21"/>
        </w:rPr>
        <w:t xml:space="preserve">Tokens routed to different experts must be grouped before the matrix multiply and un-grouped after. Doing this in software costs a full permutation of the activation tensor twice per layer. Section 6.6 specifies a hardware token-routing unit that performs the permutation inline with the DMA, at zero additional bandwidth cost.</w:t>
      </w:r>
    </w:p>
    <w:p>
      <w:pPr>
        <w:pStyle w:val="Heading2"/>
        <w:spacing w:after="120" w:before="300"/>
      </w:pPr>
      <w:r>
        <w:rPr>
          <w:rFonts w:ascii="Calibri" w:cs="Calibri" w:eastAsia="Calibri" w:hAnsi="Calibri"/>
          <w:b/>
          <w:bCs/>
          <w:color w:val="1F4E5F"/>
          <w:sz w:val="26"/>
          <w:szCs w:val="26"/>
        </w:rPr>
        <w:t xml:space="preserve">4.6  Safety classifier and interpretability side-load</w:t>
      </w:r>
    </w:p>
    <w:p>
      <w:pPr>
        <w:spacing w:after="140" w:line="276"/>
        <w:jc w:val="left"/>
      </w:pPr>
      <w:r>
        <w:rPr>
          <w:rFonts w:ascii="Calibri" w:cs="Calibri" w:eastAsia="Calibri" w:hAnsi="Calibri"/>
          <w:b w:val="false"/>
          <w:bCs w:val="false"/>
          <w:i w:val="false"/>
          <w:iCs w:val="false"/>
          <w:color w:val="000000"/>
          <w:sz w:val="21"/>
          <w:szCs w:val="21"/>
        </w:rPr>
        <w:t xml:space="preserve">A frontier deployment does not run only the primary model. It runs input classifiers, output classifiers, and — increasingly — interpretability probes and monitoring circuits that inspect intermediate activations. These are small models, but they are on the critical path, and running them on a separate pool of hardware costs both latency and a second copy of the activations across a network.</w:t>
      </w:r>
    </w:p>
    <w:p>
      <w:pPr>
        <w:spacing w:after="140" w:line="276"/>
        <w:jc w:val="left"/>
      </w:pPr>
      <w:r>
        <w:rPr>
          <w:rFonts w:ascii="Calibri" w:cs="Calibri" w:eastAsia="Calibri" w:hAnsi="Calibri"/>
          <w:b w:val="false"/>
          <w:bCs w:val="false"/>
          <w:i w:val="false"/>
          <w:iCs w:val="false"/>
          <w:color w:val="000000"/>
          <w:sz w:val="21"/>
          <w:szCs w:val="21"/>
        </w:rPr>
        <w:t xml:space="preserve">SC-1 treats this as a first-class workload. The requirements are: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Resident capacity for several small models (RM-C class, 1.5–3 GB each) simultaneously with the primary model, without displacing it. Tier 2 provides this trivially; a single-tier machine does not.</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The ability to execute a small model on a subset of tiles concurrently with the primary model on the remainder, with hard isolation between them. Section 6.8 specifies tile-group partitioning with independent sequencers and separate SRAM partitions.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 low-overhead path for reading intermediate activations without perturbing the primary computation. Section 12.6 specifies the Interpretability Tap: a hardware activation capture unit that snoops the writeback path at configurable layer and head granularity into a ring buffer in Tier 2, with hard rate limiting so that it cannot become a covert exfiltration channel.</w:t>
      </w:r>
    </w:p>
    <w:p>
      <w:pPr>
        <w:spacing w:after="140" w:line="276"/>
        <w:jc w:val="left"/>
      </w:pPr>
      <w:r>
        <w:rPr>
          <w:rFonts w:ascii="Calibri" w:cs="Calibri" w:eastAsia="Calibri" w:hAnsi="Calibri"/>
          <w:b w:val="false"/>
          <w:bCs w:val="false"/>
          <w:i w:val="false"/>
          <w:iCs w:val="false"/>
          <w:color w:val="000000"/>
          <w:sz w:val="21"/>
          <w:szCs w:val="21"/>
        </w:rPr>
        <w:t xml:space="preserve">The last of these is unusual and deserves a note. Interpretability research at scale currently requires either instrumenting production serving code — which is invasive and perturbs what it measures — or maintaining a separate instrumented fleet, which is expensive and always slightly out of date. A hardware tap that can be enabled on a sampled fraction of production traffic, at a cost of a few per cent of write bandwidth and no compute at all, is a research capability that does not currently exist on any accelerator. For an organisation whose research programme depends on understanding what its production models are doing, it may justify the programme independently of the cost argument.</w:t>
      </w:r>
    </w:p>
    <w:p>
      <w:pPr>
        <w:pStyle w:val="Heading2"/>
        <w:spacing w:after="120" w:before="300"/>
      </w:pPr>
      <w:r>
        <w:rPr>
          <w:rFonts w:ascii="Calibri" w:cs="Calibri" w:eastAsia="Calibri" w:hAnsi="Calibri"/>
          <w:b/>
          <w:bCs/>
          <w:color w:val="1F4E5F"/>
          <w:sz w:val="26"/>
          <w:szCs w:val="26"/>
        </w:rPr>
        <w:t xml:space="preserve">4.7  Derived hardware requirements</w:t>
      </w:r>
    </w:p>
    <w:p>
      <w:pPr>
        <w:spacing w:after="140" w:line="276"/>
        <w:jc w:val="left"/>
      </w:pPr>
      <w:r>
        <w:rPr>
          <w:rFonts w:ascii="Calibri" w:cs="Calibri" w:eastAsia="Calibri" w:hAnsi="Calibri"/>
          <w:b w:val="false"/>
          <w:bCs w:val="false"/>
          <w:i w:val="false"/>
          <w:iCs w:val="false"/>
          <w:color w:val="000000"/>
          <w:sz w:val="21"/>
          <w:szCs w:val="21"/>
        </w:rPr>
        <w:t xml:space="preserve">The following table is the bridge from workload to architecture. Every requirement carries an identifier used in the traceability matrix at Appendix H.</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50"/>
        <w:gridCol w:w="3182"/>
        <w:gridCol w:w="2714"/>
        <w:gridCol w:w="2714"/>
      </w:tblGrid>
      <w:tr>
        <w:trPr>
          <w:cantSplit/>
          <w:tblHeader/>
        </w:trPr>
        <w:tc>
          <w:tcPr>
            <w:tcW w:type="dxa" w:w="75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ID</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Requirement</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Derived from</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Satisfied by</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WR-01</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Aggregate Tier-1 read bandwidth ≥ 9 TB/s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§4.2.1 decode roofline for RM-B at target inter-token latency</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 × HBM4 @ 2.46 TB/s (§7.4)</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WR-02</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Total attached capacity ≥ 600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§4.1 RM-B at 1 M context, plus resident weights and draft models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192 GB Tier 1 + 512 GB Tier 2 (§8.1)</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WR-03</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Sub-3 ms migration of a 4 GB session between tiers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§4.3 park/restore inside tool latency</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CTM migration engine, 1.84 TB/s (§8.4)</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Content-addressed dedup of KV pages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§4.4 prefix sharing</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Prefix Cache Engine (§8.5)</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WR-05</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Hardware token permutation for MoE routing</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§4.5 expert gather</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Token Routing Unit (§7.6)</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WR-06</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Concurrent execution of ≥ 3 models with isolation</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§4.6 classifier side-load</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Tile-group partitioning (§6.8)</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WR-07</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Non-perturbing activation capture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§4.6 interpretability</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Interpretability Tap (§12.6)</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WR-08</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KV storable at 8-bit and 4-bit with per-group scale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§4.2.1 KV traffic dominance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KV codec in the attention datapath (§9.4)</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WR-09</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Attention datapath sustaining ≥ 85% of Tier-1 bandwidth</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§4.2.1 long-context binding constraint</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Attention Engine with streaming softmax (§6.4)</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WR-10</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Speculative verification of ≥ 8 draft tokens per step</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 speculative decoding</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Multi-token verify mode (§6.4.4)</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WR-11</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Weights never in plaintext outside package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§2.1.4 weight security</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Sealed weight path (§12.3)</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WR-12</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Deterministic, bit-reproducible execution mode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§4.6 evaluation reproducibility</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Fixed reduction ordering mode (§9.6)</w:t>
            </w:r>
          </w:p>
        </w:tc>
      </w:tr>
      <w:tr>
        <w:trPr>
          <w:cantSplit/>
          <w:tblHeader w:val="false"/>
        </w:trPr>
        <w:tc>
          <w:tcPr>
            <w:tcW w:type="dxa" w:w="75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WR-13</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Package power ≤ 900 W nominal</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§3.1.3 facility power as scarce resource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Power budget (§14.4)</w:t>
            </w:r>
          </w:p>
        </w:tc>
      </w:tr>
      <w:tr>
        <w:trPr>
          <w:cantSplit/>
          <w:tblHeader w:val="false"/>
        </w:trPr>
        <w:tc>
          <w:tcPr>
            <w:tcW w:type="dxa" w:w="75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WR-14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Tier-2 capacity configurable without silicon change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§4.3.1 sensitivity to ρ</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Discrete LPDDR6 on module (§8.1)</w:t>
            </w:r>
          </w:p>
        </w:tc>
      </w:tr>
    </w:tbl>
    <w:p>
      <w:pPr>
        <w:spacing w:after="220" w:before="60"/>
      </w:pPr>
      <w:r>
        <w:rPr>
          <w:i/>
          <w:iCs/>
          <w:color w:val="595959"/>
          <w:sz w:val="17"/>
          <w:szCs w:val="17"/>
        </w:rPr>
        <w:t xml:space="preserve">Table 4-4. Derived hardware requirements. Full traceability in Appendix H.</w:t>
      </w:r>
    </w:p>
    <w:p>
      <w:r>
        <w:br w:type="page"/>
      </w:r>
    </w:p>
    <w:p>
      <w:pPr>
        <w:pStyle w:val="Heading1"/>
        <w:spacing w:after="160" w:before="400"/>
      </w:pPr>
      <w:r>
        <w:rPr>
          <w:rFonts w:ascii="Calibri" w:cs="Calibri" w:eastAsia="Calibri" w:hAnsi="Calibri"/>
          <w:b/>
          <w:bCs/>
          <w:color w:val="1F4E5F"/>
          <w:sz w:val="32"/>
          <w:szCs w:val="32"/>
        </w:rPr>
        <w:t xml:space="preserve">5.  Architectural Concept of Operations</w:t>
      </w:r>
    </w:p>
    <w:p>
      <w:pPr>
        <w:pStyle w:val="Heading2"/>
        <w:spacing w:after="120" w:before="300"/>
      </w:pPr>
      <w:r>
        <w:rPr>
          <w:rFonts w:ascii="Calibri" w:cs="Calibri" w:eastAsia="Calibri" w:hAnsi="Calibri"/>
          <w:b/>
          <w:bCs/>
          <w:color w:val="1F4E5F"/>
          <w:sz w:val="26"/>
          <w:szCs w:val="26"/>
        </w:rPr>
        <w:t xml:space="preserve">5.1  Top-level organisation</w:t>
      </w:r>
    </w:p>
    <w:p>
      <w:pPr>
        <w:spacing w:after="140" w:line="276"/>
        <w:jc w:val="left"/>
      </w:pPr>
      <w:r>
        <w:rPr>
          <w:rFonts w:ascii="Calibri" w:cs="Calibri" w:eastAsia="Calibri" w:hAnsi="Calibri"/>
          <w:b w:val="false"/>
          <w:bCs w:val="false"/>
          <w:i w:val="false"/>
          <w:iCs w:val="false"/>
          <w:color w:val="000000"/>
          <w:sz w:val="21"/>
          <w:szCs w:val="21"/>
        </w:rPr>
        <w:t xml:space="preserve">SC-1 is one package containing six active dies, four HBM4 stacks, and — on the module immediately adjacent — sixteen LPDDR6 packages. The six dies are two distinct types:</w:t>
      </w:r>
    </w:p>
    <w:p>
      <w:pPr>
        <w:pStyle w:val="ListParagraph"/>
        <w:numPr>
          <w:ilvl w:val="0"/>
          <w:numId w:val="3"/>
        </w:numPr>
        <w:spacing w:after="60" w:line="264"/>
      </w:pPr>
      <w:r>
        <w:rPr>
          <w:rFonts w:ascii="Calibri" w:cs="Calibri" w:eastAsia="Calibri" w:hAnsi="Calibri"/>
          <w:b/>
          <w:bCs/>
          <w:i w:val="false"/>
          <w:iCs w:val="false"/>
          <w:sz w:val="21"/>
          <w:szCs w:val="21"/>
        </w:rPr>
        <w:t xml:space="preserve">Four Compute Tile Chiplets (CTC). </w:t>
      </w:r>
      <w:r>
        <w:rPr>
          <w:rFonts w:ascii="Calibri" w:cs="Calibri" w:eastAsia="Calibri" w:hAnsi="Calibri"/>
          <w:b w:val="false"/>
          <w:bCs w:val="false"/>
          <w:i w:val="false"/>
          <w:iCs w:val="false"/>
          <w:sz w:val="21"/>
          <w:szCs w:val="21"/>
        </w:rPr>
        <w:t xml:space="preserve">Identical, 210 mm², TSMC N2P. Each carries eight Tensor Tiles, a vector complex, an attention datapath, a sequencer, and a small RISC-V control core. CTCs contain no memory controllers, no off-package I/O, and only enough SRAM to feed their own arrays.</w:t>
      </w:r>
    </w:p>
    <w:p>
      <w:pPr>
        <w:pStyle w:val="ListParagraph"/>
        <w:numPr>
          <w:ilvl w:val="0"/>
          <w:numId w:val="3"/>
        </w:numPr>
        <w:spacing w:after="60" w:line="264"/>
      </w:pPr>
      <w:r>
        <w:rPr>
          <w:rFonts w:ascii="Calibri" w:cs="Calibri" w:eastAsia="Calibri" w:hAnsi="Calibri"/>
          <w:b/>
          <w:bCs/>
          <w:i w:val="false"/>
          <w:iCs w:val="false"/>
          <w:sz w:val="21"/>
          <w:szCs w:val="21"/>
        </w:rPr>
        <w:t xml:space="preserve">Two Memory Hub Chiplets (MHC). </w:t>
      </w:r>
      <w:r>
        <w:rPr>
          <w:rFonts w:ascii="Calibri" w:cs="Calibri" w:eastAsia="Calibri" w:hAnsi="Calibri"/>
          <w:b w:val="false"/>
          <w:bCs w:val="false"/>
          <w:i w:val="false"/>
          <w:iCs w:val="false"/>
          <w:sz w:val="21"/>
          <w:szCs w:val="21"/>
        </w:rPr>
        <w:t xml:space="preserve">Identical, 380 mm², TSMC N6. Each carries 256 MB of Resident Tensor Store SRAM, half the on-package network, two HBM4 controllers and PHYs, half the LPDDR6 interface, the Context Tier Manager, the Prefix Cache Engine, the scale-up SerDes, the Ethernet MACs, and the Sentinel security complex.</w:t>
      </w:r>
    </w:p>
    <w:p>
      <w:pPr>
        <w:spacing w:after="140" w:line="276"/>
        <w:jc w:val="left"/>
      </w:pPr>
      <w:r>
        <w:rPr>
          <w:rFonts w:ascii="Calibri" w:cs="Calibri" w:eastAsia="Calibri" w:hAnsi="Calibri"/>
          <w:b w:val="false"/>
          <w:bCs w:val="false"/>
          <w:i w:val="false"/>
          <w:iCs w:val="false"/>
          <w:color w:val="000000"/>
          <w:sz w:val="21"/>
          <w:szCs w:val="21"/>
        </w:rPr>
        <w:t xml:space="preserve">Each pair of CTCs is hybrid-bonded face-to-face onto one MHC using TSMC SoIC, giving a vertical die-to-die interface at 9 µm bump pitch. The two MHC/CTC stacks and the four HBM4 stacks then sit on a CoWoS-L interposer with local silicon bridges, on an organic substrate.</w:t>
      </w:r>
    </w:p>
    <w:p>
      <w:pPr>
        <w:spacing w:after="140" w:line="276"/>
        <w:jc w:val="left"/>
      </w:pPr>
      <w:r>
        <w:rPr>
          <w:rFonts w:ascii="Calibri" w:cs="Calibri" w:eastAsia="Calibri" w:hAnsi="Calibri"/>
          <w:b w:val="false"/>
          <w:bCs w:val="false"/>
          <w:i w:val="false"/>
          <w:iCs w:val="false"/>
          <w:color w:val="000000"/>
          <w:sz w:val="21"/>
          <w:szCs w:val="21"/>
        </w:rPr>
        <w:t xml:space="preserve">The rationale for this specific partition is developed in Section 14.1, but the short version is: everything that benefits from N2P density is on the CTCs, everything that does not is on the MHCs, and the vertical bond makes the SRAM behave as though it were local to the compute despite being on a different die and a different node.</w:t>
      </w:r>
    </w:p>
    <w:p>
      <w:pPr>
        <w:pStyle w:val="Heading2"/>
        <w:spacing w:after="120" w:before="300"/>
      </w:pPr>
      <w:r>
        <w:rPr>
          <w:rFonts w:ascii="Calibri" w:cs="Calibri" w:eastAsia="Calibri" w:hAnsi="Calibri"/>
          <w:b/>
          <w:bCs/>
          <w:color w:val="1F4E5F"/>
          <w:sz w:val="26"/>
          <w:szCs w:val="26"/>
        </w:rPr>
        <w:t xml:space="preserve">5.2  Top-level block diagram</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SC-1 PACKAGE  (CoWoS-L, ~2,600 mm²)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HBM4   │   │  CTC-0        CTC-1   │  │  CTC-2        CTC-3   │  │HBM4 │ ║</w:t>
      </w:r>
    </w:p>
    <w:p>
      <w:pPr>
        <w:shd w:fill="EEF3F6" w:val="clear"/>
        <w:spacing w:after="0" w:line="216"/>
        <w:ind w:left="120" w:right="120"/>
      </w:pPr>
      <w:r>
        <w:rPr>
          <w:rFonts w:ascii="Consolas" w:cs="Consolas" w:eastAsia="Consolas" w:hAnsi="Consolas"/>
          <w:sz w:val="15"/>
          <w:szCs w:val="15"/>
        </w:rPr>
        <w:t xml:space="preserve">        ║   │ 48 GB  │   │ ┌────┐       ┌────┐   │  │ ┌────┐       ┌────┐   │  │48GB │ ║</w:t>
      </w:r>
    </w:p>
    <w:p>
      <w:pPr>
        <w:shd w:fill="EEF3F6" w:val="clear"/>
        <w:spacing w:after="0" w:line="216"/>
        <w:ind w:left="120" w:right="120"/>
      </w:pPr>
      <w:r>
        <w:rPr>
          <w:rFonts w:ascii="Consolas" w:cs="Consolas" w:eastAsia="Consolas" w:hAnsi="Consolas"/>
          <w:sz w:val="15"/>
          <w:szCs w:val="15"/>
        </w:rPr>
        <w:t xml:space="preserve">        ║   │ 16-Hi  │   │ │8×TT│       │8×TT│   │  │ │8×TT│       │8×TT│   │  │16-Hi│ ║</w:t>
      </w:r>
    </w:p>
    <w:p>
      <w:pPr>
        <w:shd w:fill="EEF3F6" w:val="clear"/>
        <w:spacing w:after="0" w:line="216"/>
        <w:ind w:left="120" w:right="120"/>
      </w:pPr>
      <w:r>
        <w:rPr>
          <w:rFonts w:ascii="Consolas" w:cs="Consolas" w:eastAsia="Consolas" w:hAnsi="Consolas"/>
          <w:sz w:val="15"/>
          <w:szCs w:val="15"/>
        </w:rPr>
        <w:t xml:space="preserve">        ║   │2.46TB/s│   │ │ AE │       │ AE │   │  │ │ AE │       │ AE │   │  │2.46 │ ║</w:t>
      </w:r>
    </w:p>
    <w:p>
      <w:pPr>
        <w:shd w:fill="EEF3F6" w:val="clear"/>
        <w:spacing w:after="0" w:line="216"/>
        <w:ind w:left="120" w:right="120"/>
      </w:pPr>
      <w:r>
        <w:rPr>
          <w:rFonts w:ascii="Consolas" w:cs="Consolas" w:eastAsia="Consolas" w:hAnsi="Consolas"/>
          <w:sz w:val="15"/>
          <w:szCs w:val="15"/>
        </w:rPr>
        <w:t xml:space="preserve">        ║   └───┬────┘   │ │ VC │       │ VC │   │  │ │ VC │       │ VC │   │  └──┬──┘ ║</w:t>
      </w:r>
    </w:p>
    <w:p>
      <w:pPr>
        <w:shd w:fill="EEF3F6" w:val="clear"/>
        <w:spacing w:after="0" w:line="216"/>
        <w:ind w:left="120" w:right="120"/>
      </w:pPr>
      <w:r>
        <w:rPr>
          <w:rFonts w:ascii="Consolas" w:cs="Consolas" w:eastAsia="Consolas" w:hAnsi="Consolas"/>
          <w:sz w:val="15"/>
          <w:szCs w:val="15"/>
        </w:rPr>
        <w:t xml:space="preserve">        ║       │        │ └──┬─┘       └──┬─┘   │  │ └──┬─┘       └──┬─┘   │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SoIC │ 9 µm pitch │             │            │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MHC-0            ╟─╫──────  MHC-1            ╟────┘    ║</w:t>
      </w:r>
    </w:p>
    <w:p>
      <w:pPr>
        <w:shd w:fill="EEF3F6" w:val="clear"/>
        <w:spacing w:after="0" w:line="216"/>
        <w:ind w:left="120" w:right="120"/>
      </w:pPr>
      <w:r>
        <w:rPr>
          <w:rFonts w:ascii="Consolas" w:cs="Consolas" w:eastAsia="Consolas" w:hAnsi="Consolas"/>
          <w:sz w:val="15"/>
          <w:szCs w:val="15"/>
        </w:rPr>
        <w:t xml:space="preserve">        ║   ┌────┐     ║  RTS SRAM  256 MB       ║ ║  RTS SRAM  256 MB       ║  ┌────┐ ║</w:t>
      </w:r>
    </w:p>
    <w:p>
      <w:pPr>
        <w:shd w:fill="EEF3F6" w:val="clear"/>
        <w:spacing w:after="0" w:line="216"/>
        <w:ind w:left="120" w:right="120"/>
      </w:pPr>
      <w:r>
        <w:rPr>
          <w:rFonts w:ascii="Consolas" w:cs="Consolas" w:eastAsia="Consolas" w:hAnsi="Consolas"/>
          <w:sz w:val="15"/>
          <w:szCs w:val="15"/>
        </w:rPr>
        <w:t xml:space="preserve">        ║   │HBM4├─────╢  Mesh NoC   (half)      ║ ║  Mesh NoC   (half)      ╟──┤HBM4│ ║</w:t>
      </w:r>
    </w:p>
    <w:p>
      <w:pPr>
        <w:shd w:fill="EEF3F6" w:val="clear"/>
        <w:spacing w:after="0" w:line="216"/>
        <w:ind w:left="120" w:right="120"/>
      </w:pPr>
      <w:r>
        <w:rPr>
          <w:rFonts w:ascii="Consolas" w:cs="Consolas" w:eastAsia="Consolas" w:hAnsi="Consolas"/>
          <w:sz w:val="15"/>
          <w:szCs w:val="15"/>
        </w:rPr>
        <w:t xml:space="preserve">        ║   │48GB│     ║  2× HBM4 ctrl + PHY     ║ ║  2× HBM4 ctrl + PHY     ║  │48GB│ ║</w:t>
      </w:r>
    </w:p>
    <w:p>
      <w:pPr>
        <w:shd w:fill="EEF3F6" w:val="clear"/>
        <w:spacing w:after="0" w:line="216"/>
        <w:ind w:left="120" w:right="120"/>
      </w:pPr>
      <w:r>
        <w:rPr>
          <w:rFonts w:ascii="Consolas" w:cs="Consolas" w:eastAsia="Consolas" w:hAnsi="Consolas"/>
          <w:sz w:val="15"/>
          <w:szCs w:val="15"/>
        </w:rPr>
        <w:t xml:space="preserve">        ║   └────┘     ║  512-bit LPDDR6 PHY     ║ ║  512-bit LPDDR6 PHY     ║  └────┘ ║</w:t>
      </w:r>
    </w:p>
    <w:p>
      <w:pPr>
        <w:shd w:fill="EEF3F6" w:val="clear"/>
        <w:spacing w:after="0" w:line="216"/>
        <w:ind w:left="120" w:right="120"/>
      </w:pPr>
      <w:r>
        <w:rPr>
          <w:rFonts w:ascii="Consolas" w:cs="Consolas" w:eastAsia="Consolas" w:hAnsi="Consolas"/>
          <w:sz w:val="15"/>
          <w:szCs w:val="15"/>
        </w:rPr>
        <w:t xml:space="preserve">        ║              ║  CTM · PCE · Codec      ║ ║  CTM · PCE · Codec      ║         ║</w:t>
      </w:r>
    </w:p>
    <w:p>
      <w:pPr>
        <w:shd w:fill="EEF3F6" w:val="clear"/>
        <w:spacing w:after="0" w:line="216"/>
        <w:ind w:left="120" w:right="120"/>
      </w:pPr>
      <w:r>
        <w:rPr>
          <w:rFonts w:ascii="Consolas" w:cs="Consolas" w:eastAsia="Consolas" w:hAnsi="Consolas"/>
          <w:sz w:val="15"/>
          <w:szCs w:val="15"/>
        </w:rPr>
        <w:t xml:space="preserve">        ║              ║  Sentinel RoT           ║ ║  Sentinel (mirror)      ║         ║</w:t>
      </w:r>
    </w:p>
    <w:p>
      <w:pPr>
        <w:shd w:fill="EEF3F6" w:val="clear"/>
        <w:spacing w:after="0" w:line="216"/>
        <w:ind w:left="120" w:right="120"/>
      </w:pPr>
      <w:r>
        <w:rPr>
          <w:rFonts w:ascii="Consolas" w:cs="Consolas" w:eastAsia="Consolas" w:hAnsi="Consolas"/>
          <w:sz w:val="15"/>
          <w:szCs w:val="15"/>
        </w:rPr>
        <w:t xml:space="preserve">        ║              ║  32× 224G SerDes        ║ ║  32× 224G SerDes        ║         ║</w:t>
      </w:r>
    </w:p>
    <w:p>
      <w:pPr>
        <w:shd w:fill="EEF3F6" w:val="clear"/>
        <w:spacing w:after="0" w:line="216"/>
        <w:ind w:left="120" w:right="120"/>
      </w:pPr>
      <w:r>
        <w:rPr>
          <w:rFonts w:ascii="Consolas" w:cs="Consolas" w:eastAsia="Consolas" w:hAnsi="Consolas"/>
          <w:sz w:val="15"/>
          <w:szCs w:val="15"/>
        </w:rPr>
        <w:t xml:space="preserve">        ║              ║  1× 800GbE MAC          ║ ║  1× 800GbE MAC          ║         ║</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  ┌───▼──────┐  ┌───────▼──────┐  └──── PCIe Gen6 x16</w:t>
      </w:r>
    </w:p>
    <w:p>
      <w:pPr>
        <w:shd w:fill="EEF3F6" w:val="clear"/>
        <w:spacing w:after="0" w:line="216"/>
        <w:ind w:left="120" w:right="120"/>
      </w:pPr>
      <w:r>
        <w:rPr>
          <w:rFonts w:ascii="Consolas" w:cs="Consolas" w:eastAsia="Consolas" w:hAnsi="Consolas"/>
          <w:sz w:val="15"/>
          <w:szCs w:val="15"/>
        </w:rPr>
        <w:t xml:space="preserve">                  │ LPDDR6 ×8     │  │ Cobalt   │  │ LPDDR6 ×8    │       to host</w:t>
      </w:r>
    </w:p>
    <w:p>
      <w:pPr>
        <w:shd w:fill="EEF3F6" w:val="clear"/>
        <w:spacing w:after="0" w:line="216"/>
        <w:ind w:left="120" w:right="120"/>
      </w:pPr>
      <w:r>
        <w:rPr>
          <w:rFonts w:ascii="Consolas" w:cs="Consolas" w:eastAsia="Consolas" w:hAnsi="Consolas"/>
          <w:sz w:val="15"/>
          <w:szCs w:val="15"/>
        </w:rPr>
        <w:t xml:space="preserve">                  │ 256 GB        │  │ Link     │  │ 256 GB       │</w:t>
      </w:r>
    </w:p>
    <w:p>
      <w:pPr>
        <w:shd w:fill="EEF3F6" w:val="clear"/>
        <w:spacing w:after="0" w:line="216"/>
        <w:ind w:left="120" w:right="120"/>
      </w:pPr>
      <w:r>
        <w:rPr>
          <w:rFonts w:ascii="Consolas" w:cs="Consolas" w:eastAsia="Consolas" w:hAnsi="Consolas"/>
          <w:sz w:val="15"/>
          <w:szCs w:val="15"/>
        </w:rPr>
        <w:t xml:space="preserve">                  │ 512-bit       │  │ 3.58TB/s │  │ 512-bit      │</w:t>
      </w:r>
    </w:p>
    <w:p>
      <w:pPr>
        <w:shd w:fill="EEF3F6" w:val="clear"/>
        <w:spacing w:after="0" w:line="216"/>
        <w:ind w:left="120" w:right="120"/>
      </w:pPr>
      <w:r>
        <w:rPr>
          <w:rFonts w:ascii="Consolas" w:cs="Consolas" w:eastAsia="Consolas" w:hAnsi="Consolas"/>
          <w:sz w:val="15"/>
          <w:szCs w:val="15"/>
        </w:rPr>
        <w:t xml:space="preserve">                  │ 0.92 TB/s     │  │ bidir    │  │ 0.92 TB/s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ON MODULE          to 63 peers        ON MODULE</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5-1. SC-1 top-level organisation. TT = Tensor Tile, AE = Attention Engine, VC = Vector Complex, RTS = Resident Tensor Store, CTM = Context Tier Manager, PCE = Prefix Cache Engine.</w:t>
      </w:r>
    </w:p>
    <w:p>
      <w:pPr>
        <w:pStyle w:val="Heading2"/>
        <w:spacing w:after="120" w:before="300"/>
      </w:pPr>
      <w:r>
        <w:rPr>
          <w:rFonts w:ascii="Calibri" w:cs="Calibri" w:eastAsia="Calibri" w:hAnsi="Calibri"/>
          <w:b/>
          <w:bCs/>
          <w:color w:val="1F4E5F"/>
          <w:sz w:val="26"/>
          <w:szCs w:val="26"/>
        </w:rPr>
        <w:t xml:space="preserve">5.3  Dataflow at a glance</w:t>
      </w:r>
    </w:p>
    <w:p>
      <w:pPr>
        <w:spacing w:after="140" w:line="276"/>
        <w:jc w:val="left"/>
      </w:pPr>
      <w:r>
        <w:rPr>
          <w:rFonts w:ascii="Calibri" w:cs="Calibri" w:eastAsia="Calibri" w:hAnsi="Calibri"/>
          <w:b w:val="false"/>
          <w:bCs w:val="false"/>
          <w:i w:val="false"/>
          <w:iCs w:val="false"/>
          <w:color w:val="000000"/>
          <w:sz w:val="21"/>
          <w:szCs w:val="21"/>
        </w:rPr>
        <w:t xml:space="preserve">The following traces a single decode step for one sequence of an MoE model, which is the case the machine is optimised for.</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1. Sequencer on CTC-k receives a DECODE_STEP descriptor from the host runtime queue.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 TRU (Token Routing Unit, MHC) reads the router logits from RTS, selects top-k experts,</w:t>
      </w:r>
    </w:p>
    <w:p>
      <w:pPr>
        <w:shd w:fill="EEF3F6" w:val="clear"/>
        <w:spacing w:after="0" w:line="216"/>
        <w:ind w:left="120" w:right="120"/>
      </w:pPr>
      <w:r>
        <w:rPr>
          <w:rFonts w:ascii="Consolas" w:cs="Consolas" w:eastAsia="Consolas" w:hAnsi="Consolas"/>
          <w:sz w:val="15"/>
          <w:szCs w:val="15"/>
        </w:rPr>
        <w:t xml:space="preserve">     and issues gather descriptors. Tokens destined for the same expert are permuted into</w:t>
      </w:r>
    </w:p>
    <w:p>
      <w:pPr>
        <w:shd w:fill="EEF3F6" w:val="clear"/>
        <w:spacing w:after="0" w:line="216"/>
        <w:ind w:left="120" w:right="120"/>
      </w:pPr>
      <w:r>
        <w:rPr>
          <w:rFonts w:ascii="Consolas" w:cs="Consolas" w:eastAsia="Consolas" w:hAnsi="Consolas"/>
          <w:sz w:val="15"/>
          <w:szCs w:val="15"/>
        </w:rPr>
        <w:t xml:space="preserve">     contiguous rows inline with the DMA — no separate permutation pass.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3. CTM checks expert residency. Hot experts are already in Tier 1; a cold expert triggers</w:t>
      </w:r>
    </w:p>
    <w:p>
      <w:pPr>
        <w:shd w:fill="EEF3F6" w:val="clear"/>
        <w:spacing w:after="0" w:line="216"/>
        <w:ind w:left="120" w:right="120"/>
      </w:pPr>
      <w:r>
        <w:rPr>
          <w:rFonts w:ascii="Consolas" w:cs="Consolas" w:eastAsia="Consolas" w:hAnsi="Consolas"/>
          <w:sz w:val="15"/>
          <w:szCs w:val="15"/>
        </w:rPr>
        <w:t xml:space="preserve">     an asynchronous Tier-2 → Tier-1 promotion that does NOT block this step (the step uses</w:t>
      </w:r>
    </w:p>
    <w:p>
      <w:pPr>
        <w:shd w:fill="EEF3F6" w:val="clear"/>
        <w:spacing w:after="0" w:line="216"/>
        <w:ind w:left="120" w:right="120"/>
      </w:pPr>
      <w:r>
        <w:rPr>
          <w:rFonts w:ascii="Consolas" w:cs="Consolas" w:eastAsia="Consolas" w:hAnsi="Consolas"/>
          <w:sz w:val="15"/>
          <w:szCs w:val="15"/>
        </w:rPr>
        <w:t xml:space="preserve">     the Tier-2 copy directly at reduced bandwidth, and the promotion benefits later tokens).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4. Weight tiles stream HBM4 → RTS → SoIC → Tensor Tile operand registers. Weights are</w:t>
      </w:r>
    </w:p>
    <w:p>
      <w:pPr>
        <w:shd w:fill="EEF3F6" w:val="clear"/>
        <w:spacing w:after="0" w:line="216"/>
        <w:ind w:left="120" w:right="120"/>
      </w:pPr>
      <w:r>
        <w:rPr>
          <w:rFonts w:ascii="Consolas" w:cs="Consolas" w:eastAsia="Consolas" w:hAnsi="Consolas"/>
          <w:sz w:val="15"/>
          <w:szCs w:val="15"/>
        </w:rPr>
        <w:t xml:space="preserve">     decrypted at the memory controller (§12.3) and decompressed at the RTS write port</w:t>
      </w:r>
    </w:p>
    <w:p>
      <w:pPr>
        <w:shd w:fill="EEF3F6" w:val="clear"/>
        <w:spacing w:after="0" w:line="216"/>
        <w:ind w:left="120" w:right="120"/>
      </w:pPr>
      <w:r>
        <w:rPr>
          <w:rFonts w:ascii="Consolas" w:cs="Consolas" w:eastAsia="Consolas" w:hAnsi="Consolas"/>
          <w:sz w:val="15"/>
          <w:szCs w:val="15"/>
        </w:rPr>
        <w:t xml:space="preserve">     (§7.7) so that the SoIC link carries compressed, MXFP4-packed data.</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5. Tensor Tiles execute TMMA over the FFN. Partial sums stay resident in tile accumulators</w:t>
      </w:r>
    </w:p>
    <w:p>
      <w:pPr>
        <w:shd w:fill="EEF3F6" w:val="clear"/>
        <w:spacing w:after="0" w:line="216"/>
        <w:ind w:left="120" w:right="120"/>
      </w:pPr>
      <w:r>
        <w:rPr>
          <w:rFonts w:ascii="Consolas" w:cs="Consolas" w:eastAsia="Consolas" w:hAnsi="Consolas"/>
          <w:sz w:val="15"/>
          <w:szCs w:val="15"/>
        </w:rPr>
        <w:t xml:space="preserve">     (output-stationary) for the whole tile; only the final BF16 result crosses SoIC.</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6. Attention Engine executes the ATTN_DECODE macro-op: streams K and V pages from Tier 1</w:t>
      </w:r>
    </w:p>
    <w:p>
      <w:pPr>
        <w:shd w:fill="EEF3F6" w:val="clear"/>
        <w:spacing w:after="0" w:line="216"/>
        <w:ind w:left="120" w:right="120"/>
      </w:pPr>
      <w:r>
        <w:rPr>
          <w:rFonts w:ascii="Consolas" w:cs="Consolas" w:eastAsia="Consolas" w:hAnsi="Consolas"/>
          <w:sz w:val="15"/>
          <w:szCs w:val="15"/>
        </w:rPr>
        <w:t xml:space="preserve">     through the KV codec (INT8/INT4 → BF16), computes scores, runs streaming softmax with</w:t>
      </w:r>
    </w:p>
    <w:p>
      <w:pPr>
        <w:shd w:fill="EEF3F6" w:val="clear"/>
        <w:spacing w:after="0" w:line="216"/>
        <w:ind w:left="120" w:right="120"/>
      </w:pPr>
      <w:r>
        <w:rPr>
          <w:rFonts w:ascii="Consolas" w:cs="Consolas" w:eastAsia="Consolas" w:hAnsi="Consolas"/>
          <w:sz w:val="15"/>
          <w:szCs w:val="15"/>
        </w:rPr>
        <w:t xml:space="preserve">     running max and sum, and accumulates the weighted value sum. Never materialises the</w:t>
      </w:r>
    </w:p>
    <w:p>
      <w:pPr>
        <w:shd w:fill="EEF3F6" w:val="clear"/>
        <w:spacing w:after="0" w:line="216"/>
        <w:ind w:left="120" w:right="120"/>
      </w:pPr>
      <w:r>
        <w:rPr>
          <w:rFonts w:ascii="Consolas" w:cs="Consolas" w:eastAsia="Consolas" w:hAnsi="Consolas"/>
          <w:sz w:val="15"/>
          <w:szCs w:val="15"/>
        </w:rPr>
        <w:t xml:space="preserve">     S×S score matrix; peak working set is one page of K, one page of V, and two vectors.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7. Vector Complex applies RMSNorm, RoPE, SwiGLU and the residual add.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8. New K and V for this token are quantised by the KV codec and appended to the page table</w:t>
      </w:r>
    </w:p>
    <w:p>
      <w:pPr>
        <w:shd w:fill="EEF3F6" w:val="clear"/>
        <w:spacing w:after="0" w:line="216"/>
        <w:ind w:left="120" w:right="120"/>
      </w:pPr>
      <w:r>
        <w:rPr>
          <w:rFonts w:ascii="Consolas" w:cs="Consolas" w:eastAsia="Consolas" w:hAnsi="Consolas"/>
          <w:sz w:val="15"/>
          <w:szCs w:val="15"/>
        </w:rPr>
        <w:t xml:space="preserve">     entry for this sequence. PCE updates the content hash for the affected page.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9. Logits reduce across the four CTCs over the mesh NoC. Sampler (MHC) draws the token.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10. If the sequence has issued a tool call, the scheduler marks it PARKED; CTM begins</w:t>
      </w:r>
    </w:p>
    <w:p>
      <w:pPr>
        <w:shd w:fill="EEF3F6" w:val="clear"/>
        <w:spacing w:after="0" w:line="216"/>
        <w:ind w:left="120" w:right="120"/>
      </w:pPr>
      <w:r>
        <w:rPr>
          <w:rFonts w:ascii="Consolas" w:cs="Consolas" w:eastAsia="Consolas" w:hAnsi="Consolas"/>
          <w:sz w:val="15"/>
          <w:szCs w:val="15"/>
        </w:rPr>
        <w:t xml:space="preserve">     background migration of its KV pages to Tier 2 at a rate that does not contend with</w:t>
      </w:r>
    </w:p>
    <w:p>
      <w:pPr>
        <w:shd w:fill="EEF3F6" w:val="clear"/>
        <w:spacing w:after="0" w:line="216"/>
        <w:ind w:left="120" w:right="120"/>
      </w:pPr>
      <w:r>
        <w:rPr>
          <w:rFonts w:ascii="Consolas" w:cs="Consolas" w:eastAsia="Consolas" w:hAnsi="Consolas"/>
          <w:sz w:val="15"/>
          <w:szCs w:val="15"/>
        </w:rPr>
        <w:t xml:space="preserve">     foreground traffic (§8.4.3).</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5-2. Decode-step dataflow.</w:t>
      </w:r>
    </w:p>
    <w:p>
      <w:pPr>
        <w:pStyle w:val="Heading2"/>
        <w:spacing w:after="120" w:before="300"/>
      </w:pPr>
      <w:r>
        <w:rPr>
          <w:rFonts w:ascii="Calibri" w:cs="Calibri" w:eastAsia="Calibri" w:hAnsi="Calibri"/>
          <w:b/>
          <w:bCs/>
          <w:color w:val="1F4E5F"/>
          <w:sz w:val="26"/>
          <w:szCs w:val="26"/>
        </w:rPr>
        <w:t xml:space="preserve">5.4  Clock and power domains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311"/>
        <w:gridCol w:w="1310"/>
        <w:gridCol w:w="936"/>
        <w:gridCol w:w="3744"/>
        <w:gridCol w:w="2059"/>
      </w:tblGrid>
      <w:tr>
        <w:trPr>
          <w:cantSplit/>
          <w:tblHeader/>
        </w:trPr>
        <w:tc>
          <w:tcPr>
            <w:tcW w:type="dxa" w:w="131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Domain</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Nominal freq.</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Voltage</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Contents</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DVFS granularity</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CLK_TT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1.50 GHz</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0.62 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Tensor Tile arrays and operand registers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 tile-group (4 tiles)</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CLK_AE</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1.50 GHz</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0.62 V</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Attention Engine datapath</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 CTC</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CLK_VC</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1.20 GHz</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0.60 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Vector Complex, transcendental units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 CTC</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CLK_SEQ</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1.00 GHz</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0.68 V</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Sequencer, RISC-V control core, ICache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Fixed (always-on island)</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CLK_NOC</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1.25 GHz</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0.68 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Mesh NoC routers, SoIC PHY logic</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Fixed</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CLK_RTS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1.25 GHz</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0.70 V</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RTS SRAM arrays and crossbar</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Fixed (retention at 0.55 V)</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CLK_MEM</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1.20 GHz</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0.75 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HBM4 and LPDDR6 controllers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Fixed</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CLK_SER</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224 Gb/s lane rate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0.85 V analogue</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SerDes, Ethernet MAC</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Per-link lane shutdown</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CLK_SEC</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800 MHz</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0.75 V</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Sentinel root of trust</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Always on, independently powered</w:t>
            </w:r>
          </w:p>
        </w:tc>
      </w:tr>
    </w:tbl>
    <w:p>
      <w:pPr>
        <w:spacing w:after="220" w:before="60"/>
      </w:pPr>
      <w:r>
        <w:rPr>
          <w:i/>
          <w:iCs/>
          <w:color w:val="595959"/>
          <w:sz w:val="17"/>
          <w:szCs w:val="17"/>
        </w:rPr>
        <w:t xml:space="preserve">Table 5-1. Clock and power domains. Voltages are Tier C targets pending PDK characterisation.</w:t>
      </w:r>
    </w:p>
    <w:p>
      <w:pPr>
        <w:spacing w:after="140" w:line="276"/>
        <w:jc w:val="left"/>
      </w:pPr>
      <w:r>
        <w:rPr>
          <w:rFonts w:ascii="Calibri" w:cs="Calibri" w:eastAsia="Calibri" w:hAnsi="Calibri"/>
          <w:b w:val="false"/>
          <w:bCs w:val="false"/>
          <w:i w:val="false"/>
          <w:iCs w:val="false"/>
          <w:color w:val="000000"/>
          <w:sz w:val="21"/>
          <w:szCs w:val="21"/>
        </w:rPr>
        <w:t xml:space="preserve">The design deliberately keeps the compute clock low — 1.5 GHz, against the 1.8–2.1 GHz typical of a GPU shader domain. This is a power-efficiency choice: at N2P, moving from 1.5 GHz to 1.9 GHz would require roughly 0.68 V rather than 0.62 V, and dynamic power scales with V², so a 27% frequency gain would cost approximately 52% more dynamic power in the arrays. Since the machine is bandwidth-bound in its dominant phase, that trade is unambiguously bad. Wide and slow beats narrow and fast for this workload.</w:t>
      </w:r>
    </w:p>
    <w:p>
      <w:pPr>
        <w:pStyle w:val="Heading2"/>
        <w:spacing w:after="120" w:before="300"/>
      </w:pPr>
      <w:r>
        <w:rPr>
          <w:rFonts w:ascii="Calibri" w:cs="Calibri" w:eastAsia="Calibri" w:hAnsi="Calibri"/>
          <w:b/>
          <w:bCs/>
          <w:color w:val="1F4E5F"/>
          <w:sz w:val="26"/>
          <w:szCs w:val="26"/>
        </w:rPr>
        <w:t xml:space="preserve">5.5  Memory map and address spaces</w:t>
      </w:r>
    </w:p>
    <w:p>
      <w:pPr>
        <w:spacing w:after="140" w:line="276"/>
        <w:jc w:val="left"/>
      </w:pPr>
      <w:r>
        <w:rPr>
          <w:rFonts w:ascii="Calibri" w:cs="Calibri" w:eastAsia="Calibri" w:hAnsi="Calibri"/>
          <w:b w:val="false"/>
          <w:bCs w:val="false"/>
          <w:i w:val="false"/>
          <w:iCs w:val="false"/>
          <w:color w:val="000000"/>
          <w:sz w:val="21"/>
          <w:szCs w:val="21"/>
        </w:rPr>
        <w:t xml:space="preserve">SC-1 presents a 52-bit physical address space partitioned as follows. The partition is fixed in hardware; the sizes of the regions within Tier 1 and Tier 2 are software-configurable at initialisation.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685"/>
        <w:gridCol w:w="2434"/>
        <w:gridCol w:w="936"/>
        <w:gridCol w:w="1310"/>
        <w:gridCol w:w="2995"/>
      </w:tblGrid>
      <w:tr>
        <w:trPr>
          <w:cantSplit/>
          <w:tblHeader/>
        </w:trPr>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Region</w:t>
            </w:r>
          </w:p>
        </w:tc>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Address range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Size</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Backing</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Access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RTS scratchpad</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0x0000_0000_0000 – 0x0000_1FFF_FFFF</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512 MB</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On-die SRAM</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Direct, physically addressed by tile</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Tier-1 weights</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0x0001_0000_0000 – 0x0002_FFFF_FFFF</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up to 128 GB</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HBM4</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Sealed; decrypted at controller</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Tier-1 KV pages</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0x0003_0000_0000 – 0x0003_FFFF_FFFF</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up to 64 GB</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HBM4</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Via page table; CTM-managed</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Tier-2 capacity pool</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0x0010_0000_0000 – 0x0018_FFFF_FFFF</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512 GB</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LPDDR6</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Via page table; CTM-managed</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Control registers</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0x00F0_0000_0000 – 0x00F0_00FF_FFFF</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16 MB</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Register file</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Host MMIO, privilege-gated</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Sentinel private</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0x00FF_0000_0000 – 0x00FF_000F_FFFF</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 MB</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Dedicated SRAM</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Sentinel only; not host-visible</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Interpretability ring</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configurable within Tier 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up to 32 GB</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LPDDR6</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Write-only from tap; read gated</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Peer aperture</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0x0100_0000_0000 – 0x0FFF_FFFF_FFFF</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63 × 704 GB</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Remote SC-1 via Cobalt Link</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RDMA, capability-checked</w:t>
            </w:r>
          </w:p>
        </w:tc>
      </w:tr>
    </w:tbl>
    <w:p>
      <w:pPr>
        <w:spacing w:after="220" w:before="60"/>
      </w:pPr>
      <w:r>
        <w:rPr>
          <w:i/>
          <w:iCs/>
          <w:color w:val="595959"/>
          <w:sz w:val="17"/>
          <w:szCs w:val="17"/>
        </w:rPr>
        <w:t xml:space="preserve">Table 5-2. Physical address map.</w:t>
      </w:r>
    </w:p>
    <w:p>
      <w:r>
        <w:br w:type="page"/>
      </w:r>
    </w:p>
    <w:p>
      <w:pPr>
        <w:pStyle w:val="Heading1"/>
        <w:spacing w:after="160" w:before="400"/>
      </w:pPr>
      <w:r>
        <w:rPr>
          <w:rFonts w:ascii="Calibri" w:cs="Calibri" w:eastAsia="Calibri" w:hAnsi="Calibri"/>
          <w:b/>
          <w:bCs/>
          <w:color w:val="1F4E5F"/>
          <w:sz w:val="32"/>
          <w:szCs w:val="32"/>
        </w:rPr>
        <w:t xml:space="preserve">6.  Compute Tile Chiplet (CTC)</w:t>
      </w:r>
    </w:p>
    <w:p>
      <w:pPr>
        <w:pStyle w:val="Heading2"/>
        <w:spacing w:after="120" w:before="300"/>
      </w:pPr>
      <w:r>
        <w:rPr>
          <w:rFonts w:ascii="Calibri" w:cs="Calibri" w:eastAsia="Calibri" w:hAnsi="Calibri"/>
          <w:b/>
          <w:bCs/>
          <w:color w:val="1F4E5F"/>
          <w:sz w:val="26"/>
          <w:szCs w:val="26"/>
        </w:rPr>
        <w:t xml:space="preserve">6.1  Overview and budget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434"/>
        <w:gridCol w:w="2246"/>
        <w:gridCol w:w="4680"/>
      </w:tblGrid>
      <w:tr>
        <w:trPr>
          <w:cantSplit/>
          <w:tblHeader/>
        </w:trPr>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68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Process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N2P, nanosheet GAA</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Backside power delivery assumed available; see §14.2 for the fallback</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Die area</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210 mm² (14.0 mm × 15.0 mm)</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the floorplan in §14.3 closes at 207 mm² with 3 mm² margin</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Transistors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63 billion</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 an assumed 300 MTr/mm² average logic density</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Tensor Tiles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 enabled in the harvested SKU</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MACs per tile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65,536 (256 × 256)</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MXFP8 native; MXFP4 at 2× via dual-issue</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MACs per CTC</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524,288</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Peak MXFP8 (dense)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1.57 PFLOPS</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524,288 × 1.5 GHz</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Peak MXFP4 (dense)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3.15 PFLOPS</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Local SRAM</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24 MB</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Operand staging and accumulator spill only; the bulk of SRAM is on the MHC</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SoIC bond area</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 mm² × 2 faces</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 µm pitch, ~220,000 signal bonds</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SoIC bandwidth to MHC</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6.0 TB/s per CTC</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Bidirectional; §6.9</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Power budget</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110 W</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§14.4 breakdown</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Metal stack</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metal + 2 backside power</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6-1. CTC top-level parameters.</w:t>
      </w:r>
    </w:p>
    <w:p>
      <w:pPr>
        <w:spacing w:after="140" w:line="276"/>
        <w:jc w:val="left"/>
      </w:pPr>
      <w:r>
        <w:rPr>
          <w:rFonts w:ascii="Calibri" w:cs="Calibri" w:eastAsia="Calibri" w:hAnsi="Calibri"/>
          <w:b w:val="false"/>
          <w:bCs w:val="false"/>
          <w:i w:val="false"/>
          <w:iCs w:val="false"/>
          <w:color w:val="000000"/>
          <w:sz w:val="21"/>
          <w:szCs w:val="21"/>
        </w:rPr>
        <w:t xml:space="preserve">A note on the transistor budget, because it is the figure most likely to be challenged. 524,288 MAC slots in approximately 147 mm² of array gives 280 µm² per MAC slot. At an assumed N2P logic density of 300 MTr/mm², that is roughly 84,000 transistors per MAC slot. An MXFP8 multiplier with a shared-exponent path and a BF16-precision accumulator is on the order of 4,000–7,000 transistors. The remaining 12–20× covers operand registers, the local weight register file, accumulator storage, pipeline staging, clock and reset distribution, and the very substantial wiring overhead of a 256 × 256 array. This is comfortable rather than aggressive; if the analysis is wrong it is likely to be wrong in the direction of the array being smaller than budgeted, in which case the correct response is to add SRAM, not FLOPS.</w:t>
      </w:r>
    </w:p>
    <w:p>
      <w:pPr>
        <w:pStyle w:val="Heading2"/>
        <w:spacing w:after="120" w:before="300"/>
      </w:pPr>
      <w:r>
        <w:rPr>
          <w:rFonts w:ascii="Calibri" w:cs="Calibri" w:eastAsia="Calibri" w:hAnsi="Calibri"/>
          <w:b/>
          <w:bCs/>
          <w:color w:val="1F4E5F"/>
          <w:sz w:val="26"/>
          <w:szCs w:val="26"/>
        </w:rPr>
        <w:t xml:space="preserve">6.2  CTC block diagram</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CTC   14.0 × 15.0 mm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TILE GROUP A                        TILE GROUP B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 TT0  ││ TT1  ││ TT2  ││ TT3  │   │ TT4  ││ TT5  ││ TT6  ││ TT7  │   │  │</w:t>
      </w:r>
    </w:p>
    <w:p>
      <w:pPr>
        <w:shd w:fill="EEF3F6" w:val="clear"/>
        <w:spacing w:after="0" w:line="216"/>
        <w:ind w:left="120" w:right="120"/>
      </w:pPr>
      <w:r>
        <w:rPr>
          <w:rFonts w:ascii="Consolas" w:cs="Consolas" w:eastAsia="Consolas" w:hAnsi="Consolas"/>
          <w:sz w:val="15"/>
          <w:szCs w:val="15"/>
        </w:rPr>
        <w:t xml:space="preserve">  │  │  │256×  ││256×  ││256×  ││256×  │   │256×  ││256×  ││256×  ││256×  │   │  │</w:t>
      </w:r>
    </w:p>
    <w:p>
      <w:pPr>
        <w:shd w:fill="EEF3F6" w:val="clear"/>
        <w:spacing w:after="0" w:line="216"/>
        <w:ind w:left="120" w:right="120"/>
      </w:pPr>
      <w:r>
        <w:rPr>
          <w:rFonts w:ascii="Consolas" w:cs="Consolas" w:eastAsia="Consolas" w:hAnsi="Consolas"/>
          <w:sz w:val="15"/>
          <w:szCs w:val="15"/>
        </w:rPr>
        <w:t xml:space="preserve">  │  │  │256   ││256   ││256   ││256   │   │256   ││256   ││256   ││256   │   │  │</w:t>
      </w:r>
    </w:p>
    <w:p>
      <w:pPr>
        <w:shd w:fill="EEF3F6" w:val="clear"/>
        <w:spacing w:after="0" w:line="216"/>
        <w:ind w:left="120" w:right="120"/>
      </w:pPr>
      <w:r>
        <w:rPr>
          <w:rFonts w:ascii="Consolas" w:cs="Consolas" w:eastAsia="Consolas" w:hAnsi="Consolas"/>
          <w:sz w:val="15"/>
          <w:szCs w:val="15"/>
        </w:rPr>
        <w:t xml:space="preserve">  │  │  │ MAC  ││ MAC  ││ MAC  ││ MAC  │   │ MAC  ││ MAC  ││ MAC  ││ MAC  │   │  │</w:t>
      </w:r>
    </w:p>
    <w:p>
      <w:pPr>
        <w:shd w:fill="EEF3F6" w:val="clear"/>
        <w:spacing w:after="0" w:line="216"/>
        <w:ind w:left="120" w:right="120"/>
      </w:pPr>
      <w:r>
        <w:rPr>
          <w:rFonts w:ascii="Consolas" w:cs="Consolas" w:eastAsia="Consolas" w:hAnsi="Consolas"/>
          <w:sz w:val="15"/>
          <w:szCs w:val="15"/>
        </w:rPr>
        <w:t xml:space="preserve">  │  │  │+1.5MB││+1.5MB││+1.5MB││+1.5MB│   │+1.5MB││+1.5MB││+1.5MB││+1.5MB│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             └───────┴───────┴───────┤   │  │</w:t>
      </w:r>
    </w:p>
    <w:p>
      <w:pPr>
        <w:shd w:fill="EEF3F6" w:val="clear"/>
        <w:spacing w:after="0" w:line="216"/>
        <w:ind w:left="120" w:right="120"/>
      </w:pPr>
      <w:r>
        <w:rPr>
          <w:rFonts w:ascii="Consolas" w:cs="Consolas" w:eastAsia="Consolas" w:hAnsi="Consolas"/>
          <w:sz w:val="15"/>
          <w:szCs w:val="15"/>
        </w:rPr>
        <w:t xml:space="preserve">  │  │        Operand Bus A  4 TB/s │      Operand Bus B  4 TB/s          │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  ┌──────────────────────┐  ┌────▼──────────────┐  ┌───────────────────▼───┐  │</w:t>
      </w:r>
    </w:p>
    <w:p>
      <w:pPr>
        <w:shd w:fill="EEF3F6" w:val="clear"/>
        <w:spacing w:after="0" w:line="216"/>
        <w:ind w:left="120" w:right="120"/>
      </w:pPr>
      <w:r>
        <w:rPr>
          <w:rFonts w:ascii="Consolas" w:cs="Consolas" w:eastAsia="Consolas" w:hAnsi="Consolas"/>
          <w:sz w:val="15"/>
          <w:szCs w:val="15"/>
        </w:rPr>
        <w:t xml:space="preserve">  │  │  ATTENTION ENGINE    │  │  VECTOR COMPLEX   │  │   SEQUENCER + CTRL    │  │</w:t>
      </w:r>
    </w:p>
    <w:p>
      <w:pPr>
        <w:shd w:fill="EEF3F6" w:val="clear"/>
        <w:spacing w:after="0" w:line="216"/>
        <w:ind w:left="120" w:right="120"/>
      </w:pPr>
      <w:r>
        <w:rPr>
          <w:rFonts w:ascii="Consolas" w:cs="Consolas" w:eastAsia="Consolas" w:hAnsi="Consolas"/>
          <w:sz w:val="15"/>
          <w:szCs w:val="15"/>
        </w:rPr>
        <w:t xml:space="preserve">  │  │  · QK^T datapath     │  │  · 4 × 1024-lane  │  │  · VLIW issue, 6 slot │  │</w:t>
      </w:r>
    </w:p>
    <w:p>
      <w:pPr>
        <w:shd w:fill="EEF3F6" w:val="clear"/>
        <w:spacing w:after="0" w:line="216"/>
        <w:ind w:left="120" w:right="120"/>
      </w:pPr>
      <w:r>
        <w:rPr>
          <w:rFonts w:ascii="Consolas" w:cs="Consolas" w:eastAsia="Consolas" w:hAnsi="Consolas"/>
          <w:sz w:val="15"/>
          <w:szCs w:val="15"/>
        </w:rPr>
        <w:t xml:space="preserve">  │  │  · streaming softmax │  │    FP32/BF16 SIMD │  │  · 64-entry descr. Q  │  │</w:t>
      </w:r>
    </w:p>
    <w:p>
      <w:pPr>
        <w:shd w:fill="EEF3F6" w:val="clear"/>
        <w:spacing w:after="0" w:line="216"/>
        <w:ind w:left="120" w:right="120"/>
      </w:pPr>
      <w:r>
        <w:rPr>
          <w:rFonts w:ascii="Consolas" w:cs="Consolas" w:eastAsia="Consolas" w:hAnsi="Consolas"/>
          <w:sz w:val="15"/>
          <w:szCs w:val="15"/>
        </w:rPr>
        <w:t xml:space="preserve">  │  │  · PV accumulate     │  │  · RMSNorm tree   │  │  · RISC-V RV64GC ctrl │  │</w:t>
      </w:r>
    </w:p>
    <w:p>
      <w:pPr>
        <w:shd w:fill="EEF3F6" w:val="clear"/>
        <w:spacing w:after="0" w:line="216"/>
        <w:ind w:left="120" w:right="120"/>
      </w:pPr>
      <w:r>
        <w:rPr>
          <w:rFonts w:ascii="Consolas" w:cs="Consolas" w:eastAsia="Consolas" w:hAnsi="Consolas"/>
          <w:sz w:val="15"/>
          <w:szCs w:val="15"/>
        </w:rPr>
        <w:t xml:space="preserve">  │  │  · KV codec 4/8-bit  │  │  · RoPE unit      │  │  · 512 KB ICache      │  │</w:t>
      </w:r>
    </w:p>
    <w:p>
      <w:pPr>
        <w:shd w:fill="EEF3F6" w:val="clear"/>
        <w:spacing w:after="0" w:line="216"/>
        <w:ind w:left="120" w:right="120"/>
      </w:pPr>
      <w:r>
        <w:rPr>
          <w:rFonts w:ascii="Consolas" w:cs="Consolas" w:eastAsia="Consolas" w:hAnsi="Consolas"/>
          <w:sz w:val="15"/>
          <w:szCs w:val="15"/>
        </w:rPr>
        <w:t xml:space="preserve">  │  │  · page walker + TLB │  │  · SwiGLU/GELU    │  │  · perf counters ×256 │  │</w:t>
      </w:r>
    </w:p>
    <w:p>
      <w:pPr>
        <w:shd w:fill="EEF3F6" w:val="clear"/>
        <w:spacing w:after="0" w:line="216"/>
        <w:ind w:left="120" w:right="120"/>
      </w:pPr>
      <w:r>
        <w:rPr>
          <w:rFonts w:ascii="Consolas" w:cs="Consolas" w:eastAsia="Consolas" w:hAnsi="Consolas"/>
          <w:sz w:val="15"/>
          <w:szCs w:val="15"/>
        </w:rPr>
        <w:t xml:space="preserve">  │  │  · 4 MB score buffer │  │  · exp/recip LUT  │  │  · DFT/scan controller│  │</w:t>
      </w:r>
    </w:p>
    <w:p>
      <w:pPr>
        <w:shd w:fill="EEF3F6" w:val="clear"/>
        <w:spacing w:after="0" w:line="216"/>
        <w:ind w:left="120" w:right="120"/>
      </w:pPr>
      <w:r>
        <w:rPr>
          <w:rFonts w:ascii="Consolas" w:cs="Consolas" w:eastAsia="Consolas" w:hAnsi="Consolas"/>
          <w:sz w:val="15"/>
          <w:szCs w:val="15"/>
        </w:rPr>
        <w:t xml:space="preserve">  │  └──────────────────────┘  └───────────────────┘  └───────────────────────┘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 SoIC BOND FACE — 2 × 18 mm², 6.0 TB/s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6-1. Compute Tile Chiplet block diagram.</w:t>
      </w:r>
    </w:p>
    <w:p>
      <w:pPr>
        <w:pStyle w:val="Heading2"/>
        <w:spacing w:after="120" w:before="300"/>
      </w:pPr>
      <w:r>
        <w:rPr>
          <w:rFonts w:ascii="Calibri" w:cs="Calibri" w:eastAsia="Calibri" w:hAnsi="Calibri"/>
          <w:b/>
          <w:bCs/>
          <w:color w:val="1F4E5F"/>
          <w:sz w:val="26"/>
          <w:szCs w:val="26"/>
        </w:rPr>
        <w:t xml:space="preserve">6.3  Tensor Tile</w:t>
      </w:r>
    </w:p>
    <w:p>
      <w:pPr>
        <w:pStyle w:val="Heading3"/>
        <w:spacing w:after="100" w:before="240"/>
      </w:pPr>
      <w:r>
        <w:rPr>
          <w:rFonts w:ascii="Calibri" w:cs="Calibri" w:eastAsia="Calibri" w:hAnsi="Calibri"/>
          <w:b/>
          <w:bCs/>
          <w:color w:val="7A4E2E"/>
          <w:sz w:val="23"/>
          <w:szCs w:val="23"/>
        </w:rPr>
        <w:t xml:space="preserve">6.3.1  Array organisation and dataflow</w:t>
      </w:r>
    </w:p>
    <w:p>
      <w:pPr>
        <w:spacing w:after="140" w:line="276"/>
        <w:jc w:val="left"/>
      </w:pPr>
      <w:r>
        <w:rPr>
          <w:rFonts w:ascii="Calibri" w:cs="Calibri" w:eastAsia="Calibri" w:hAnsi="Calibri"/>
          <w:b w:val="false"/>
          <w:bCs w:val="false"/>
          <w:i w:val="false"/>
          <w:iCs w:val="false"/>
          <w:color w:val="000000"/>
          <w:sz w:val="21"/>
          <w:szCs w:val="21"/>
        </w:rPr>
        <w:t xml:space="preserve">Each Tensor Tile is a 256 × 256 array of MAC cells arranged as a two-dimensional systolic array with selectable dataflow. Two modes are supported:</w:t>
      </w:r>
    </w:p>
    <w:p>
      <w:pPr>
        <w:pStyle w:val="ListParagraph"/>
        <w:numPr>
          <w:ilvl w:val="0"/>
          <w:numId w:val="3"/>
        </w:numPr>
        <w:spacing w:after="60" w:line="264"/>
      </w:pPr>
      <w:r>
        <w:rPr>
          <w:rFonts w:ascii="Calibri" w:cs="Calibri" w:eastAsia="Calibri" w:hAnsi="Calibri"/>
          <w:b/>
          <w:bCs/>
          <w:i w:val="false"/>
          <w:iCs w:val="false"/>
          <w:sz w:val="21"/>
          <w:szCs w:val="21"/>
        </w:rPr>
        <w:t xml:space="preserve">Weight-stationary. </w:t>
      </w:r>
      <w:r>
        <w:rPr>
          <w:rFonts w:ascii="Calibri" w:cs="Calibri" w:eastAsia="Calibri" w:hAnsi="Calibri"/>
          <w:b w:val="false"/>
          <w:bCs w:val="false"/>
          <w:i w:val="false"/>
          <w:iCs w:val="false"/>
          <w:sz w:val="21"/>
          <w:szCs w:val="21"/>
        </w:rPr>
        <w:t xml:space="preserve">Weights are loaded into the array and held; activations stream through. Optimal for prefill and for high-batch decode, where the same weight tile serves many activation rows. Weight load costs 256 cycles and is overlapped with the previous tile's drain.</w:t>
      </w:r>
    </w:p>
    <w:p>
      <w:pPr>
        <w:pStyle w:val="ListParagraph"/>
        <w:numPr>
          <w:ilvl w:val="0"/>
          <w:numId w:val="3"/>
        </w:numPr>
        <w:spacing w:after="60" w:line="264"/>
      </w:pPr>
      <w:r>
        <w:rPr>
          <w:rFonts w:ascii="Calibri" w:cs="Calibri" w:eastAsia="Calibri" w:hAnsi="Calibri"/>
          <w:b/>
          <w:bCs/>
          <w:i w:val="false"/>
          <w:iCs w:val="false"/>
          <w:sz w:val="21"/>
          <w:szCs w:val="21"/>
        </w:rPr>
        <w:t xml:space="preserve">Output-stationary. </w:t>
      </w:r>
      <w:r>
        <w:rPr>
          <w:rFonts w:ascii="Calibri" w:cs="Calibri" w:eastAsia="Calibri" w:hAnsi="Calibri"/>
          <w:b w:val="false"/>
          <w:bCs w:val="false"/>
          <w:i w:val="false"/>
          <w:iCs w:val="false"/>
          <w:sz w:val="21"/>
          <w:szCs w:val="21"/>
        </w:rPr>
        <w:t xml:space="preserve">Partial sums are held in the array accumulators and both operands stream. Optimal for low-batch decode, where a weight tile is used for very few activation rows and the weight-load cost would dominate. Also the mode used for the attention PV product.</w:t>
      </w:r>
    </w:p>
    <w:p>
      <w:pPr>
        <w:spacing w:after="140" w:line="276"/>
        <w:jc w:val="left"/>
      </w:pPr>
      <w:r>
        <w:rPr>
          <w:rFonts w:ascii="Calibri" w:cs="Calibri" w:eastAsia="Calibri" w:hAnsi="Calibri"/>
          <w:b w:val="false"/>
          <w:bCs w:val="false"/>
          <w:i w:val="false"/>
          <w:iCs w:val="false"/>
          <w:color w:val="000000"/>
          <w:sz w:val="21"/>
          <w:szCs w:val="21"/>
        </w:rPr>
        <w:t xml:space="preserve">The mode is selected per macro-op by the sequencer, from a hint in the TMMA instruction. The compiler chooses; the hardware does not attempt to infer. This is deliberate — a heuristic that guesses wrong on a decode step costs a full weight reload, which at batch 1 is more expensive than the multiply.</w:t>
      </w:r>
    </w:p>
    <w:p>
      <w:pPr>
        <w:pStyle w:val="Heading3"/>
        <w:spacing w:after="100" w:before="240"/>
      </w:pPr>
      <w:r>
        <w:rPr>
          <w:rFonts w:ascii="Calibri" w:cs="Calibri" w:eastAsia="Calibri" w:hAnsi="Calibri"/>
          <w:b/>
          <w:bCs/>
          <w:color w:val="7A4E2E"/>
          <w:sz w:val="23"/>
          <w:szCs w:val="23"/>
        </w:rPr>
        <w:t xml:space="preserve">6.3.2  MAC cell</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Operand A (activation)                Operand B (weight)</w:t>
      </w:r>
    </w:p>
    <w:p>
      <w:pPr>
        <w:shd w:fill="EEF3F6" w:val="clear"/>
        <w:spacing w:after="0" w:line="216"/>
        <w:ind w:left="120" w:right="120"/>
      </w:pPr>
      <w:r>
        <w:rPr>
          <w:rFonts w:ascii="Consolas" w:cs="Consolas" w:eastAsia="Consolas" w:hAnsi="Consolas"/>
          <w:sz w:val="15"/>
          <w:szCs w:val="15"/>
        </w:rPr>
        <w:t xml:space="preserve">        │  8b element + shared E8M0            │  8b element + shared E8M0</w:t>
      </w:r>
    </w:p>
    <w:p>
      <w:pPr>
        <w:shd w:fill="EEF3F6" w:val="clear"/>
        <w:spacing w:after="0" w:line="216"/>
        <w:ind w:left="120" w:right="120"/>
      </w:pPr>
      <w:r>
        <w:rPr>
          <w:rFonts w:ascii="Consolas" w:cs="Consolas" w:eastAsia="Consolas" w:hAnsi="Consolas"/>
          <w:sz w:val="15"/>
          <w:szCs w:val="15"/>
        </w:rPr>
        <w:t xml:space="preserve">        │  (or 2 × 4b in MXFP4 mode)           │  (or 2 × 4b in MXFP4 mode)</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MODE MUX      MXFP8 : 1 mul/cycle              │</w:t>
      </w:r>
    </w:p>
    <w:p>
      <w:pPr>
        <w:shd w:fill="EEF3F6" w:val="clear"/>
        <w:spacing w:after="0" w:line="216"/>
        <w:ind w:left="120" w:right="120"/>
      </w:pPr>
      <w:r>
        <w:rPr>
          <w:rFonts w:ascii="Consolas" w:cs="Consolas" w:eastAsia="Consolas" w:hAnsi="Consolas"/>
          <w:sz w:val="15"/>
          <w:szCs w:val="15"/>
        </w:rPr>
        <w:t xml:space="preserve">   │                MXFP6 : 1 mul/cycle              │</w:t>
      </w:r>
    </w:p>
    <w:p>
      <w:pPr>
        <w:shd w:fill="EEF3F6" w:val="clear"/>
        <w:spacing w:after="0" w:line="216"/>
        <w:ind w:left="120" w:right="120"/>
      </w:pPr>
      <w:r>
        <w:rPr>
          <w:rFonts w:ascii="Consolas" w:cs="Consolas" w:eastAsia="Consolas" w:hAnsi="Consolas"/>
          <w:sz w:val="15"/>
          <w:szCs w:val="15"/>
        </w:rPr>
        <w:t xml:space="preserve">   │                MXFP4 : 2 mul/cycle (dual-issue) │</w:t>
      </w:r>
    </w:p>
    <w:p>
      <w:pPr>
        <w:shd w:fill="EEF3F6" w:val="clear"/>
        <w:spacing w:after="0" w:line="216"/>
        <w:ind w:left="120" w:right="120"/>
      </w:pPr>
      <w:r>
        <w:rPr>
          <w:rFonts w:ascii="Consolas" w:cs="Consolas" w:eastAsia="Consolas" w:hAnsi="Consolas"/>
          <w:sz w:val="15"/>
          <w:szCs w:val="15"/>
        </w:rPr>
        <w:t xml:space="preserve">   │                INT8  : 1 mul/cycle              │</w:t>
      </w:r>
    </w:p>
    <w:p>
      <w:pPr>
        <w:shd w:fill="EEF3F6" w:val="clear"/>
        <w:spacing w:after="0" w:line="216"/>
        <w:ind w:left="120" w:right="120"/>
      </w:pPr>
      <w:r>
        <w:rPr>
          <w:rFonts w:ascii="Consolas" w:cs="Consolas" w:eastAsia="Consolas" w:hAnsi="Consolas"/>
          <w:sz w:val="15"/>
          <w:szCs w:val="15"/>
        </w:rPr>
        <w:t xml:space="preserve">   │                BF16  : 1 mul / 2 cycles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mantissa multiply │───────▶│ exponent add         │</w:t>
      </w:r>
    </w:p>
    <w:p>
      <w:pPr>
        <w:shd w:fill="EEF3F6" w:val="clear"/>
        <w:spacing w:after="0" w:line="216"/>
        <w:ind w:left="120" w:right="120"/>
      </w:pPr>
      <w:r>
        <w:rPr>
          <w:rFonts w:ascii="Consolas" w:cs="Consolas" w:eastAsia="Consolas" w:hAnsi="Consolas"/>
          <w:sz w:val="15"/>
          <w:szCs w:val="15"/>
        </w:rPr>
        <w:t xml:space="preserve">                 │ 5×5 (FP8 E4M3)    │        │ + block-scale apply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FP27 accumulator               │</w:t>
      </w:r>
    </w:p>
    <w:p>
      <w:pPr>
        <w:shd w:fill="EEF3F6" w:val="clear"/>
        <w:spacing w:after="0" w:line="216"/>
        <w:ind w:left="120" w:right="120"/>
      </w:pPr>
      <w:r>
        <w:rPr>
          <w:rFonts w:ascii="Consolas" w:cs="Consolas" w:eastAsia="Consolas" w:hAnsi="Consolas"/>
          <w:sz w:val="15"/>
          <w:szCs w:val="15"/>
        </w:rPr>
        <w:t xml:space="preserve">                                        │  1 sign · 8 exp · 18 mantissa  │</w:t>
      </w:r>
    </w:p>
    <w:p>
      <w:pPr>
        <w:shd w:fill="EEF3F6" w:val="clear"/>
        <w:spacing w:after="0" w:line="216"/>
        <w:ind w:left="120" w:right="120"/>
      </w:pPr>
      <w:r>
        <w:rPr>
          <w:rFonts w:ascii="Consolas" w:cs="Consolas" w:eastAsia="Consolas" w:hAnsi="Consolas"/>
          <w:sz w:val="15"/>
          <w:szCs w:val="15"/>
        </w:rPr>
        <w:t xml:space="preserve">                                        │  (round-to-nearest-even)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pass right (WS mode)                       accumulate in place (OS mode)</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6-2. MAC cell datapath.</w:t>
      </w:r>
    </w:p>
    <w:p>
      <w:pPr>
        <w:spacing w:after="140" w:line="276"/>
        <w:jc w:val="left"/>
      </w:pPr>
      <w:r>
        <w:rPr>
          <w:rFonts w:ascii="Calibri" w:cs="Calibri" w:eastAsia="Calibri" w:hAnsi="Calibri"/>
          <w:b w:val="false"/>
          <w:bCs w:val="false"/>
          <w:i w:val="false"/>
          <w:iCs w:val="false"/>
          <w:color w:val="000000"/>
          <w:sz w:val="21"/>
          <w:szCs w:val="21"/>
        </w:rPr>
        <w:t xml:space="preserve">The accumulator width deserves comment. FP27 — one sign bit, eight exponent bits, eighteen mantissa bits — is chosen rather than FP32 because it is sufficient and because accumulator width is multiplied by 65,536 cells. Analysis of accumulation error in transformer GEMMs at the tile depths used here (K ≤ 8,192 per pass) shows that 18 mantissa bits keeps the relative error below 2⁻¹⁵ for well-conditioned inputs, comfortably below the noise floor introduced by MXFP4 quantisation of the operands themselves. The 5 saved bits per accumulator recover approximately 4.1 mm² per CTC. Final accumulation across passes, and any reduction across tiles, is performed in FP32 in the Vector Complex.</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Verification note</w:t>
            </w:r>
          </w:p>
          <w:p>
            <w:pPr>
              <w:spacing w:after="100" w:line="264"/>
            </w:pPr>
            <w:r>
              <w:rPr>
                <w:sz w:val="20"/>
                <w:szCs w:val="20"/>
              </w:rPr>
              <w:t xml:space="preserve">The FP27 choice is a Tier-C judgement that must be validated numerically before RTL freeze. Work package WP-14 in Section 23 specifies the experiment: run the reference model family end-to-end in a bit-accurate emulator with FP27, FP24, FP30, and FP32 accumulators, and measure downstream task metrics rather than intermediate norms.</w:t>
            </w:r>
          </w:p>
          <w:p>
            <w:pPr>
              <w:spacing w:after="40" w:line="264"/>
            </w:pPr>
            <w:r>
              <w:rPr>
                <w:sz w:val="20"/>
                <w:szCs w:val="20"/>
              </w:rPr>
              <w:t xml:space="preserve">If FP27 proves marginal, FP30 costs approximately 2.4 mm² per CTC and is the fallback. The design must not be allowed to reach tape-out with this unresolved; accumulator precision errors are silent, data-dependent, and extremely expensive to diagnose in silicon.</w:t>
            </w:r>
          </w:p>
        </w:tc>
      </w:tr>
    </w:tbl>
    <w:p>
      <w:pPr>
        <w:pStyle w:val="Heading3"/>
        <w:spacing w:after="100" w:before="240"/>
      </w:pPr>
      <w:r>
        <w:rPr>
          <w:rFonts w:ascii="Calibri" w:cs="Calibri" w:eastAsia="Calibri" w:hAnsi="Calibri"/>
          <w:b/>
          <w:bCs/>
          <w:color w:val="7A4E2E"/>
          <w:sz w:val="23"/>
          <w:szCs w:val="23"/>
        </w:rPr>
        <w:t xml:space="preserve">6.3.3  Structured sparsity</w:t>
      </w:r>
    </w:p>
    <w:p>
      <w:pPr>
        <w:spacing w:after="140" w:line="276"/>
        <w:jc w:val="left"/>
      </w:pPr>
      <w:r>
        <w:rPr>
          <w:rFonts w:ascii="Calibri" w:cs="Calibri" w:eastAsia="Calibri" w:hAnsi="Calibri"/>
          <w:b w:val="false"/>
          <w:bCs w:val="false"/>
          <w:i w:val="false"/>
          <w:iCs w:val="false"/>
          <w:color w:val="000000"/>
          <w:sz w:val="21"/>
          <w:szCs w:val="21"/>
        </w:rPr>
        <w:t xml:space="preserve">The array supports 2:4 structured sparsity on the weight operand: within each aligned group of four weights, at most two may be non-zero, and the compressed representation stores two values plus a 4-bit index. This doubles effective throughput on sparsified layers. Sparsity is opt-in per weight tensor and is recorded in the model manifest; the hardware does not attempt to discover it.</w:t>
      </w:r>
    </w:p>
    <w:p>
      <w:pPr>
        <w:spacing w:after="140" w:line="276"/>
        <w:jc w:val="left"/>
      </w:pPr>
      <w:r>
        <w:rPr>
          <w:rFonts w:ascii="Calibri" w:cs="Calibri" w:eastAsia="Calibri" w:hAnsi="Calibri"/>
          <w:b w:val="false"/>
          <w:bCs w:val="false"/>
          <w:i w:val="false"/>
          <w:iCs w:val="false"/>
          <w:color w:val="000000"/>
          <w:sz w:val="21"/>
          <w:szCs w:val="21"/>
        </w:rPr>
        <w:t xml:space="preserve">The design does not implement unstructured or dynamic sparsity. The reasoning: unstructured sparsity requires either a gather network whose area and power exceed the multiply it saves, or a compression format whose decode cost dominates at low precision. At MXFP4, a weight element is four bits; the index overhead for arbitrary sparsity approaches or exceeds the data. 2:4 is the point at which the arithmetic still works, and going beyond it is a research project rather than a product decision.</w:t>
      </w:r>
    </w:p>
    <w:p>
      <w:pPr>
        <w:pStyle w:val="Heading3"/>
        <w:spacing w:after="100" w:before="240"/>
      </w:pPr>
      <w:r>
        <w:rPr>
          <w:rFonts w:ascii="Calibri" w:cs="Calibri" w:eastAsia="Calibri" w:hAnsi="Calibri"/>
          <w:b/>
          <w:bCs/>
          <w:color w:val="7A4E2E"/>
          <w:sz w:val="23"/>
          <w:szCs w:val="23"/>
        </w:rPr>
        <w:t xml:space="preserve">6.3.4  Tile-local SRAM</w:t>
      </w:r>
    </w:p>
    <w:p>
      <w:pPr>
        <w:spacing w:after="140" w:line="276"/>
        <w:jc w:val="left"/>
      </w:pPr>
      <w:r>
        <w:rPr>
          <w:rFonts w:ascii="Calibri" w:cs="Calibri" w:eastAsia="Calibri" w:hAnsi="Calibri"/>
          <w:b w:val="false"/>
          <w:bCs w:val="false"/>
          <w:i w:val="false"/>
          <w:iCs w:val="false"/>
          <w:color w:val="000000"/>
          <w:sz w:val="21"/>
          <w:szCs w:val="21"/>
        </w:rPr>
        <w:t xml:space="preserve">Each tile carries 1.5 MB of local SRAM, giving 12 MB per CTC, allocated as: 512 KB weight staging (double-buffered, so one tile is loading while another computes), 512 KB activation staging, and 512 KB accumulator spill for tiles deeper than the in-array accumulator depth. A further 12 MB per CTC sits outside the tiles as a shared operand buffer feeding the two operand buses.</w:t>
      </w:r>
    </w:p>
    <w:p>
      <w:pPr>
        <w:spacing w:after="140" w:line="276"/>
        <w:jc w:val="left"/>
      </w:pPr>
      <w:r>
        <w:rPr>
          <w:rFonts w:ascii="Calibri" w:cs="Calibri" w:eastAsia="Calibri" w:hAnsi="Calibri"/>
          <w:b w:val="false"/>
          <w:bCs w:val="false"/>
          <w:i w:val="false"/>
          <w:iCs w:val="false"/>
          <w:color w:val="000000"/>
          <w:sz w:val="21"/>
          <w:szCs w:val="21"/>
        </w:rPr>
        <w:t xml:space="preserve">This is a small amount of tile-local memory by the standards of, say, a NeuronCore-v4 with 32 MiB per engine. It is small deliberately: the SoIC bond to the MHC delivers 6.0 TB/s, which at 1.5 GHz is 4,000 bytes per cycle per CTC — enough to feed the arrays directly from the Resident Tensor Store without a large intermediate buffer. Putting the SRAM on N6 rather than N2P saves approximately $86 per package (Appendix D.4). The vertical bond is what makes this trade available, and it is the main reason the design uses SoIC rather than a lateral 2.5D connection.</w:t>
      </w:r>
    </w:p>
    <w:p>
      <w:pPr>
        <w:pStyle w:val="Heading2"/>
        <w:spacing w:after="120" w:before="300"/>
      </w:pPr>
      <w:r>
        <w:rPr>
          <w:rFonts w:ascii="Calibri" w:cs="Calibri" w:eastAsia="Calibri" w:hAnsi="Calibri"/>
          <w:b/>
          <w:bCs/>
          <w:color w:val="1F4E5F"/>
          <w:sz w:val="26"/>
          <w:szCs w:val="26"/>
        </w:rPr>
        <w:t xml:space="preserve">6.4  Attention Engine</w:t>
      </w:r>
    </w:p>
    <w:p>
      <w:pPr>
        <w:spacing w:after="140" w:line="276"/>
        <w:jc w:val="left"/>
      </w:pPr>
      <w:r>
        <w:rPr>
          <w:rFonts w:ascii="Calibri" w:cs="Calibri" w:eastAsia="Calibri" w:hAnsi="Calibri"/>
          <w:b w:val="false"/>
          <w:bCs w:val="false"/>
          <w:i w:val="false"/>
          <w:iCs w:val="false"/>
          <w:color w:val="000000"/>
          <w:sz w:val="21"/>
          <w:szCs w:val="21"/>
        </w:rPr>
        <w:t xml:space="preserve">The Attention Engine is a dedicated datapath, not a mode of the Tensor Tiles. This is the largest single departure from GPU practice in the design and it follows directly from Section 4.2.1: at long context, attention is the binding constraint, it has a fundamentally different dataflow from a GEMM, and forcing it through a systolic array wastes both bandwidth and array occupancy.</w:t>
      </w:r>
    </w:p>
    <w:p>
      <w:pPr>
        <w:pStyle w:val="Heading3"/>
        <w:spacing w:after="100" w:before="240"/>
      </w:pPr>
      <w:r>
        <w:rPr>
          <w:rFonts w:ascii="Calibri" w:cs="Calibri" w:eastAsia="Calibri" w:hAnsi="Calibri"/>
          <w:b/>
          <w:bCs/>
          <w:color w:val="7A4E2E"/>
          <w:sz w:val="23"/>
          <w:szCs w:val="23"/>
        </w:rPr>
        <w:t xml:space="preserve">6.4.1  Structure</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Tier-1 / Tier-2 KV pages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page-table walk, 512-entry TLB, 2 MB page granule</w:t>
      </w:r>
    </w:p>
    <w:p>
      <w:pPr>
        <w:shd w:fill="EEF3F6" w:val="clear"/>
        <w:spacing w:after="0" w:line="216"/>
        <w:ind w:left="120" w:right="120"/>
      </w:pPr>
      <w:r>
        <w:rPr>
          <w:rFonts w:ascii="Consolas" w:cs="Consolas" w:eastAsia="Consolas" w:hAnsi="Consolas"/>
          <w:sz w:val="15"/>
          <w:szCs w:val="15"/>
        </w:rPr>
        <w:t xml:space="preserve">  │  KV PAGE FETCHER   │   prefetch depth 8 pages, stride-detect on sequence stride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INT4 / INT8 / MXFP8 → BF16</w:t>
      </w:r>
    </w:p>
    <w:p>
      <w:pPr>
        <w:shd w:fill="EEF3F6" w:val="clear"/>
        <w:spacing w:after="0" w:line="216"/>
        <w:ind w:left="120" w:right="120"/>
      </w:pPr>
      <w:r>
        <w:rPr>
          <w:rFonts w:ascii="Consolas" w:cs="Consolas" w:eastAsia="Consolas" w:hAnsi="Consolas"/>
          <w:sz w:val="15"/>
          <w:szCs w:val="15"/>
        </w:rPr>
        <w:t xml:space="preserve">  │  KV CODEC          │   per-group scale (group = 64 elements along d_h)</w:t>
      </w:r>
    </w:p>
    <w:p>
      <w:pPr>
        <w:shd w:fill="EEF3F6" w:val="clear"/>
        <w:spacing w:after="0" w:line="216"/>
        <w:ind w:left="120" w:right="120"/>
      </w:pPr>
      <w:r>
        <w:rPr>
          <w:rFonts w:ascii="Consolas" w:cs="Consolas" w:eastAsia="Consolas" w:hAnsi="Consolas"/>
          <w:sz w:val="15"/>
          <w:szCs w:val="15"/>
        </w:rPr>
        <w:t xml:space="preserve">  │  256 lanes         │   outlier channel bypass (§9.4.2)</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Q held resident (decode: 1 row per head)</w:t>
      </w:r>
    </w:p>
    <w:p>
      <w:pPr>
        <w:shd w:fill="EEF3F6" w:val="clear"/>
        <w:spacing w:after="0" w:line="216"/>
        <w:ind w:left="120" w:right="120"/>
      </w:pPr>
      <w:r>
        <w:rPr>
          <w:rFonts w:ascii="Consolas" w:cs="Consolas" w:eastAsia="Consolas" w:hAnsi="Consolas"/>
          <w:sz w:val="15"/>
          <w:szCs w:val="15"/>
        </w:rPr>
        <w:t xml:space="preserve">  │  QK^T DATAPATH     │   128 × 64 MAC, BF16 in, FP32 accumulate</w:t>
      </w:r>
    </w:p>
    <w:p>
      <w:pPr>
        <w:shd w:fill="EEF3F6" w:val="clear"/>
        <w:spacing w:after="0" w:line="216"/>
        <w:ind w:left="120" w:right="120"/>
      </w:pPr>
      <w:r>
        <w:rPr>
          <w:rFonts w:ascii="Consolas" w:cs="Consolas" w:eastAsia="Consolas" w:hAnsi="Consolas"/>
          <w:sz w:val="15"/>
          <w:szCs w:val="15"/>
        </w:rPr>
        <w:t xml:space="preserve">  │  scores → buffer   │   scale by 1/√d_h fused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running max m, running sum ℓ (FlashAttention-2 recurrence)</w:t>
      </w:r>
    </w:p>
    <w:p>
      <w:pPr>
        <w:shd w:fill="EEF3F6" w:val="clear"/>
        <w:spacing w:after="0" w:line="216"/>
        <w:ind w:left="120" w:right="120"/>
      </w:pPr>
      <w:r>
        <w:rPr>
          <w:rFonts w:ascii="Consolas" w:cs="Consolas" w:eastAsia="Consolas" w:hAnsi="Consolas"/>
          <w:sz w:val="15"/>
          <w:szCs w:val="15"/>
        </w:rPr>
        <w:t xml:space="preserve">  │  STREAMING SOFTMAX │   exp via 12-segment piecewise-quadratic LUT, ≤0.5 ulp BF16</w:t>
      </w:r>
    </w:p>
    <w:p>
      <w:pPr>
        <w:shd w:fill="EEF3F6" w:val="clear"/>
        <w:spacing w:after="0" w:line="216"/>
        <w:ind w:left="120" w:right="120"/>
      </w:pPr>
      <w:r>
        <w:rPr>
          <w:rFonts w:ascii="Consolas" w:cs="Consolas" w:eastAsia="Consolas" w:hAnsi="Consolas"/>
          <w:sz w:val="15"/>
          <w:szCs w:val="15"/>
        </w:rPr>
        <w:t xml:space="preserve">  │  + causal mask     │   mask applied as exponent clamp, not as a multiply</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output-stationary; O accumulator resident per head</w:t>
      </w:r>
    </w:p>
    <w:p>
      <w:pPr>
        <w:shd w:fill="EEF3F6" w:val="clear"/>
        <w:spacing w:after="0" w:line="216"/>
        <w:ind w:left="120" w:right="120"/>
      </w:pPr>
      <w:r>
        <w:rPr>
          <w:rFonts w:ascii="Consolas" w:cs="Consolas" w:eastAsia="Consolas" w:hAnsi="Consolas"/>
          <w:sz w:val="15"/>
          <w:szCs w:val="15"/>
        </w:rPr>
        <w:t xml:space="preserve">  │  PV ACCUMULATE     │   128 × 128 MAC, rescale-on-update by exp(m_old − m_new)</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O (BF16) → Vector Complex</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6-3. Attention Engine pipeline. One instance per CTC; four per package.</w:t>
      </w:r>
    </w:p>
    <w:p>
      <w:pPr>
        <w:pStyle w:val="Heading3"/>
        <w:spacing w:after="100" w:before="240"/>
      </w:pPr>
      <w:r>
        <w:rPr>
          <w:rFonts w:ascii="Calibri" w:cs="Calibri" w:eastAsia="Calibri" w:hAnsi="Calibri"/>
          <w:b/>
          <w:bCs/>
          <w:color w:val="7A4E2E"/>
          <w:sz w:val="23"/>
          <w:szCs w:val="23"/>
        </w:rPr>
        <w:t xml:space="preserve">6.4.2  Why the score matrix is never materialised</w:t>
      </w:r>
    </w:p>
    <w:p>
      <w:pPr>
        <w:spacing w:after="140" w:line="276"/>
        <w:jc w:val="left"/>
      </w:pPr>
      <w:r>
        <w:rPr>
          <w:rFonts w:ascii="Calibri" w:cs="Calibri" w:eastAsia="Calibri" w:hAnsi="Calibri"/>
          <w:b w:val="false"/>
          <w:bCs w:val="false"/>
          <w:i w:val="false"/>
          <w:iCs w:val="false"/>
          <w:color w:val="000000"/>
          <w:sz w:val="21"/>
          <w:szCs w:val="21"/>
        </w:rPr>
        <w:t xml:space="preserve">For a 200 K-token context, the S × S score matrix for a single head is 4 × 10¹⁰ elements. Materialising it is impossible and every practical implementation uses a streaming formulation. SC-1 implements the FlashAttention-2 recurrence directly in hardware: the engine maintains a running maximum and a running exponential sum per query row, rescales the output accumulator when the maximum advances, and never holds more than one tile of scores. The peak working set is one K page, one V page, the running statistics, and the output accumulator — approximately 384 KB per head-group, which fits in the 4 MB score buffer with room for eight concurrent head-groups.</w:t>
      </w:r>
    </w:p>
    <w:p>
      <w:pPr>
        <w:spacing w:after="140" w:line="276"/>
        <w:jc w:val="left"/>
      </w:pPr>
      <w:r>
        <w:rPr>
          <w:rFonts w:ascii="Calibri" w:cs="Calibri" w:eastAsia="Calibri" w:hAnsi="Calibri"/>
          <w:b w:val="false"/>
          <w:bCs w:val="false"/>
          <w:i w:val="false"/>
          <w:iCs w:val="false"/>
          <w:color w:val="000000"/>
          <w:sz w:val="21"/>
          <w:szCs w:val="21"/>
        </w:rPr>
        <w:t xml:space="preserve">The gain over executing the same recurrence on general-purpose tiles is not in the arithmetic — it is in the bandwidth. A software implementation must write intermediate scores to SRAM and read them back for the softmax, then write the softmax output and read it back for the PV product. The hardware pipeline passes them in registers. Measured on published GPU FlashAttention implementations, that intermediate traffic is roughly 2.2× the unavoidable KV traffic. Eliminating it is what makes requirement WR-09 — sustaining 85% of Tier-1 bandwidth in the attention datapath — achievable.</w:t>
      </w:r>
    </w:p>
    <w:p>
      <w:pPr>
        <w:pStyle w:val="Heading3"/>
        <w:spacing w:after="100" w:before="240"/>
      </w:pPr>
      <w:r>
        <w:rPr>
          <w:rFonts w:ascii="Calibri" w:cs="Calibri" w:eastAsia="Calibri" w:hAnsi="Calibri"/>
          <w:b/>
          <w:bCs/>
          <w:color w:val="7A4E2E"/>
          <w:sz w:val="23"/>
          <w:szCs w:val="23"/>
        </w:rPr>
        <w:t xml:space="preserve">6.4.3  Attention variants supported</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1498"/>
        <w:gridCol w:w="5616"/>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Variant</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Support</w:t>
            </w:r>
          </w:p>
        </w:tc>
        <w:tc>
          <w:tcPr>
            <w:tcW w:type="dxa" w:w="561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Mechanism</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Multi-head (MHA)</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Baseline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Grouped-query (GQA)</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 primary target</w:t>
            </w:r>
          </w:p>
        </w:tc>
        <w:tc>
          <w:tcPr>
            <w:tcW w:type="dxa" w:w="561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K/V page fetch broadcasts to the query group; no KV replication in memory</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Multi-query (MQA)</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Degenerate GQA with H_kv = 1</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Sliding-window</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Page fetcher bounded by window descriptor; pages outside the window are never read</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Chunked / block-sparse</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Block mask descriptor in the ATTN macro-op; skipped blocks cost zero bandwidth</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sinks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Sink pages pinned in RTS, excluded from eviction</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Cross-attention</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561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Separate K/V page table base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Latent / compressed KV (MLA-style)</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Supported with a decompress pass</w:t>
            </w:r>
          </w:p>
        </w:tc>
        <w:tc>
          <w:tcPr>
            <w:tcW w:type="dxa" w:w="561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KV codec bypassed; the up-projection runs on a Tensor Tile before the QK^T stage. Costs one extra GEMM per layer; see §24 Q-11 on whether to add a dedicated path</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Linear / state-space (Mamba-class)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Partial</w:t>
            </w:r>
          </w:p>
        </w:tc>
        <w:tc>
          <w:tcPr>
            <w:tcW w:type="dxa" w:w="561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Selective-scan recurrence maps onto the Vector Complex, not the Attention Engine. Rate is approximately 0.4× of what a dedicated scan unit would achieve; §25.2 proposes adding one in SC-2</w:t>
            </w:r>
          </w:p>
        </w:tc>
      </w:tr>
    </w:tbl>
    <w:p>
      <w:pPr>
        <w:spacing w:after="220" w:before="60"/>
      </w:pPr>
      <w:r>
        <w:rPr>
          <w:i/>
          <w:iCs/>
          <w:color w:val="595959"/>
          <w:sz w:val="17"/>
          <w:szCs w:val="17"/>
        </w:rPr>
        <w:t xml:space="preserve">Table 6-2. Attention variant coverage.</w:t>
      </w:r>
    </w:p>
    <w:p>
      <w:pPr>
        <w:pStyle w:val="Heading3"/>
        <w:spacing w:after="100" w:before="240"/>
      </w:pPr>
      <w:r>
        <w:rPr>
          <w:rFonts w:ascii="Calibri" w:cs="Calibri" w:eastAsia="Calibri" w:hAnsi="Calibri"/>
          <w:b/>
          <w:bCs/>
          <w:color w:val="7A4E2E"/>
          <w:sz w:val="23"/>
          <w:szCs w:val="23"/>
        </w:rPr>
        <w:t xml:space="preserve">6.4.4  Speculative verification mode</w:t>
      </w:r>
    </w:p>
    <w:p>
      <w:pPr>
        <w:spacing w:after="140" w:line="276"/>
        <w:jc w:val="left"/>
      </w:pPr>
      <w:r>
        <w:rPr>
          <w:rFonts w:ascii="Calibri" w:cs="Calibri" w:eastAsia="Calibri" w:hAnsi="Calibri"/>
          <w:b w:val="false"/>
          <w:bCs w:val="false"/>
          <w:i w:val="false"/>
          <w:iCs w:val="false"/>
          <w:color w:val="000000"/>
          <w:sz w:val="21"/>
          <w:szCs w:val="21"/>
        </w:rPr>
        <w:t xml:space="preserve">Speculative decoding proposes n draft tokens with a small model and verifies them with the large model in a single forward pass. The verification pass is a prefill of length n, not a decode, and it is therefore compute-bound rather than bandwidth-bound — which is precisely why speculation works: it converts n bandwidth-bound steps into one compute-bound step.</w:t>
      </w:r>
    </w:p>
    <w:p>
      <w:pPr>
        <w:spacing w:after="140" w:line="276"/>
        <w:jc w:val="left"/>
      </w:pPr>
      <w:r>
        <w:rPr>
          <w:rFonts w:ascii="Calibri" w:cs="Calibri" w:eastAsia="Calibri" w:hAnsi="Calibri"/>
          <w:b w:val="false"/>
          <w:bCs w:val="false"/>
          <w:i w:val="false"/>
          <w:iCs w:val="false"/>
          <w:color w:val="000000"/>
          <w:sz w:val="21"/>
          <w:szCs w:val="21"/>
        </w:rPr>
        <w:t xml:space="preserve">The Attention Engine supports a verification mode in which the query is a block of up to 16 rows with a triangular mask over the draft positions and full attention over the accepted prefix. The engine computes all n rows against the same streamed K and V pages, so the KV traffic for verifying 16 tokens equals the KV traffic for decoding 1. This is the mechanism by which requirement WR-10 is met, and it is the single highest-leverage optimisation available for interactive latency.</w:t>
      </w:r>
    </w:p>
    <w:p>
      <w:pPr>
        <w:spacing w:after="140" w:line="276"/>
        <w:jc w:val="left"/>
      </w:pPr>
      <w:r>
        <w:rPr>
          <w:rFonts w:ascii="Calibri" w:cs="Calibri" w:eastAsia="Calibri" w:hAnsi="Calibri"/>
          <w:b w:val="false"/>
          <w:bCs w:val="false"/>
          <w:i w:val="false"/>
          <w:iCs w:val="false"/>
          <w:color w:val="000000"/>
          <w:sz w:val="21"/>
          <w:szCs w:val="21"/>
        </w:rPr>
        <w:t xml:space="preserve">Draft-model execution runs concurrently on a partitioned tile group (Section 6.8), so the draft and verify phases overlap across pipeline stages rather than serialising.</w:t>
      </w:r>
    </w:p>
    <w:p>
      <w:pPr>
        <w:pStyle w:val="Heading2"/>
        <w:spacing w:after="120" w:before="300"/>
      </w:pPr>
      <w:r>
        <w:rPr>
          <w:rFonts w:ascii="Calibri" w:cs="Calibri" w:eastAsia="Calibri" w:hAnsi="Calibri"/>
          <w:b/>
          <w:bCs/>
          <w:color w:val="1F4E5F"/>
          <w:sz w:val="26"/>
          <w:szCs w:val="26"/>
        </w:rPr>
        <w:t xml:space="preserve">6.5  Vector Complex</w:t>
      </w:r>
    </w:p>
    <w:p>
      <w:pPr>
        <w:spacing w:after="140" w:line="276"/>
        <w:jc w:val="left"/>
      </w:pPr>
      <w:r>
        <w:rPr>
          <w:rFonts w:ascii="Calibri" w:cs="Calibri" w:eastAsia="Calibri" w:hAnsi="Calibri"/>
          <w:b w:val="false"/>
          <w:bCs w:val="false"/>
          <w:i w:val="false"/>
          <w:iCs w:val="false"/>
          <w:color w:val="000000"/>
          <w:sz w:val="21"/>
          <w:szCs w:val="21"/>
        </w:rPr>
        <w:t xml:space="preserve">The Vector Complex handles everything that is not a matrix multiply or an attention: normalisation, activation functions, positional encoding, residual addition, sampling preparation, quantisation and dequantisation, and the elementwise portions of MoE routing.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1404"/>
        <w:gridCol w:w="1872"/>
        <w:gridCol w:w="4212"/>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Unit</w:t>
            </w:r>
          </w:p>
        </w:tc>
        <w:tc>
          <w:tcPr>
            <w:tcW w:type="dxa" w:w="140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Width</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Throughput</w:t>
            </w:r>
          </w:p>
        </w:tc>
        <w:tc>
          <w:tcPr>
            <w:tcW w:type="dxa" w:w="421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SIMD lanes</w:t>
            </w:r>
          </w:p>
        </w:tc>
        <w:tc>
          <w:tcPr>
            <w:tcW w:type="dxa" w:w="140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 1024 lanes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4,096 BF16 ops/cycle</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FP32, BF16, INT32, INT8</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RMSNorm / LayerNorm tree</w:t>
            </w:r>
          </w:p>
        </w:tc>
        <w:tc>
          <w:tcPr>
            <w:tcW w:type="dxa" w:w="140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1024-wide reduction</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vector of d=8192 per 8 cycles</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Two-pass fused: sum of squares then scale, with the reciprocal-square-root in a dedicated unit</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RoPE unit</w:t>
            </w:r>
          </w:p>
        </w:tc>
        <w:tc>
          <w:tcPr>
            <w:tcW w:type="dxa" w:w="140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lanes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head per cycle</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Precomputed sin/cos tables in a 256 KB ROM covering positions to 1 M with interpolation</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Transcendental LUT</w:t>
            </w:r>
          </w:p>
        </w:tc>
        <w:tc>
          <w:tcPr>
            <w:tcW w:type="dxa" w:w="140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lanes</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result/lane/cycle</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exp, log, tanh, erf, 1/x, 1/√x — piecewise quadratic, ≤ 1 ulp BF16</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SwiGLU / GELU / SiLU</w:t>
            </w:r>
          </w:p>
        </w:tc>
        <w:tc>
          <w:tcPr>
            <w:tcW w:type="dxa" w:w="140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fused into SIMD</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GELU by tanh approximation, selectable exact-erf mode</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Sort / top-k unit</w:t>
            </w:r>
          </w:p>
        </w:tc>
        <w:tc>
          <w:tcPr>
            <w:tcW w:type="dxa" w:w="140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lanes</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top-8 of 64 in 12 cycles</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MoE router and sampler support</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Quantiser</w:t>
            </w:r>
          </w:p>
        </w:tc>
        <w:tc>
          <w:tcPr>
            <w:tcW w:type="dxa" w:w="140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 lanes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rate</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 block scale computation with a two-pass max, and stochastic rounding option</w:t>
            </w:r>
          </w:p>
        </w:tc>
      </w:tr>
    </w:tbl>
    <w:p>
      <w:pPr>
        <w:spacing w:after="220" w:before="60"/>
      </w:pPr>
      <w:r>
        <w:rPr>
          <w:i/>
          <w:iCs/>
          <w:color w:val="595959"/>
          <w:sz w:val="17"/>
          <w:szCs w:val="17"/>
        </w:rPr>
        <w:t xml:space="preserve">Table 6-3. Vector Complex units.</w:t>
      </w:r>
    </w:p>
    <w:p>
      <w:pPr>
        <w:spacing w:after="140" w:line="276"/>
        <w:jc w:val="left"/>
      </w:pPr>
      <w:r>
        <w:rPr>
          <w:rFonts w:ascii="Calibri" w:cs="Calibri" w:eastAsia="Calibri" w:hAnsi="Calibri"/>
          <w:b w:val="false"/>
          <w:bCs w:val="false"/>
          <w:i w:val="false"/>
          <w:iCs w:val="false"/>
          <w:color w:val="000000"/>
          <w:sz w:val="21"/>
          <w:szCs w:val="21"/>
        </w:rPr>
        <w:t xml:space="preserve">The Vector Complex is sized so that it never becomes the bottleneck for the reference models. The check: for RM-B, one layer requires approximately 3 normalisations, 1 RoPE application, 1 SwiGLU over the intermediate dimension, and 2 residual adds, on a batch of B tokens of dimension 8,192. At B = 40 that is roughly 5.6 million vector operations per layer, or 1,365 cycles at 4,096 ops/cycle — against roughly 6,700 cycles of Tensor Tile work for the same layer. The vector complex is therefore at 20% occupancy in the steady state, which is the right margin: it absorbs the irregular work without stalling the arrays, and the headroom covers models with heavier normalisation schemes.</w:t>
      </w:r>
    </w:p>
    <w:p>
      <w:pPr>
        <w:pStyle w:val="Heading2"/>
        <w:spacing w:after="120" w:before="300"/>
      </w:pPr>
      <w:r>
        <w:rPr>
          <w:rFonts w:ascii="Calibri" w:cs="Calibri" w:eastAsia="Calibri" w:hAnsi="Calibri"/>
          <w:b/>
          <w:bCs/>
          <w:color w:val="1F4E5F"/>
          <w:sz w:val="26"/>
          <w:szCs w:val="26"/>
        </w:rPr>
        <w:t xml:space="preserve">6.6  Sequencer and control</w:t>
      </w:r>
    </w:p>
    <w:p>
      <w:pPr>
        <w:spacing w:after="140" w:line="276"/>
        <w:jc w:val="left"/>
      </w:pPr>
      <w:r>
        <w:rPr>
          <w:rFonts w:ascii="Calibri" w:cs="Calibri" w:eastAsia="Calibri" w:hAnsi="Calibri"/>
          <w:b w:val="false"/>
          <w:bCs w:val="false"/>
          <w:i w:val="false"/>
          <w:iCs w:val="false"/>
          <w:color w:val="000000"/>
          <w:sz w:val="21"/>
          <w:szCs w:val="21"/>
        </w:rPr>
        <w:t xml:space="preserve">Each CTC carries one sequencer and one RV64GC control core. The division of labour is strict: the control core handles descriptor management, exception handling, and communication with the host runtime; the sequencer issues macro-operations to the datapaths and enforces dependencies. The control core never touches the datapath directly and is not on any performance-critical path.</w:t>
      </w:r>
    </w:p>
    <w:p>
      <w:pPr>
        <w:spacing w:after="140" w:line="276"/>
        <w:jc w:val="left"/>
      </w:pPr>
      <w:r>
        <w:rPr>
          <w:rFonts w:ascii="Calibri" w:cs="Calibri" w:eastAsia="Calibri" w:hAnsi="Calibri"/>
          <w:b w:val="false"/>
          <w:bCs w:val="false"/>
          <w:i w:val="false"/>
          <w:iCs w:val="false"/>
          <w:color w:val="000000"/>
          <w:sz w:val="21"/>
          <w:szCs w:val="21"/>
        </w:rPr>
        <w:t xml:space="preserve">The sequencer is a six-slot VLIW issue unit. Slots are: TMMA, ATTN, VEC, DMA-in, DMA-out, SYNC. One instruction word issues up to one operation to each slot per cycle. Dependencies are expressed explicitly by the compiler through a 32-entry scoreboard of named events; there is no hardware dependency detection, no register renaming, and no speculation. This is a deliberate simplification: the workload is statically schedulable, the compiler has full knowledge of tile latencies, and every gate spent on dynamic scheduling is a gate not spent on multiply-accumulate.</w:t>
      </w:r>
    </w:p>
    <w:p>
      <w:pPr>
        <w:spacing w:after="140" w:line="276"/>
        <w:jc w:val="left"/>
      </w:pPr>
      <w:r>
        <w:rPr>
          <w:rFonts w:ascii="Calibri" w:cs="Calibri" w:eastAsia="Calibri" w:hAnsi="Calibri"/>
          <w:b w:val="false"/>
          <w:bCs w:val="false"/>
          <w:i w:val="false"/>
          <w:iCs w:val="false"/>
          <w:color w:val="000000"/>
          <w:sz w:val="21"/>
          <w:szCs w:val="21"/>
        </w:rPr>
        <w:t xml:space="preserve">The consequence is that the compiler is responsible for correctness of scheduling, which raises the stakes on Section 18 considerably. The mitigation is a hardware watchdog: any macro-op that has not retired within a programmable multiple of its expected latency raises a precise exception with the full sequencer state captured, so that scheduling bugs surface as diagnosable faults rather than as silent corruption.</w:t>
      </w:r>
    </w:p>
    <w:p>
      <w:pPr>
        <w:pStyle w:val="Heading2"/>
        <w:spacing w:after="120" w:before="300"/>
      </w:pPr>
      <w:r>
        <w:rPr>
          <w:rFonts w:ascii="Calibri" w:cs="Calibri" w:eastAsia="Calibri" w:hAnsi="Calibri"/>
          <w:b/>
          <w:bCs/>
          <w:color w:val="1F4E5F"/>
          <w:sz w:val="26"/>
          <w:szCs w:val="26"/>
        </w:rPr>
        <w:t xml:space="preserve">6.7  Performance counters and observability</w:t>
      </w:r>
    </w:p>
    <w:p>
      <w:pPr>
        <w:spacing w:after="140" w:line="276"/>
        <w:jc w:val="left"/>
      </w:pPr>
      <w:r>
        <w:rPr>
          <w:rFonts w:ascii="Calibri" w:cs="Calibri" w:eastAsia="Calibri" w:hAnsi="Calibri"/>
          <w:b w:val="false"/>
          <w:bCs w:val="false"/>
          <w:i w:val="false"/>
          <w:iCs w:val="false"/>
          <w:color w:val="000000"/>
          <w:sz w:val="21"/>
          <w:szCs w:val="21"/>
        </w:rPr>
        <w:t xml:space="preserve">256 counters per CTC, 64 bits each, with a hardware sampling engine that can dump the full set to a Tier-2 ring buffer on a programmable interval without software involvement. The counter set is specified in Appendix F. The categories that matter most for the workload questions this design cannot answer in advance: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Per-tile occupancy, stall cycles by cause, and dataflow-mode residency — to validate the weight-stationary/output-stationary split.</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KV bytes read from Tier 1 versus Tier 2, and page-fault counts by cause — to validate the tiering policy.</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Prefix Cache Engine hit rate, deduplication factor, and hash collision count — to validate Section 8.5, which is the feature with the widest uncertainty band.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Expert activation histogram, 64 buckets — to validate the MoE promotion policy and, incidentally, to give the model team production routing statistics they currently have to instrument for.</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Park/restore event counts and residency-time histograms — to measure the parking ratio ρ that this entire design is predicated on.</w:t>
      </w:r>
    </w:p>
    <w:p>
      <w:pPr>
        <w:pStyle w:val="Heading2"/>
        <w:spacing w:after="120" w:before="300"/>
      </w:pPr>
      <w:r>
        <w:rPr>
          <w:rFonts w:ascii="Calibri" w:cs="Calibri" w:eastAsia="Calibri" w:hAnsi="Calibri"/>
          <w:b/>
          <w:bCs/>
          <w:color w:val="1F4E5F"/>
          <w:sz w:val="26"/>
          <w:szCs w:val="26"/>
        </w:rPr>
        <w:t xml:space="preserve">6.8  Tile-group partitioning</w:t>
      </w:r>
    </w:p>
    <w:p>
      <w:pPr>
        <w:spacing w:after="140" w:line="276"/>
        <w:jc w:val="left"/>
      </w:pPr>
      <w:r>
        <w:rPr>
          <w:rFonts w:ascii="Calibri" w:cs="Calibri" w:eastAsia="Calibri" w:hAnsi="Calibri"/>
          <w:b w:val="false"/>
          <w:bCs w:val="false"/>
          <w:i w:val="false"/>
          <w:iCs w:val="false"/>
          <w:color w:val="000000"/>
          <w:sz w:val="21"/>
          <w:szCs w:val="21"/>
        </w:rPr>
        <w:t xml:space="preserve">The eight tiles of a CTC form two independently schedulable groups of four. A group has its own sequencer context, its own operand bus, its own RTS partition, and its own protection domain. Two models can execute concurrently on one CTC with no shared mutable state except the NoC, which is bandwidth-partitioned between them by a weighted round-robin arbiter with a software-programmable ratio.</w:t>
      </w:r>
    </w:p>
    <w:p>
      <w:pPr>
        <w:spacing w:after="140" w:line="276"/>
        <w:jc w:val="left"/>
      </w:pPr>
      <w:r>
        <w:rPr>
          <w:rFonts w:ascii="Calibri" w:cs="Calibri" w:eastAsia="Calibri" w:hAnsi="Calibri"/>
          <w:b w:val="false"/>
          <w:bCs w:val="false"/>
          <w:i w:val="false"/>
          <w:iCs w:val="false"/>
          <w:color w:val="000000"/>
          <w:sz w:val="21"/>
          <w:szCs w:val="21"/>
        </w:rPr>
        <w:t xml:space="preserve">This satisfies WR-06 and enables three things that matter operationally: safety classifiers running alongside the primary model without a network round trip; draft-model execution overlapping verification; and graceful degradation when a tile group is disabled by a fault, since the remaining group continues to serve at half rate rather than the whole CTC being lost.</w:t>
      </w:r>
    </w:p>
    <w:p>
      <w:pPr>
        <w:pStyle w:val="Heading2"/>
        <w:spacing w:after="120" w:before="300"/>
      </w:pPr>
      <w:r>
        <w:rPr>
          <w:rFonts w:ascii="Calibri" w:cs="Calibri" w:eastAsia="Calibri" w:hAnsi="Calibri"/>
          <w:b/>
          <w:bCs/>
          <w:color w:val="1F4E5F"/>
          <w:sz w:val="26"/>
          <w:szCs w:val="26"/>
        </w:rPr>
        <w:t xml:space="preserve">6.9  SoIC die-to-die interface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0"/>
        <w:gridCol w:w="2434"/>
        <w:gridCol w:w="4306"/>
      </w:tblGrid>
      <w:tr>
        <w:trPr>
          <w:cantSplit/>
          <w:tblHeader/>
        </w:trPr>
        <w:tc>
          <w:tcPr>
            <w:tcW w:type="dxa" w:w="262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30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Basis</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Technology</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SoIC-X, face-to-face hybrid bond</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Production-proven at this class</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Bond pitch</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 µm</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6 µm may be available by 2028 and would relax the area</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Bond face area per CTC</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36 mm² (2 × 18 mm²)</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bonds per CTC face</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444,000</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36 mm² ÷ (9 µm)² × 0.9 utilisation</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Signal bonds</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220,000</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Remainder is power, ground, and redundancy</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Data lanes</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32,768 (16,384 each direction)</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Ganged 8:1 for repair; §6.9.2</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Lane rate</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GT/s single-ended</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Conservative; hybrid bond supports far more but power is the constraint</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Raw bandwidth</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8.19 TB/s</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32,768 × 2 GT/s ÷ 8</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Effective bandwidth after protocol</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6.0 TB/s</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73% efficiency: ECC, framing, credit return</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Energy per bit</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0.06 pJ/bit</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consistent with published hybrid-bond results</w:t>
            </w:r>
          </w:p>
        </w:tc>
      </w:tr>
      <w:tr>
        <w:trPr>
          <w:cantSplit/>
          <w:tblHeader w:val="false"/>
        </w:trPr>
        <w:tc>
          <w:tcPr>
            <w:tcW w:type="dxa" w:w="262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Interface power per CTC</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2.9 W</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 6.0 TB/s sustained</w:t>
            </w:r>
          </w:p>
        </w:tc>
      </w:tr>
      <w:tr>
        <w:trPr>
          <w:cantSplit/>
          <w:tblHeader w:val="false"/>
        </w:trPr>
        <w:tc>
          <w:tcPr>
            <w:tcW w:type="dxa" w:w="262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Protocol</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UCIe 3.0 streaming, 3D profile</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Raw-mode; no protocol translation overhead</w:t>
            </w:r>
          </w:p>
        </w:tc>
      </w:tr>
    </w:tbl>
    <w:p>
      <w:pPr>
        <w:spacing w:after="220" w:before="60"/>
      </w:pPr>
      <w:r>
        <w:rPr>
          <w:i/>
          <w:iCs/>
          <w:color w:val="595959"/>
          <w:sz w:val="17"/>
          <w:szCs w:val="17"/>
        </w:rPr>
        <w:t xml:space="preserve">Table 6-4. SoIC interface parameters.</w:t>
      </w:r>
    </w:p>
    <w:p>
      <w:pPr>
        <w:pStyle w:val="Heading3"/>
        <w:spacing w:after="100" w:before="240"/>
      </w:pPr>
      <w:r>
        <w:rPr>
          <w:rFonts w:ascii="Calibri" w:cs="Calibri" w:eastAsia="Calibri" w:hAnsi="Calibri"/>
          <w:b/>
          <w:bCs/>
          <w:color w:val="7A4E2E"/>
          <w:sz w:val="23"/>
          <w:szCs w:val="23"/>
        </w:rPr>
        <w:t xml:space="preserve">6.9.1  Why the vertical bond is load-bearing</w:t>
      </w:r>
    </w:p>
    <w:p>
      <w:pPr>
        <w:spacing w:after="140" w:line="276"/>
        <w:jc w:val="left"/>
      </w:pPr>
      <w:r>
        <w:rPr>
          <w:rFonts w:ascii="Calibri" w:cs="Calibri" w:eastAsia="Calibri" w:hAnsi="Calibri"/>
          <w:b w:val="false"/>
          <w:bCs w:val="false"/>
          <w:i w:val="false"/>
          <w:iCs w:val="false"/>
          <w:color w:val="000000"/>
          <w:sz w:val="21"/>
          <w:szCs w:val="21"/>
        </w:rPr>
        <w:t xml:space="preserve">The entire node-split strategy depends on the die-to-die interface being cheap enough in power and latency that the SRAM on the MHC behaves as though it were on the CTC. At 0.06 pJ/bit, moving a byte across the SoIC bond costs 0.48 pJ. Moving the same byte across a lateral 2.5D interface at a realistic 0.4 pJ/bit would cost 3.2 pJ, and at 6 TB/s that is 19 W per CTC rather than 2.9 W — 64 W across the package, which would be unaffordable.</w:t>
      </w:r>
    </w:p>
    <w:p>
      <w:pPr>
        <w:spacing w:after="140" w:line="276"/>
        <w:jc w:val="left"/>
      </w:pPr>
      <w:r>
        <w:rPr>
          <w:rFonts w:ascii="Calibri" w:cs="Calibri" w:eastAsia="Calibri" w:hAnsi="Calibri"/>
          <w:b w:val="false"/>
          <w:bCs w:val="false"/>
          <w:i w:val="false"/>
          <w:iCs w:val="false"/>
          <w:color w:val="000000"/>
          <w:sz w:val="21"/>
          <w:szCs w:val="21"/>
        </w:rPr>
        <w:t xml:space="preserve">Latency matters equally. The SoIC round trip is budgeted at 6 ns, against roughly 22 ns for a lateral link with SerDes. Since the Tensor Tile operand pipeline is prefetched and deeply buffered, 22 ns would be tolerable for GEMM; it would not be tolerable for the Attention Engine's page fetcher, whose prefetch depth would have to grow proportionally and whose score buffer would have to grow with it.</w:t>
      </w:r>
    </w:p>
    <w:p>
      <w:pPr>
        <w:spacing w:after="140" w:line="276"/>
        <w:jc w:val="left"/>
      </w:pPr>
      <w:r>
        <w:rPr>
          <w:rFonts w:ascii="Calibri" w:cs="Calibri" w:eastAsia="Calibri" w:hAnsi="Calibri"/>
          <w:b w:val="false"/>
          <w:bCs w:val="false"/>
          <w:i w:val="false"/>
          <w:iCs w:val="false"/>
          <w:color w:val="000000"/>
          <w:sz w:val="21"/>
          <w:szCs w:val="21"/>
        </w:rPr>
        <w:t xml:space="preserve">If SoIC is unavailable or uneconomic — a real risk given advanced-packaging capacity — the fallback is Section 14.2's alternative partition, which moves 128 MB of SRAM onto the CTCs, accepts the N2P SRAM cost penalty, and uses a lateral UCIe-A connection. That configuration costs approximately $187 more per package and 28 W more power. It is the single most expensive contingency in the programme and is carried as risk R-02.</w:t>
      </w:r>
    </w:p>
    <w:p>
      <w:pPr>
        <w:pStyle w:val="Heading3"/>
        <w:spacing w:after="100" w:before="240"/>
      </w:pPr>
      <w:r>
        <w:rPr>
          <w:rFonts w:ascii="Calibri" w:cs="Calibri" w:eastAsia="Calibri" w:hAnsi="Calibri"/>
          <w:b/>
          <w:bCs/>
          <w:color w:val="7A4E2E"/>
          <w:sz w:val="23"/>
          <w:szCs w:val="23"/>
        </w:rPr>
        <w:t xml:space="preserve">6.9.2  Repair and redundancy</w:t>
      </w:r>
    </w:p>
    <w:p>
      <w:pPr>
        <w:spacing w:after="140" w:line="276"/>
        <w:jc w:val="left"/>
      </w:pPr>
      <w:r>
        <w:rPr>
          <w:rFonts w:ascii="Calibri" w:cs="Calibri" w:eastAsia="Calibri" w:hAnsi="Calibri"/>
          <w:b w:val="false"/>
          <w:bCs w:val="false"/>
          <w:i w:val="false"/>
          <w:iCs w:val="false"/>
          <w:color w:val="000000"/>
          <w:sz w:val="21"/>
          <w:szCs w:val="21"/>
        </w:rPr>
        <w:t xml:space="preserve">Hybrid-bond defects are the principal yield risk in a 3D stack, and a single failed bond in a 220,000-bond interface must not scrap two known-good dies. Lanes are organised in groups of eight with one spare lane per group, remappable by a fuse-programmable crossbar at each end. This gives a 12.5% spare ratio at a cost of 12.5% additional bond area, and tolerates a bond defect density up to approximately 40 defects per million bonds with better than 99% repair success. Post-bond test (Section 16.4) exercises every lane at speed before the stack is committed to the CoWoS flow.</w:t>
      </w:r>
    </w:p>
    <w:p>
      <w:r>
        <w:br w:type="page"/>
      </w:r>
    </w:p>
    <w:p>
      <w:pPr>
        <w:pStyle w:val="Heading1"/>
        <w:spacing w:after="160" w:before="400"/>
      </w:pPr>
      <w:r>
        <w:rPr>
          <w:rFonts w:ascii="Calibri" w:cs="Calibri" w:eastAsia="Calibri" w:hAnsi="Calibri"/>
          <w:b/>
          <w:bCs/>
          <w:color w:val="1F4E5F"/>
          <w:sz w:val="32"/>
          <w:szCs w:val="32"/>
        </w:rPr>
        <w:t xml:space="preserve">7.  Memory Hub Chiplet (MHC)</w:t>
      </w:r>
    </w:p>
    <w:p>
      <w:pPr>
        <w:pStyle w:val="Heading2"/>
        <w:spacing w:after="120" w:before="300"/>
      </w:pPr>
      <w:r>
        <w:rPr>
          <w:rFonts w:ascii="Calibri" w:cs="Calibri" w:eastAsia="Calibri" w:hAnsi="Calibri"/>
          <w:b/>
          <w:bCs/>
          <w:color w:val="1F4E5F"/>
          <w:sz w:val="26"/>
          <w:szCs w:val="26"/>
        </w:rPr>
        <w:t xml:space="preserve">7.1  Overview and the case for a mature node</w:t>
      </w:r>
    </w:p>
    <w:p>
      <w:pPr>
        <w:spacing w:after="140" w:line="276"/>
        <w:jc w:val="left"/>
      </w:pPr>
      <w:r>
        <w:rPr>
          <w:rFonts w:ascii="Calibri" w:cs="Calibri" w:eastAsia="Calibri" w:hAnsi="Calibri"/>
          <w:b w:val="false"/>
          <w:bCs w:val="false"/>
          <w:i w:val="false"/>
          <w:iCs w:val="false"/>
          <w:color w:val="000000"/>
          <w:sz w:val="21"/>
          <w:szCs w:val="21"/>
        </w:rPr>
        <w:t xml:space="preserve">The MHC carries everything in the design that does not benefit from a leading-edge process. That is a larger set than it first appears, and understanding why is the key to the cost argument.</w:t>
      </w:r>
    </w:p>
    <w:p>
      <w:pPr>
        <w:spacing w:after="140" w:line="276"/>
        <w:jc w:val="left"/>
      </w:pPr>
      <w:r>
        <w:rPr>
          <w:rFonts w:ascii="Calibri" w:cs="Calibri" w:eastAsia="Calibri" w:hAnsi="Calibri"/>
          <w:b w:val="false"/>
          <w:bCs w:val="false"/>
          <w:i w:val="false"/>
          <w:iCs w:val="false"/>
          <w:color w:val="000000"/>
          <w:sz w:val="21"/>
          <w:szCs w:val="21"/>
        </w:rPr>
        <w:t xml:space="preserve">SRAM bit-cell area has very nearly stopped scaling. Published figures put the high-density six-transistor cell at approximately 0.021 µm² on N5, 0.0199 µm² on N3, and roughly 0.027 µm² on N6 — a 35% area penalty for N6 against N3, against a wafer price roughly half as high. On a per-bit basis, N6 SRAM is therefore around 26% cheaper than N3 SRAM, and the gap widens against N2P. Physical interfaces scale worse still: an HBM4 PHY, an LPDDR6 PHY, and a 224 Gb/s SerDes are analogue-dominant blocks whose area is set by device matching and by bump pitch, not by lithography, and putting them on N2P buys nothing at all while paying the full wafer premium.</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995"/>
        <w:gridCol w:w="1872"/>
        <w:gridCol w:w="1872"/>
        <w:gridCol w:w="2621"/>
      </w:tblGrid>
      <w:tr>
        <w:trPr>
          <w:cantSplit/>
          <w:tblHeader/>
        </w:trPr>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Block</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Area on MHC (N6)</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Area if on N2P</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Cost delta if moved to N2P</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Resident Tensor Store, 256 MB</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108 mm²</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 mm²</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$41 per die</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HBM4 controllers + PHY, 2×</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68 mm²</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 mm²</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$32 per die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LPDDR6 controller + PHY, 512-bit</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 mm²</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 mm²</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$20 per die</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SerDes, 32 lanes at 224 Gb/s</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46 mm²</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~44 mm²</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$23 per die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Mesh NoC, half</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 mm²</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~24 mm²</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$12 per die</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CTM, PCE, codec, TRU, Sentinel</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 mm²</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~34 mm²</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$17 per die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Ethernet MAC, PCIe, misc.</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 mm²</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 mm²</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$10 per die</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 mm²</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~304 mm²</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$155 per die, + $310 per package</w:t>
            </w:r>
          </w:p>
        </w:tc>
      </w:tr>
    </w:tbl>
    <w:p>
      <w:pPr>
        <w:spacing w:after="220" w:before="60"/>
      </w:pPr>
      <w:r>
        <w:rPr>
          <w:i/>
          <w:iCs/>
          <w:color w:val="595959"/>
          <w:sz w:val="17"/>
          <w:szCs w:val="17"/>
        </w:rPr>
        <w:t xml:space="preserve">Table 7-1. Node-split economics. Cost deltas derived in Appendix D.4. A 380 mm² N6 die costs $89; the equivalent 304 mm² N2P die costs $244.</w:t>
      </w:r>
    </w:p>
    <w:p>
      <w:pPr>
        <w:spacing w:after="140" w:line="276"/>
        <w:jc w:val="left"/>
      </w:pPr>
      <w:r>
        <w:rPr>
          <w:rFonts w:ascii="Calibri" w:cs="Calibri" w:eastAsia="Calibri" w:hAnsi="Calibri"/>
          <w:b w:val="false"/>
          <w:bCs w:val="false"/>
          <w:i w:val="false"/>
          <w:iCs w:val="false"/>
          <w:color w:val="000000"/>
          <w:sz w:val="21"/>
          <w:szCs w:val="21"/>
        </w:rPr>
        <w:t xml:space="preserve">The split therefore saves approximately $310 per package while costing 152 mm² of additional total die area and the SoIC bond. This is the single largest cost lever in the design and it is available only because the vertical bond makes the physical separation nearly free in power and latency.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995"/>
        <w:gridCol w:w="6365"/>
      </w:tblGrid>
      <w:tr>
        <w:trPr>
          <w:cantSplit/>
          <w:tblHeader/>
        </w:trPr>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636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Process</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N6 (7 nm-class, DUV-dominant, EUV for critical layers)</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Die area</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 mm² (19.0 mm × 20.0 mm)</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Transistors</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38 billion (SRAM-dominated; effective density ~100 MTr/mm²)</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Resident Tensor Store</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256 MB, 32 banks × 8 MB, 512-bit ports</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RTS aggregate bandwidth</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48 TB/s per MHC (96 TB/s per package)</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HBM4 channels</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stacks × 32 channels = 64 channels</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LPDDR6 width</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512-bit (16 × 32-bit channels)</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SerDes</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lanes at 224 Gb/s PAM4</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Ethernet</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 800 GbE MAC + PCS</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Host</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PCIe Gen6 ×8 per MHC (×16 aggregate)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Power budget</w:t>
            </w:r>
          </w:p>
        </w:tc>
        <w:tc>
          <w:tcPr>
            <w:tcW w:type="dxa" w:w="636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 W</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Metal stack</w:t>
            </w:r>
          </w:p>
        </w:tc>
        <w:tc>
          <w:tcPr>
            <w:tcW w:type="dxa" w:w="636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 metal layers</w:t>
            </w:r>
          </w:p>
        </w:tc>
      </w:tr>
    </w:tbl>
    <w:p>
      <w:pPr>
        <w:spacing w:after="220" w:before="60"/>
      </w:pPr>
      <w:r>
        <w:rPr>
          <w:i/>
          <w:iCs/>
          <w:color w:val="595959"/>
          <w:sz w:val="17"/>
          <w:szCs w:val="17"/>
        </w:rPr>
        <w:t xml:space="preserve">Table 7-2. MHC top-level parameters.</w:t>
      </w:r>
    </w:p>
    <w:p>
      <w:pPr>
        <w:pStyle w:val="Heading2"/>
        <w:spacing w:after="120" w:before="300"/>
      </w:pPr>
      <w:r>
        <w:rPr>
          <w:rFonts w:ascii="Calibri" w:cs="Calibri" w:eastAsia="Calibri" w:hAnsi="Calibri"/>
          <w:b/>
          <w:bCs/>
          <w:color w:val="1F4E5F"/>
          <w:sz w:val="26"/>
          <w:szCs w:val="26"/>
        </w:rPr>
        <w:t xml:space="preserve">7.2  MHC block diagram</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MHC   19.0 × 20.0 mm                    ══ SoIC bond face to 2 × CTC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RESIDENT TENSOR STORE  256 MB                      │  │</w:t>
      </w:r>
    </w:p>
    <w:p>
      <w:pPr>
        <w:shd w:fill="EEF3F6" w:val="clear"/>
        <w:spacing w:after="0" w:line="216"/>
        <w:ind w:left="120" w:right="120"/>
      </w:pPr>
      <w:r>
        <w:rPr>
          <w:rFonts w:ascii="Consolas" w:cs="Consolas" w:eastAsia="Consolas" w:hAnsi="Consolas"/>
          <w:sz w:val="15"/>
          <w:szCs w:val="15"/>
        </w:rPr>
        <w:t xml:space="preserve">  │  │   B0   B1   B2   B3   B4   B5   B6   B7  ...  B31   (32 banks × 8 MB)    │  │</w:t>
      </w:r>
    </w:p>
    <w:p>
      <w:pPr>
        <w:shd w:fill="EEF3F6" w:val="clear"/>
        <w:spacing w:after="0" w:line="216"/>
        <w:ind w:left="120" w:right="120"/>
      </w:pPr>
      <w:r>
        <w:rPr>
          <w:rFonts w:ascii="Consolas" w:cs="Consolas" w:eastAsia="Consolas" w:hAnsi="Consolas"/>
          <w:sz w:val="15"/>
          <w:szCs w:val="15"/>
        </w:rPr>
        <w:t xml:space="preserve">  │  │  ┌──┐ ┌──┐ ┌──┐ ┌──┐ ┌──┐ ┌──┐ ┌──┐ ┌──┐     ┌──┐   ECC SECDED + scrub    │  │</w:t>
      </w:r>
    </w:p>
    <w:p>
      <w:pPr>
        <w:shd w:fill="EEF3F6" w:val="clear"/>
        <w:spacing w:after="0" w:line="216"/>
        <w:ind w:left="120" w:right="120"/>
      </w:pPr>
      <w:r>
        <w:rPr>
          <w:rFonts w:ascii="Consolas" w:cs="Consolas" w:eastAsia="Consolas" w:hAnsi="Consolas"/>
          <w:sz w:val="15"/>
          <w:szCs w:val="15"/>
        </w:rPr>
        <w:t xml:space="preserve">  │  │  └┬─┘ └┬─┘ └┬─┘ └┬─┘ └┬─┘ └┬─┘ └┬─┘ └┬─┘     └┬─┘   48 TB/s aggregate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MESH NoC   6 × 5 routers, 1024-bit links, 1.25 GHz            │  │</w:t>
      </w:r>
    </w:p>
    <w:p>
      <w:pPr>
        <w:shd w:fill="EEF3F6" w:val="clear"/>
        <w:spacing w:after="0" w:line="216"/>
        <w:ind w:left="120" w:right="120"/>
      </w:pPr>
      <w:r>
        <w:rPr>
          <w:rFonts w:ascii="Consolas" w:cs="Consolas" w:eastAsia="Consolas" w:hAnsi="Consolas"/>
          <w:sz w:val="15"/>
          <w:szCs w:val="15"/>
        </w:rPr>
        <w:t xml:space="preserve">  │  │            bisection 5.1 TB/s · virtual channels ×4 · credit flow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          │          │          │          │                   │</w:t>
      </w:r>
    </w:p>
    <w:p>
      <w:pPr>
        <w:shd w:fill="EEF3F6" w:val="clear"/>
        <w:spacing w:after="0" w:line="216"/>
        <w:ind w:left="120" w:right="120"/>
      </w:pPr>
      <w:r>
        <w:rPr>
          <w:rFonts w:ascii="Consolas" w:cs="Consolas" w:eastAsia="Consolas" w:hAnsi="Consolas"/>
          <w:sz w:val="15"/>
          <w:szCs w:val="15"/>
        </w:rPr>
        <w:t xml:space="preserve">  │ ┌───▼────┐ ┌───▼────┐ ┌───▼─────┐ ┌──▼──────┐ ┌─▼───────┐ ┌▼──────────────┐    │</w:t>
      </w:r>
    </w:p>
    <w:p>
      <w:pPr>
        <w:shd w:fill="EEF3F6" w:val="clear"/>
        <w:spacing w:after="0" w:line="216"/>
        <w:ind w:left="120" w:right="120"/>
      </w:pPr>
      <w:r>
        <w:rPr>
          <w:rFonts w:ascii="Consolas" w:cs="Consolas" w:eastAsia="Consolas" w:hAnsi="Consolas"/>
          <w:sz w:val="15"/>
          <w:szCs w:val="15"/>
        </w:rPr>
        <w:t xml:space="preserve">  │ │ HBM4   │ │ HBM4   │ │ LPDDR6  │ │  CTM    │ │  PCE    │ │  SENTINEL     │    │</w:t>
      </w:r>
    </w:p>
    <w:p>
      <w:pPr>
        <w:shd w:fill="EEF3F6" w:val="clear"/>
        <w:spacing w:after="0" w:line="216"/>
        <w:ind w:left="120" w:right="120"/>
      </w:pPr>
      <w:r>
        <w:rPr>
          <w:rFonts w:ascii="Consolas" w:cs="Consolas" w:eastAsia="Consolas" w:hAnsi="Consolas"/>
          <w:sz w:val="15"/>
          <w:szCs w:val="15"/>
        </w:rPr>
        <w:t xml:space="preserve">  │ │ ctrl 0 │ │ ctrl 1 │ │ ctrl    │ │ Context │ │ Prefix  │ │  Root of      │    │</w:t>
      </w:r>
    </w:p>
    <w:p>
      <w:pPr>
        <w:shd w:fill="EEF3F6" w:val="clear"/>
        <w:spacing w:after="0" w:line="216"/>
        <w:ind w:left="120" w:right="120"/>
      </w:pPr>
      <w:r>
        <w:rPr>
          <w:rFonts w:ascii="Consolas" w:cs="Consolas" w:eastAsia="Consolas" w:hAnsi="Consolas"/>
          <w:sz w:val="15"/>
          <w:szCs w:val="15"/>
        </w:rPr>
        <w:t xml:space="preserve">  │ │ +PHY   │ │ +PHY   │ │ 512-bit │ │ Tier    │ │ Cache   │ │  Trust        │    │</w:t>
      </w:r>
    </w:p>
    <w:p>
      <w:pPr>
        <w:shd w:fill="EEF3F6" w:val="clear"/>
        <w:spacing w:after="0" w:line="216"/>
        <w:ind w:left="120" w:right="120"/>
      </w:pPr>
      <w:r>
        <w:rPr>
          <w:rFonts w:ascii="Consolas" w:cs="Consolas" w:eastAsia="Consolas" w:hAnsi="Consolas"/>
          <w:sz w:val="15"/>
          <w:szCs w:val="15"/>
        </w:rPr>
        <w:t xml:space="preserve">  │ │ 32 ch  │ │ 32 ch  │ │ +PHY    │ │ Manager │ │ Engine  │ │  + crypto     │    │</w:t>
      </w:r>
    </w:p>
    <w:p>
      <w:pPr>
        <w:shd w:fill="EEF3F6" w:val="clear"/>
        <w:spacing w:after="0" w:line="216"/>
        <w:ind w:left="120" w:right="120"/>
      </w:pPr>
      <w:r>
        <w:rPr>
          <w:rFonts w:ascii="Consolas" w:cs="Consolas" w:eastAsia="Consolas" w:hAnsi="Consolas"/>
          <w:sz w:val="15"/>
          <w:szCs w:val="15"/>
        </w:rPr>
        <w:t xml:space="preserve">  │ │ AES-XTS│ │ AES-XTS│ │ AES-XTS │ │ migrate │ │ BLAKE3  │ │  + attest     │    │</w:t>
      </w:r>
    </w:p>
    <w:p>
      <w:pPr>
        <w:shd w:fill="EEF3F6" w:val="clear"/>
        <w:spacing w:after="0" w:line="216"/>
        <w:ind w:left="120" w:right="120"/>
      </w:pPr>
      <w:r>
        <w:rPr>
          <w:rFonts w:ascii="Consolas" w:cs="Consolas" w:eastAsia="Consolas" w:hAnsi="Consolas"/>
          <w:sz w:val="15"/>
          <w:szCs w:val="15"/>
        </w:rPr>
        <w:t xml:space="preserve">  │ └────────┘ └────────┘ └─────────┘ └─────────┘ └─────────┘ └───────────────┘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 ┌──────────┐ ┌───────────┐ ┌──────────┐ ┌────────────────────┐    │</w:t>
      </w:r>
    </w:p>
    <w:p>
      <w:pPr>
        <w:shd w:fill="EEF3F6" w:val="clear"/>
        <w:spacing w:after="0" w:line="216"/>
        <w:ind w:left="120" w:right="120"/>
      </w:pPr>
      <w:r>
        <w:rPr>
          <w:rFonts w:ascii="Consolas" w:cs="Consolas" w:eastAsia="Consolas" w:hAnsi="Consolas"/>
          <w:sz w:val="15"/>
          <w:szCs w:val="15"/>
        </w:rPr>
        <w:t xml:space="preserve">  │ │ CODEC    │ │ TRU      │ │ SERDES    │ │ 800 GbE  │ │ PCIe Gen6 ×8       │    │</w:t>
      </w:r>
    </w:p>
    <w:p>
      <w:pPr>
        <w:shd w:fill="EEF3F6" w:val="clear"/>
        <w:spacing w:after="0" w:line="216"/>
        <w:ind w:left="120" w:right="120"/>
      </w:pPr>
      <w:r>
        <w:rPr>
          <w:rFonts w:ascii="Consolas" w:cs="Consolas" w:eastAsia="Consolas" w:hAnsi="Consolas"/>
          <w:sz w:val="15"/>
          <w:szCs w:val="15"/>
        </w:rPr>
        <w:t xml:space="preserve">  │ │ weight   │ │ token    │ │ 32 × 224G │ │ MAC+PCS  │ │ + DMA + doorbells  │    │</w:t>
      </w:r>
    </w:p>
    <w:p>
      <w:pPr>
        <w:shd w:fill="EEF3F6" w:val="clear"/>
        <w:spacing w:after="0" w:line="216"/>
        <w:ind w:left="120" w:right="120"/>
      </w:pPr>
      <w:r>
        <w:rPr>
          <w:rFonts w:ascii="Consolas" w:cs="Consolas" w:eastAsia="Consolas" w:hAnsi="Consolas"/>
          <w:sz w:val="15"/>
          <w:szCs w:val="15"/>
        </w:rPr>
        <w:t xml:space="preserve">  │ │ decomp.  │ │ routing  │ │ PAM4      │ │ RoCEv2   │ │                    │    │</w:t>
      </w:r>
    </w:p>
    <w:p>
      <w:pPr>
        <w:shd w:fill="EEF3F6" w:val="clear"/>
        <w:spacing w:after="0" w:line="216"/>
        <w:ind w:left="120" w:right="120"/>
      </w:pPr>
      <w:r>
        <w:rPr>
          <w:rFonts w:ascii="Consolas" w:cs="Consolas" w:eastAsia="Consolas" w:hAnsi="Consolas"/>
          <w:sz w:val="15"/>
          <w:szCs w:val="15"/>
        </w:rPr>
        <w:t xml:space="preserve">  │ └──────────┘ └──────────┘ └───────────┘ └──────────┘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7-1. Memory Hub Chiplet block diagram.</w:t>
      </w:r>
    </w:p>
    <w:p>
      <w:pPr>
        <w:pStyle w:val="Heading2"/>
        <w:spacing w:after="120" w:before="300"/>
      </w:pPr>
      <w:r>
        <w:rPr>
          <w:rFonts w:ascii="Calibri" w:cs="Calibri" w:eastAsia="Calibri" w:hAnsi="Calibri"/>
          <w:b/>
          <w:bCs/>
          <w:color w:val="1F4E5F"/>
          <w:sz w:val="26"/>
          <w:szCs w:val="26"/>
        </w:rPr>
        <w:t xml:space="preserve">7.3  Resident Tensor Store</w:t>
      </w:r>
    </w:p>
    <w:p>
      <w:pPr>
        <w:spacing w:after="140" w:line="276"/>
        <w:jc w:val="left"/>
      </w:pPr>
      <w:r>
        <w:rPr>
          <w:rFonts w:ascii="Calibri" w:cs="Calibri" w:eastAsia="Calibri" w:hAnsi="Calibri"/>
          <w:b w:val="false"/>
          <w:bCs w:val="false"/>
          <w:i w:val="false"/>
          <w:iCs w:val="false"/>
          <w:color w:val="000000"/>
          <w:sz w:val="21"/>
          <w:szCs w:val="21"/>
        </w:rPr>
        <w:t xml:space="preserve">512 MB of SRAM across the package, in 64 banks of 8 MB. This is roughly four times the on-die SRAM of a Blackwell Ultra and twice that of a Trainium3 chip. The sizing is derived rather than chosen: it is the smallest capacity at which the working set of an RM-B decode step — the active expert weights for one layer, the attention working set for the resident batch, and double-buffered staging for the next layer — fits without spilling to HBM.</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1310"/>
        <w:gridCol w:w="5429"/>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Allocation</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Size</w:t>
            </w:r>
          </w:p>
        </w:tc>
        <w:tc>
          <w:tcPr>
            <w:tcW w:type="dxa" w:w="542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Purpose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stream buffers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MB</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Double-buffered active-expert tiles for the current and next layer</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working set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 MB</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K/V pages in flight, score buffers, running softmax statistics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Activation residency</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 MB</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Hidden states for the resident batch across the layer pipeline</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page cache (hot tier)</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MB</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Most-recently-touched KV pages, CTM-managed</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Prefix hash table</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MB</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PCE content-address table, 2 M entries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Router / expert metadata</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MB</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Expert popularity counters, routing tables, TRU descriptors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Scratch and spill</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MB</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Compiler-managed</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MB</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7-3. Default RTS allocation. All boundaries are software-configurable at initialisation.</w:t>
      </w:r>
    </w:p>
    <w:p>
      <w:pPr>
        <w:spacing w:after="140" w:line="276"/>
        <w:jc w:val="left"/>
      </w:pPr>
      <w:r>
        <w:rPr>
          <w:rFonts w:ascii="Calibri" w:cs="Calibri" w:eastAsia="Calibri" w:hAnsi="Calibri"/>
          <w:b w:val="false"/>
          <w:bCs w:val="false"/>
          <w:i w:val="false"/>
          <w:iCs w:val="false"/>
          <w:color w:val="000000"/>
          <w:sz w:val="21"/>
          <w:szCs w:val="21"/>
        </w:rPr>
        <w:t xml:space="preserve">Bandwidth: each bank sustains one 512-bit access per cycle at 1.25 GHz, giving 80 GB/s per bank and 5.1 TB/s per group of 64 banks — no. The arithmetic is: 64 bytes per access × 1.25 × 10⁹ = 80 GB/s per bank; 64 banks × 80 GB/s = 5.1 TB/s. That is insufficient. The banks are therefore built with four independent 512-bit sub-array ports each, giving 320 GB/s per bank and 20.5 TB/s across 64 banks. To reach the 96 TB/s quoted in Table 1-1, each bank is further sub-banked into four 2 MB arrays with independent ports, giving 16 ports per 8 MB bank at 80 GB/s each, or 1.28 TB/s per bank and 82 TB/s across the package at 100% port utilisation.</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Correction and honest revision</w:t>
            </w:r>
          </w:p>
          <w:p>
            <w:pPr>
              <w:spacing w:after="100" w:line="264"/>
            </w:pPr>
            <w:r>
              <w:rPr>
                <w:sz w:val="20"/>
                <w:szCs w:val="20"/>
              </w:rPr>
              <w:t xml:space="preserve">The 96 TB/s figure quoted in Table 1-1 is not supportable by the bank organisation just derived, which closes at 82 TB/s at ideal port utilisation and, at a realistic 78% utilisation under the access patterns of Section 5.3, delivers approximately 64 TB/s.</w:t>
            </w:r>
          </w:p>
          <w:p>
            <w:pPr>
              <w:spacing w:after="100" w:line="264"/>
            </w:pPr>
            <w:r>
              <w:rPr>
                <w:sz w:val="20"/>
                <w:szCs w:val="20"/>
              </w:rPr>
              <w:t xml:space="preserve">Table 1-1 should read 64 TB/s sustained, 82 TB/s peak. The error is left visible here rather than silently corrected upstream, because a reviewer should be able to see which numbers were derived and which were asserted, and this one was asserted first and derived second. The consolidated parameter table in Appendix B carries the corrected figure.</w:t>
            </w:r>
          </w:p>
          <w:p>
            <w:pPr>
              <w:spacing w:after="40" w:line="264"/>
            </w:pPr>
            <w:r>
              <w:rPr>
                <w:sz w:val="20"/>
                <w:szCs w:val="20"/>
              </w:rPr>
              <w:t xml:space="preserve">The design consequence is nil: 64 TB/s against 9.83 TB/s of HBM4 gives a 6.5× SRAM-to-HBM bandwidth ratio, which is ample. The consequence for the reader is that every other asserted figure in this document deserves the same scepticism.</w:t>
            </w:r>
          </w:p>
        </w:tc>
      </w:tr>
    </w:tbl>
    <w:p>
      <w:pPr>
        <w:spacing w:after="140" w:line="276"/>
        <w:jc w:val="left"/>
      </w:pPr>
      <w:r>
        <w:rPr>
          <w:rFonts w:ascii="Calibri" w:cs="Calibri" w:eastAsia="Calibri" w:hAnsi="Calibri"/>
          <w:b w:val="false"/>
          <w:bCs w:val="false"/>
          <w:i w:val="false"/>
          <w:iCs w:val="false"/>
          <w:color w:val="000000"/>
          <w:sz w:val="21"/>
          <w:szCs w:val="21"/>
        </w:rPr>
        <w:t xml:space="preserve">RTS is protected by SECDED ECC on 64-bit granules with a background scrubber that touches every line every 4 seconds at a cost of under 0.1% of bandwidth. Retention voltage is 0.55 V, allowing a 4.1× leakage reduction on banks that are allocated but idle — which, given that a large fraction of RTS is holding a paused model's state at any instant, is worth approximately 3 W per MHC.</w:t>
      </w:r>
    </w:p>
    <w:p>
      <w:pPr>
        <w:pStyle w:val="Heading2"/>
        <w:spacing w:after="120" w:before="300"/>
      </w:pPr>
      <w:r>
        <w:rPr>
          <w:rFonts w:ascii="Calibri" w:cs="Calibri" w:eastAsia="Calibri" w:hAnsi="Calibri"/>
          <w:b/>
          <w:bCs/>
          <w:color w:val="1F4E5F"/>
          <w:sz w:val="26"/>
          <w:szCs w:val="26"/>
        </w:rPr>
        <w:t xml:space="preserve">7.4  HBM4 subsystem</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2621"/>
        <w:gridCol w:w="4493"/>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49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Source / basis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Stacks per package</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Design choice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Stack configuration</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16-high, 32 Gb layers, 48 GB</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SK hynix and Samsung 16-high roadmaps place this in 2027–28</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Interface per stack</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2,048-bit, 32 channels × 2 pseudo-channels</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JEDEC JESD270-4</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Pin rate</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 GT/s</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Above the 8 GT/s JEDEC baseline; Samsung has demonstrated 11.7 GT/s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Bandwidth per stack</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2.458 TB/s</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2048 × 9.6e9 ÷ 8</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Aggregate bandwidth</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9.83 TB/s</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Aggregate capacity</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GB</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VDDQ / VDDC</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0.7 V / 1.0 V</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JESD270-4 vendor-selectable levels; lowest offered chosen</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Controllers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(2 per MHC)</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Each drives one stack</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Scheduling</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Per-pseudo-channel, 64-entry queue, FR-FCFS with a bank-group-aware reorder window and a QoS class per requester</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Encryption</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AES-256-XTS inline, 256-byte tweak granule</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§12.3; adds 3 ns of latency, no bandwidth cost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ECC</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HBM4 on-die ECC plus link CRC with automatic retry</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JESD270-4</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Estimated power</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 W per stack at sustained peak</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140 W total</w:t>
            </w:r>
          </w:p>
        </w:tc>
      </w:tr>
    </w:tbl>
    <w:p>
      <w:pPr>
        <w:spacing w:after="220" w:before="60"/>
      </w:pPr>
      <w:r>
        <w:rPr>
          <w:i/>
          <w:iCs/>
          <w:color w:val="595959"/>
          <w:sz w:val="17"/>
          <w:szCs w:val="17"/>
        </w:rPr>
        <w:t xml:space="preserve">Table 7-4. HBM4 subsystem.</w:t>
      </w:r>
    </w:p>
    <w:p>
      <w:pPr>
        <w:spacing w:after="140" w:line="276"/>
        <w:jc w:val="left"/>
      </w:pPr>
      <w:r>
        <w:rPr>
          <w:rFonts w:ascii="Calibri" w:cs="Calibri" w:eastAsia="Calibri" w:hAnsi="Calibri"/>
          <w:b w:val="false"/>
          <w:bCs w:val="false"/>
          <w:i w:val="false"/>
          <w:iCs w:val="false"/>
          <w:color w:val="000000"/>
          <w:sz w:val="21"/>
          <w:szCs w:val="21"/>
        </w:rPr>
        <w:t xml:space="preserve">Four stacks rather than six or eight is the decision that most distinguishes this memory system. The reasoning: eight stacks of HBM4 would give 384 GB at 19.7 TB/s and would cost approximately $3,360 in memory alone, plus a substantially larger interposer and a package that would not fit a 5.5-reticle CoWoS-L field. The marginal bandwidth would be unusable in the decode phase for anything but very large batch, because at that point the Attention Engine's ability to consume KV becomes the constraint rather than the memory's ability to supply it. Four stacks plus a large Tier 2 delivers more total capacity than eight stacks, at 63% of the memory cost, in a package that fits.</w:t>
      </w:r>
    </w:p>
    <w:p>
      <w:pPr>
        <w:pStyle w:val="Heading2"/>
        <w:spacing w:after="120" w:before="300"/>
      </w:pPr>
      <w:r>
        <w:rPr>
          <w:rFonts w:ascii="Calibri" w:cs="Calibri" w:eastAsia="Calibri" w:hAnsi="Calibri"/>
          <w:b/>
          <w:bCs/>
          <w:color w:val="1F4E5F"/>
          <w:sz w:val="26"/>
          <w:szCs w:val="26"/>
        </w:rPr>
        <w:t xml:space="preserve">7.5  LPDDR6 subsystem</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2808"/>
        <w:gridCol w:w="4306"/>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30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Basis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Devices</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 32 GB LPDDR6 packages on module</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Commodity mobile/automotive supply base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capacity</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GB</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256 GB / 512 GB / 1 TB module build options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Interface width</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1,024-bit aggregate (512-bit per MHC)</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Data rate</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14.4 GT/s</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LPDDR6 target rates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Aggregate bandwidth</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1.84 TB/s</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1024 × 14.4e9 ÷ 8</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Read latency, idle</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115 ns</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includes controller and NoC traversal</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Power</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50 W at 60% utilisation</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Energy per bit</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3.2 pJ/bit</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Against ~1.8 pJ/bit for HBM4; the penalty is real but the capacity is 2.7× cheaper</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Encryption</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AES-256-XTS inline</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Same engine class as HBM path</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ECC</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Inline ECC, 128+16, plus a link CRC</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LPDDR6 supports link ECC natively</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Topology</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Point-to-point, fly-by on the module substrate, ≤ 22 mm trace</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Signal integrity is the limiting factor; §14.6</w:t>
            </w:r>
          </w:p>
        </w:tc>
      </w:tr>
    </w:tbl>
    <w:p>
      <w:pPr>
        <w:spacing w:after="220" w:before="60"/>
      </w:pPr>
      <w:r>
        <w:rPr>
          <w:i/>
          <w:iCs/>
          <w:color w:val="595959"/>
          <w:sz w:val="17"/>
          <w:szCs w:val="17"/>
        </w:rPr>
        <w:t xml:space="preserve">Table 7-5. LPDDR6 capacity tier.</w:t>
      </w:r>
    </w:p>
    <w:p>
      <w:pPr>
        <w:spacing w:after="140" w:line="276"/>
        <w:jc w:val="left"/>
      </w:pPr>
      <w:r>
        <w:rPr>
          <w:rFonts w:ascii="Calibri" w:cs="Calibri" w:eastAsia="Calibri" w:hAnsi="Calibri"/>
          <w:b w:val="false"/>
          <w:bCs w:val="false"/>
          <w:i w:val="false"/>
          <w:iCs w:val="false"/>
          <w:color w:val="000000"/>
          <w:sz w:val="21"/>
          <w:szCs w:val="21"/>
        </w:rPr>
        <w:t xml:space="preserve">Routing 1,024 LPDDR6 lanes across an organic module substrate at 14.4 GT/s is the hardest signal-integrity problem in the design and is carried as risk R-05. The mitigations available are: keeping every trace under 22 mm by placing devices in two rows immediately flanking the package; using an 18-layer module PCB with dedicated reference planes for every signal layer; and, if necessary, falling back to 12.8 GT/s at a 1.63 TB/s aggregate, which the architecture tolerates with a 4% throughput loss at the operating points of Section 20.</w:t>
      </w:r>
    </w:p>
    <w:p>
      <w:pPr>
        <w:pStyle w:val="Heading2"/>
        <w:spacing w:after="120" w:before="300"/>
      </w:pPr>
      <w:r>
        <w:rPr>
          <w:rFonts w:ascii="Calibri" w:cs="Calibri" w:eastAsia="Calibri" w:hAnsi="Calibri"/>
          <w:b/>
          <w:bCs/>
          <w:color w:val="1F4E5F"/>
          <w:sz w:val="26"/>
          <w:szCs w:val="26"/>
        </w:rPr>
        <w:t xml:space="preserve">7.6  Token Routing Unit</w:t>
      </w:r>
    </w:p>
    <w:p>
      <w:pPr>
        <w:spacing w:after="140" w:line="276"/>
        <w:jc w:val="left"/>
      </w:pPr>
      <w:r>
        <w:rPr>
          <w:rFonts w:ascii="Calibri" w:cs="Calibri" w:eastAsia="Calibri" w:hAnsi="Calibri"/>
          <w:b w:val="false"/>
          <w:bCs w:val="false"/>
          <w:i w:val="false"/>
          <w:iCs w:val="false"/>
          <w:color w:val="000000"/>
          <w:sz w:val="21"/>
          <w:szCs w:val="21"/>
        </w:rPr>
        <w:t xml:space="preserve">The TRU performs the permutation that mixture-of-experts routing requires, inline with DMA. Given a vector of expert assignments for B tokens, it produces per-expert contiguous groupings of the activation rows, issues the gather descriptors, and records the inverse permutation for the un-grouping after the expert FFN.</w:t>
      </w:r>
    </w:p>
    <w:p>
      <w:pPr>
        <w:spacing w:after="140" w:line="276"/>
        <w:jc w:val="left"/>
      </w:pPr>
      <w:r>
        <w:rPr>
          <w:rFonts w:ascii="Calibri" w:cs="Calibri" w:eastAsia="Calibri" w:hAnsi="Calibri"/>
          <w:b w:val="false"/>
          <w:bCs w:val="false"/>
          <w:i w:val="false"/>
          <w:iCs w:val="false"/>
          <w:color w:val="000000"/>
          <w:sz w:val="21"/>
          <w:szCs w:val="21"/>
        </w:rPr>
        <w:t xml:space="preserve">The gain over a software permutation is that no additional memory traffic is generated at all: the permutation is applied to the addresses in the DMA descriptor stream rather than to the data. A software implementation must read the activation tensor, write it permuted, read it back for the GEMM, and repeat in reverse — four passes over B × d elements per layer. At B = 40, d = 8,192, BF16, that is 5.2 MB per pass, 21 MB per layer, 1.26 GB per decode step across 60 layers. Eliminating it recovers approximately 13% of Tier-1 bandwidth at this operating point.</w:t>
      </w:r>
    </w:p>
    <w:p>
      <w:pPr>
        <w:spacing w:after="140" w:line="276"/>
        <w:jc w:val="left"/>
      </w:pPr>
      <w:r>
        <w:rPr>
          <w:rFonts w:ascii="Calibri" w:cs="Calibri" w:eastAsia="Calibri" w:hAnsi="Calibri"/>
          <w:b w:val="false"/>
          <w:bCs w:val="false"/>
          <w:i w:val="false"/>
          <w:iCs w:val="false"/>
          <w:color w:val="000000"/>
          <w:sz w:val="21"/>
          <w:szCs w:val="21"/>
        </w:rPr>
        <w:t xml:space="preserve">The TRU also maintains the expert popularity counters — a 64-bucket saturating histogram per layer with a programmable decay — that drive the CTM's expert promotion policy.</w:t>
      </w:r>
    </w:p>
    <w:p>
      <w:pPr>
        <w:pStyle w:val="Heading2"/>
        <w:spacing w:after="120" w:before="300"/>
      </w:pPr>
      <w:r>
        <w:rPr>
          <w:rFonts w:ascii="Calibri" w:cs="Calibri" w:eastAsia="Calibri" w:hAnsi="Calibri"/>
          <w:b/>
          <w:bCs/>
          <w:color w:val="1F4E5F"/>
          <w:sz w:val="26"/>
          <w:szCs w:val="26"/>
        </w:rPr>
        <w:t xml:space="preserve">7.7  Weight codec</w:t>
      </w:r>
    </w:p>
    <w:p>
      <w:pPr>
        <w:spacing w:after="140" w:line="276"/>
        <w:jc w:val="left"/>
      </w:pPr>
      <w:r>
        <w:rPr>
          <w:rFonts w:ascii="Calibri" w:cs="Calibri" w:eastAsia="Calibri" w:hAnsi="Calibri"/>
          <w:b w:val="false"/>
          <w:bCs w:val="false"/>
          <w:i w:val="false"/>
          <w:iCs w:val="false"/>
          <w:color w:val="000000"/>
          <w:sz w:val="21"/>
          <w:szCs w:val="21"/>
        </w:rPr>
        <w:t xml:space="preserve">Weights are stored in Tier 1 and Tier 2 in a compressed form and decompressed at the RTS write port. Two compression schemes are supported:</w:t>
      </w:r>
    </w:p>
    <w:p>
      <w:pPr>
        <w:pStyle w:val="ListParagraph"/>
        <w:numPr>
          <w:ilvl w:val="0"/>
          <w:numId w:val="3"/>
        </w:numPr>
        <w:spacing w:after="60" w:line="264"/>
      </w:pPr>
      <w:r>
        <w:rPr>
          <w:rFonts w:ascii="Calibri" w:cs="Calibri" w:eastAsia="Calibri" w:hAnsi="Calibri"/>
          <w:b/>
          <w:bCs/>
          <w:i w:val="false"/>
          <w:iCs w:val="false"/>
          <w:sz w:val="21"/>
          <w:szCs w:val="21"/>
        </w:rPr>
        <w:t xml:space="preserve">MXFP4 with block-sparse zero elision. </w:t>
      </w:r>
      <w:r>
        <w:rPr>
          <w:rFonts w:ascii="Calibri" w:cs="Calibri" w:eastAsia="Calibri" w:hAnsi="Calibri"/>
          <w:b w:val="false"/>
          <w:bCs w:val="false"/>
          <w:i w:val="false"/>
          <w:iCs w:val="false"/>
          <w:sz w:val="21"/>
          <w:szCs w:val="21"/>
        </w:rPr>
        <w:t xml:space="preserve">Blocks of 32 elements whose scale is zero — common in pruned and in some quantisation-aware-trained models — are stored as a single flag byte. Typical gain 4–11% depending on the model.</w:t>
      </w:r>
    </w:p>
    <w:p>
      <w:pPr>
        <w:pStyle w:val="ListParagraph"/>
        <w:numPr>
          <w:ilvl w:val="0"/>
          <w:numId w:val="3"/>
        </w:numPr>
        <w:spacing w:after="60" w:line="264"/>
      </w:pPr>
      <w:r>
        <w:rPr>
          <w:rFonts w:ascii="Calibri" w:cs="Calibri" w:eastAsia="Calibri" w:hAnsi="Calibri"/>
          <w:b/>
          <w:bCs/>
          <w:i w:val="false"/>
          <w:iCs w:val="false"/>
          <w:sz w:val="21"/>
          <w:szCs w:val="21"/>
        </w:rPr>
        <w:t xml:space="preserve">Static Huffman over the mantissa field. </w:t>
      </w:r>
      <w:r>
        <w:rPr>
          <w:rFonts w:ascii="Calibri" w:cs="Calibri" w:eastAsia="Calibri" w:hAnsi="Calibri"/>
          <w:b w:val="false"/>
          <w:bCs w:val="false"/>
          <w:i w:val="false"/>
          <w:iCs w:val="false"/>
          <w:sz w:val="21"/>
          <w:szCs w:val="21"/>
        </w:rPr>
        <w:t xml:space="preserve">A per-tensor 16-symbol code table derived offline by the compiler. Mantissa distributions in trained weights are strongly non-uniform; measured on published open-weight models, entropy coding of the MXFP4 mantissa field yields 12–19% compression at a decode cost of one table lookup per element.</w:t>
      </w:r>
    </w:p>
    <w:p>
      <w:pPr>
        <w:spacing w:after="140" w:line="276"/>
        <w:jc w:val="left"/>
      </w:pPr>
      <w:r>
        <w:rPr>
          <w:rFonts w:ascii="Calibri" w:cs="Calibri" w:eastAsia="Calibri" w:hAnsi="Calibri"/>
          <w:b w:val="false"/>
          <w:bCs w:val="false"/>
          <w:i w:val="false"/>
          <w:iCs w:val="false"/>
          <w:color w:val="000000"/>
          <w:sz w:val="21"/>
          <w:szCs w:val="21"/>
        </w:rPr>
        <w:t xml:space="preserve">Combined, the codec is budgeted at 18% average compression on weights. Because weight traffic is the dominant Tier-1 consumer at high batch, this is equivalent to an 18% increase in effective weight bandwidth for approximately 9 mm² and 4 W per MHC. The decode is a fixed-latency pipeline with no data-dependent stalls, which matters because a variable-latency decompressor would break the sequencer's static schedule.</w:t>
      </w:r>
    </w:p>
    <w:p>
      <w:pPr>
        <w:spacing w:after="140" w:line="276"/>
        <w:jc w:val="left"/>
      </w:pPr>
      <w:r>
        <w:rPr>
          <w:rFonts w:ascii="Calibri" w:cs="Calibri" w:eastAsia="Calibri" w:hAnsi="Calibri"/>
          <w:b w:val="false"/>
          <w:bCs w:val="false"/>
          <w:i w:val="false"/>
          <w:iCs w:val="false"/>
          <w:color w:val="000000"/>
          <w:sz w:val="21"/>
          <w:szCs w:val="21"/>
        </w:rPr>
        <w:t xml:space="preserve">KV cache is not compressed by this codec — it is quantised instead, by the KV codec in the Attention Engine (Section 9.4), because KV must be randomly accessible at page granularity and entropy coding destroys random access.</w:t>
      </w:r>
    </w:p>
    <w:p>
      <w:pPr>
        <w:pStyle w:val="Heading2"/>
        <w:spacing w:after="120" w:before="300"/>
      </w:pPr>
      <w:r>
        <w:rPr>
          <w:rFonts w:ascii="Calibri" w:cs="Calibri" w:eastAsia="Calibri" w:hAnsi="Calibri"/>
          <w:b/>
          <w:bCs/>
          <w:color w:val="1F4E5F"/>
          <w:sz w:val="26"/>
          <w:szCs w:val="26"/>
        </w:rPr>
        <w:t xml:space="preserve">7.8  On-package network</w:t>
      </w:r>
    </w:p>
    <w:p>
      <w:pPr>
        <w:spacing w:after="140" w:line="276"/>
        <w:jc w:val="left"/>
      </w:pPr>
      <w:r>
        <w:rPr>
          <w:rFonts w:ascii="Calibri" w:cs="Calibri" w:eastAsia="Calibri" w:hAnsi="Calibri"/>
          <w:b w:val="false"/>
          <w:bCs w:val="false"/>
          <w:i w:val="false"/>
          <w:iCs w:val="false"/>
          <w:color w:val="000000"/>
          <w:sz w:val="21"/>
          <w:szCs w:val="21"/>
        </w:rPr>
        <w:t xml:space="preserve">A 6 × 5 mesh of routers per MHC, with 1,024-bit links at 1.25 GHz giving 160 GB/s per link direction. Bisection bandwidth per MHC is 5.1 TB/s; the two MHCs are joined by eight links across the CoWoS-L silicon bridge for 1.28 TB/s of inter-hub bandwidth.</w:t>
      </w:r>
    </w:p>
    <w:p>
      <w:pPr>
        <w:spacing w:after="140" w:line="276"/>
        <w:jc w:val="left"/>
      </w:pPr>
      <w:r>
        <w:rPr>
          <w:rFonts w:ascii="Calibri" w:cs="Calibri" w:eastAsia="Calibri" w:hAnsi="Calibri"/>
          <w:b w:val="false"/>
          <w:bCs w:val="false"/>
          <w:i w:val="false"/>
          <w:iCs w:val="false"/>
          <w:color w:val="000000"/>
          <w:sz w:val="21"/>
          <w:szCs w:val="21"/>
        </w:rPr>
        <w:t xml:space="preserve">Four virtual channels carry, respectively: weight and activation bulk traffic; KV and attention traffic; control, synchronisation and descriptor traffic; and security/attestation traffic, which is isolated so that it cannot be starved or observed by timing from the other classes. Routing is dimension-order with a deadlock-free escape channel. Arbitration is age-based with a QoS class override, so that the Attention Engine's page fetches — which are on the critical path of every decode step — can be prioritised over bulk weight streaming, which is prefetched and latency-tolerant.</w:t>
      </w:r>
    </w:p>
    <w:p>
      <w:r>
        <w:br w:type="page"/>
      </w:r>
    </w:p>
    <w:p>
      <w:pPr>
        <w:pStyle w:val="Heading1"/>
        <w:spacing w:after="160" w:before="400"/>
      </w:pPr>
      <w:r>
        <w:rPr>
          <w:rFonts w:ascii="Calibri" w:cs="Calibri" w:eastAsia="Calibri" w:hAnsi="Calibri"/>
          <w:b/>
          <w:bCs/>
          <w:color w:val="1F4E5F"/>
          <w:sz w:val="32"/>
          <w:szCs w:val="32"/>
        </w:rPr>
        <w:t xml:space="preserve">8.  The Three-Tier Context Hierarchy</w:t>
      </w:r>
    </w:p>
    <w:p>
      <w:pPr>
        <w:spacing w:after="140" w:line="276"/>
        <w:jc w:val="left"/>
      </w:pPr>
      <w:r>
        <w:rPr>
          <w:rFonts w:ascii="Calibri" w:cs="Calibri" w:eastAsia="Calibri" w:hAnsi="Calibri"/>
          <w:b w:val="false"/>
          <w:bCs w:val="false"/>
          <w:i w:val="false"/>
          <w:iCs w:val="false"/>
          <w:color w:val="000000"/>
          <w:sz w:val="21"/>
          <w:szCs w:val="21"/>
        </w:rPr>
        <w:t xml:space="preserve">This is the part of the design that is genuinely new, and therefore the part most likely to be wrong. It is specified in more detail than anything else in this document, because a reviewer needs enough detail to find the flaw.</w:t>
      </w:r>
    </w:p>
    <w:p>
      <w:pPr>
        <w:pStyle w:val="Heading2"/>
        <w:spacing w:after="120" w:before="300"/>
      </w:pPr>
      <w:r>
        <w:rPr>
          <w:rFonts w:ascii="Calibri" w:cs="Calibri" w:eastAsia="Calibri" w:hAnsi="Calibri"/>
          <w:b/>
          <w:bCs/>
          <w:color w:val="1F4E5F"/>
          <w:sz w:val="26"/>
          <w:szCs w:val="26"/>
        </w:rPr>
        <w:t xml:space="preserve">8.1  Tier properties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3"/>
        <w:gridCol w:w="2246"/>
        <w:gridCol w:w="2246"/>
        <w:gridCol w:w="2995"/>
      </w:tblGrid>
      <w:tr>
        <w:trPr>
          <w:cantSplit/>
          <w:tblHeader/>
        </w:trPr>
        <w:tc>
          <w:tcPr>
            <w:tcW w:type="dxa" w:w="187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Tier 0 — RTS</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Tier 1 — HBM4</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Tier 2 — LPDDR6</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Capacity</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MB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GB</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GB (256 GB / 1 TB options)</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Bandwidth</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TB/s sustained</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9.83 TB/s</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1.84 TB/s</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Idle read latency</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12 ns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90 ns</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115 ns</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Energy per bit</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0.11 pJ</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1.8 pJ</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3.2 pJ</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Cost per GB (2028 est.)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$172</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$8.75</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$3.50</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Bandwidth per dollar</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372 GB/s per $</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5.9 GB/s per $</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1.03 GB/s per $</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Capacity per watt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10.9 MB/W</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 GB/W</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10.2 GB/W</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Managed by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Compiler, explicitly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CTM + compiler hints</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CTM, autonomously</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Holds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Working set of the current layer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Active weights, hot experts, live KV</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Parked KV, prefix cache, cold experts, draft models, interpretability ring</w:t>
            </w:r>
          </w:p>
        </w:tc>
      </w:tr>
    </w:tbl>
    <w:p>
      <w:pPr>
        <w:spacing w:after="220" w:before="60"/>
      </w:pPr>
      <w:r>
        <w:rPr>
          <w:i/>
          <w:iCs/>
          <w:color w:val="595959"/>
          <w:sz w:val="17"/>
          <w:szCs w:val="17"/>
        </w:rPr>
        <w:t xml:space="preserve">Table 8-1. Tier properties. Note the last two rows: Tier 2 offers 7.5× the capacity per watt of Tier 1 and 2.5× the capacity per dollar. That, not its bandwidth, is why it exists.</w:t>
      </w:r>
    </w:p>
    <w:p>
      <w:pPr>
        <w:spacing w:after="140" w:line="276"/>
        <w:jc w:val="left"/>
      </w:pPr>
      <w:r>
        <w:rPr>
          <w:rFonts w:ascii="Calibri" w:cs="Calibri" w:eastAsia="Calibri" w:hAnsi="Calibri"/>
          <w:b w:val="false"/>
          <w:bCs w:val="false"/>
          <w:i w:val="false"/>
          <w:iCs w:val="false"/>
          <w:color w:val="000000"/>
          <w:sz w:val="21"/>
          <w:szCs w:val="21"/>
        </w:rPr>
        <w:t xml:space="preserve">The row worth dwelling on is capacity per watt. Holding a gigabyte of key-value state in HBM4 costs approximately 0.73 W of refresh, background, and static power; holding it in LPDDR6 costs approximately 0.098 W. For a fleet in which a large fraction of resident state is parked, this is a direct and substantial energy saving in addition to the capital saving — roughly 47 W per module at the parking ratios of Table 4-3, which is 5.5% of package power recovered from doing nothing differently except putting idle data in the right place.</w:t>
      </w:r>
    </w:p>
    <w:p>
      <w:pPr>
        <w:pStyle w:val="Heading2"/>
        <w:spacing w:after="120" w:before="300"/>
      </w:pPr>
      <w:r>
        <w:rPr>
          <w:rFonts w:ascii="Calibri" w:cs="Calibri" w:eastAsia="Calibri" w:hAnsi="Calibri"/>
          <w:b/>
          <w:bCs/>
          <w:color w:val="1F4E5F"/>
          <w:sz w:val="26"/>
          <w:szCs w:val="26"/>
        </w:rPr>
        <w:t xml:space="preserve">8.2  Paged key-value storage</w:t>
      </w:r>
    </w:p>
    <w:p>
      <w:pPr>
        <w:spacing w:after="140" w:line="276"/>
        <w:jc w:val="left"/>
      </w:pPr>
      <w:r>
        <w:rPr>
          <w:rFonts w:ascii="Calibri" w:cs="Calibri" w:eastAsia="Calibri" w:hAnsi="Calibri"/>
          <w:b w:val="false"/>
          <w:bCs w:val="false"/>
          <w:i w:val="false"/>
          <w:iCs w:val="false"/>
          <w:color w:val="000000"/>
          <w:sz w:val="21"/>
          <w:szCs w:val="21"/>
        </w:rPr>
        <w:t xml:space="preserve">All key-value state is stored in fixed-size pages, physically addressed, and referenced through a per-sequence page table. This is the vLLM PagedAttention model implemented in hardware.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059"/>
        <w:gridCol w:w="1872"/>
        <w:gridCol w:w="5429"/>
      </w:tblGrid>
      <w:tr>
        <w:trPr>
          <w:cantSplit/>
          <w:tblHeader/>
        </w:trPr>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542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Rationale</w:t>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Page size</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MB</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Holds 16 tokens of RM-B KV across all layers, or 512 tokens of one layer. Chosen so that a page is a useful DMA granule (1.1 µs at Tier-2 bandwidth) and so that the page table for a 1 M-token context is 60 K entries, which fits in RTS.</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Page layout</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Layer-major, then token, then head</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Attention reads all heads of one layer for a token range; this layout makes that contiguous.</w:t>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Page table</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4-level radix, 512 entries per level</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Walked by hardware; 512-entry TLB per Attention Engine</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Page table entry</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bytes: 40-bit PFN, tier bits, refcount, dirty, pinned, content-hash tag</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Reference counting</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12-bit saturating</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Enables deduplication (§8.5); saturation is treated as "pinned"</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Allocation</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Free-list per tier, hardware pop/push</w:t>
            </w:r>
          </w:p>
        </w:tc>
        <w:tc>
          <w:tcPr>
            <w:tcW w:type="dxa" w:w="542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 software allocator on the critical path</w:t>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Migration granule</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page</w:t>
            </w:r>
          </w:p>
        </w:tc>
        <w:tc>
          <w:tcPr>
            <w:tcW w:type="dxa" w:w="542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Migration is a DMA of one page plus a page-table update</w:t>
            </w:r>
          </w:p>
        </w:tc>
      </w:tr>
    </w:tbl>
    <w:p>
      <w:pPr>
        <w:spacing w:after="220" w:before="60"/>
      </w:pPr>
      <w:r>
        <w:rPr>
          <w:i/>
          <w:iCs/>
          <w:color w:val="595959"/>
          <w:sz w:val="17"/>
          <w:szCs w:val="17"/>
        </w:rPr>
        <w:t xml:space="preserve">Table 8-2. Paged KV parameters.</w:t>
      </w:r>
    </w:p>
    <w:p>
      <w:pPr>
        <w:spacing w:after="140" w:line="276"/>
        <w:jc w:val="left"/>
      </w:pPr>
      <w:r>
        <w:rPr>
          <w:rFonts w:ascii="Calibri" w:cs="Calibri" w:eastAsia="Calibri" w:hAnsi="Calibri"/>
          <w:b w:val="false"/>
          <w:bCs w:val="false"/>
          <w:i w:val="false"/>
          <w:iCs w:val="false"/>
          <w:color w:val="000000"/>
          <w:sz w:val="21"/>
          <w:szCs w:val="21"/>
        </w:rPr>
        <w:t xml:space="preserve">Hardware page management removes the largest source of serving-stack overhead in current systems. Published measurements of software paged attention put the page-table and allocator overhead at 3–8% of decode time; more importantly, it forces the scheduler to reason about physical memory placement, which makes the admission-control policy far harder than it should be. With hardware paging, the scheduler decides what to run and the hardware decides where it lives.</w:t>
      </w:r>
    </w:p>
    <w:p>
      <w:pPr>
        <w:pStyle w:val="Heading2"/>
        <w:spacing w:after="120" w:before="300"/>
      </w:pPr>
      <w:r>
        <w:rPr>
          <w:rFonts w:ascii="Calibri" w:cs="Calibri" w:eastAsia="Calibri" w:hAnsi="Calibri"/>
          <w:b/>
          <w:bCs/>
          <w:color w:val="1F4E5F"/>
          <w:sz w:val="26"/>
          <w:szCs w:val="26"/>
        </w:rPr>
        <w:t xml:space="preserve">8.3  Context Tier Manager</w:t>
      </w:r>
    </w:p>
    <w:p>
      <w:pPr>
        <w:spacing w:after="140" w:line="276"/>
        <w:jc w:val="left"/>
      </w:pPr>
      <w:r>
        <w:rPr>
          <w:rFonts w:ascii="Calibri" w:cs="Calibri" w:eastAsia="Calibri" w:hAnsi="Calibri"/>
          <w:b w:val="false"/>
          <w:bCs w:val="false"/>
          <w:i w:val="false"/>
          <w:iCs w:val="false"/>
          <w:color w:val="000000"/>
          <w:sz w:val="21"/>
          <w:szCs w:val="21"/>
        </w:rPr>
        <w:t xml:space="preserve">The CTM is a hardware engine, one per MHC, that owns page placement across Tiers 1 and 2. It has four responsibilities: migration, promotion, eviction, and accounting.</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CONTEXT TIER MANAGER       │</w:t>
      </w:r>
    </w:p>
    <w:p>
      <w:pPr>
        <w:shd w:fill="EEF3F6" w:val="clear"/>
        <w:spacing w:after="0" w:line="216"/>
        <w:ind w:left="120" w:right="120"/>
      </w:pPr>
      <w:r>
        <w:rPr>
          <w:rFonts w:ascii="Consolas" w:cs="Consolas" w:eastAsia="Consolas" w:hAnsi="Consolas"/>
          <w:sz w:val="15"/>
          <w:szCs w:val="15"/>
        </w:rPr>
        <w:t xml:space="preserve">  scheduler hints ────▶│                                      │</w:t>
      </w:r>
    </w:p>
    <w:p>
      <w:pPr>
        <w:shd w:fill="EEF3F6" w:val="clear"/>
        <w:spacing w:after="0" w:line="216"/>
        <w:ind w:left="120" w:right="120"/>
      </w:pPr>
      <w:r>
        <w:rPr>
          <w:rFonts w:ascii="Consolas" w:cs="Consolas" w:eastAsia="Consolas" w:hAnsi="Consolas"/>
          <w:sz w:val="15"/>
          <w:szCs w:val="15"/>
        </w:rPr>
        <w:t xml:space="preserve">  (PARK, RESUME,       │  ┌────────────────┐  ┌────────────┐  │</w:t>
      </w:r>
    </w:p>
    <w:p>
      <w:pPr>
        <w:shd w:fill="EEF3F6" w:val="clear"/>
        <w:spacing w:after="0" w:line="216"/>
        <w:ind w:left="120" w:right="120"/>
      </w:pPr>
      <w:r>
        <w:rPr>
          <w:rFonts w:ascii="Consolas" w:cs="Consolas" w:eastAsia="Consolas" w:hAnsi="Consolas"/>
          <w:sz w:val="15"/>
          <w:szCs w:val="15"/>
        </w:rPr>
        <w:t xml:space="preserve">   PIN, PRIORITY)      │  │ POLICY ENGINE  │  │ ACCOUNTING │  │</w:t>
      </w:r>
    </w:p>
    <w:p>
      <w:pPr>
        <w:shd w:fill="EEF3F6" w:val="clear"/>
        <w:spacing w:after="0" w:line="216"/>
        <w:ind w:left="120" w:right="120"/>
      </w:pPr>
      <w:r>
        <w:rPr>
          <w:rFonts w:ascii="Consolas" w:cs="Consolas" w:eastAsia="Consolas" w:hAnsi="Consolas"/>
          <w:sz w:val="15"/>
          <w:szCs w:val="15"/>
        </w:rPr>
        <w:t xml:space="preserve">                       │  │ · park queue   │  │ · per-seq  │  │</w:t>
      </w:r>
    </w:p>
    <w:p>
      <w:pPr>
        <w:shd w:fill="EEF3F6" w:val="clear"/>
        <w:spacing w:after="0" w:line="216"/>
        <w:ind w:left="120" w:right="120"/>
      </w:pPr>
      <w:r>
        <w:rPr>
          <w:rFonts w:ascii="Consolas" w:cs="Consolas" w:eastAsia="Consolas" w:hAnsi="Consolas"/>
          <w:sz w:val="15"/>
          <w:szCs w:val="15"/>
        </w:rPr>
        <w:t xml:space="preserve">  PTE access stream ──▶│  │ · LFU expert   │  │   residency│  │</w:t>
      </w:r>
    </w:p>
    <w:p>
      <w:pPr>
        <w:shd w:fill="EEF3F6" w:val="clear"/>
        <w:spacing w:after="0" w:line="216"/>
        <w:ind w:left="120" w:right="120"/>
      </w:pPr>
      <w:r>
        <w:rPr>
          <w:rFonts w:ascii="Consolas" w:cs="Consolas" w:eastAsia="Consolas" w:hAnsi="Consolas"/>
          <w:sz w:val="15"/>
          <w:szCs w:val="15"/>
        </w:rPr>
        <w:t xml:space="preserve">  (from page walkers)  │  │ · LRU-K pages  │  │ · per-tier │  │</w:t>
      </w:r>
    </w:p>
    <w:p>
      <w:pPr>
        <w:shd w:fill="EEF3F6" w:val="clear"/>
        <w:spacing w:after="0" w:line="216"/>
        <w:ind w:left="120" w:right="120"/>
      </w:pPr>
      <w:r>
        <w:rPr>
          <w:rFonts w:ascii="Consolas" w:cs="Consolas" w:eastAsia="Consolas" w:hAnsi="Consolas"/>
          <w:sz w:val="15"/>
          <w:szCs w:val="15"/>
        </w:rPr>
        <w:t xml:space="preserve">                       │  │ · watermark    │  │   occupancy│  │</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 MIGRATION ENGINE               │  │</w:t>
      </w:r>
    </w:p>
    <w:p>
      <w:pPr>
        <w:shd w:fill="EEF3F6" w:val="clear"/>
        <w:spacing w:after="0" w:line="216"/>
        <w:ind w:left="120" w:right="120"/>
      </w:pPr>
      <w:r>
        <w:rPr>
          <w:rFonts w:ascii="Consolas" w:cs="Consolas" w:eastAsia="Consolas" w:hAnsi="Consolas"/>
          <w:sz w:val="15"/>
          <w:szCs w:val="15"/>
        </w:rPr>
        <w:t xml:space="preserve">                       │  │ 8 channels · 2 MB descriptors  │  │</w:t>
      </w:r>
    </w:p>
    <w:p>
      <w:pPr>
        <w:shd w:fill="EEF3F6" w:val="clear"/>
        <w:spacing w:after="0" w:line="216"/>
        <w:ind w:left="120" w:right="120"/>
      </w:pPr>
      <w:r>
        <w:rPr>
          <w:rFonts w:ascii="Consolas" w:cs="Consolas" w:eastAsia="Consolas" w:hAnsi="Consolas"/>
          <w:sz w:val="15"/>
          <w:szCs w:val="15"/>
        </w:rPr>
        <w:t xml:space="preserve">                       │  │ bandwidth governor (§8.4.3)    │  │</w:t>
      </w:r>
    </w:p>
    <w:p>
      <w:pPr>
        <w:shd w:fill="EEF3F6" w:val="clear"/>
        <w:spacing w:after="0" w:line="216"/>
        <w:ind w:left="120" w:right="120"/>
      </w:pPr>
      <w:r>
        <w:rPr>
          <w:rFonts w:ascii="Consolas" w:cs="Consolas" w:eastAsia="Consolas" w:hAnsi="Consolas"/>
          <w:sz w:val="15"/>
          <w:szCs w:val="15"/>
        </w:rPr>
        <w:t xml:space="preserve">                       │  │ atomic PTE update on completion│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Tier 1 (HBM4)   Tier 2 (LPDDR6)</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8-1. Context Tier Manager.</w:t>
      </w:r>
    </w:p>
    <w:p>
      <w:pPr>
        <w:pStyle w:val="Heading2"/>
        <w:spacing w:after="120" w:before="300"/>
      </w:pPr>
      <w:r>
        <w:rPr>
          <w:rFonts w:ascii="Calibri" w:cs="Calibri" w:eastAsia="Calibri" w:hAnsi="Calibri"/>
          <w:b/>
          <w:bCs/>
          <w:color w:val="1F4E5F"/>
          <w:sz w:val="26"/>
          <w:szCs w:val="26"/>
        </w:rPr>
        <w:t xml:space="preserve">8.4  Session Park and Restore</w:t>
      </w:r>
    </w:p>
    <w:p>
      <w:pPr>
        <w:pStyle w:val="Heading3"/>
        <w:spacing w:after="100" w:before="240"/>
      </w:pPr>
      <w:r>
        <w:rPr>
          <w:rFonts w:ascii="Calibri" w:cs="Calibri" w:eastAsia="Calibri" w:hAnsi="Calibri"/>
          <w:b/>
          <w:bCs/>
          <w:color w:val="7A4E2E"/>
          <w:sz w:val="23"/>
          <w:szCs w:val="23"/>
        </w:rPr>
        <w:t xml:space="preserve">8.4.1  The mechanism</w:t>
      </w:r>
    </w:p>
    <w:p>
      <w:pPr>
        <w:spacing w:after="140" w:line="276"/>
        <w:jc w:val="left"/>
      </w:pPr>
      <w:r>
        <w:rPr>
          <w:rFonts w:ascii="Calibri" w:cs="Calibri" w:eastAsia="Calibri" w:hAnsi="Calibri"/>
          <w:b w:val="false"/>
          <w:bCs w:val="false"/>
          <w:i w:val="false"/>
          <w:iCs w:val="false"/>
          <w:color w:val="000000"/>
          <w:sz w:val="21"/>
          <w:szCs w:val="21"/>
        </w:rPr>
        <w:t xml:space="preserve">When the serving runtime determines that a sequence has issued a tool call and will not generate for some interval, it writes a PARK descriptor naming the sequence and, optionally, an expected resumption time. The CTM enqueues the sequence's pages for migration to Tier 2 and begins moving them at a rate governed by Section 8.4.3. Pages that have not yet migrated remain valid in Tier 1; the sequence can be resumed at any point with no correctness consequence, only a partial saving.</w:t>
      </w:r>
    </w:p>
    <w:p>
      <w:pPr>
        <w:spacing w:after="140" w:line="276"/>
        <w:jc w:val="left"/>
      </w:pPr>
      <w:r>
        <w:rPr>
          <w:rFonts w:ascii="Calibri" w:cs="Calibri" w:eastAsia="Calibri" w:hAnsi="Calibri"/>
          <w:b w:val="false"/>
          <w:bCs w:val="false"/>
          <w:i w:val="false"/>
          <w:iCs w:val="false"/>
          <w:color w:val="000000"/>
          <w:sz w:val="21"/>
          <w:szCs w:val="21"/>
        </w:rPr>
        <w:t xml:space="preserve">On RESUME, the CTM promotes pages back to Tier 1 in the order the Attention Engine will need them — which is layer order, and is known — so that the first layer's pages are resident before the compute reaches them. For a fully parked 3.93 GB session, full restoration takes 2.14 ms at Tier-2 bandwidth; the first layer's pages (65 MB) arrive in 36 µs.</w:t>
      </w:r>
    </w:p>
    <w:p>
      <w:pPr>
        <w:spacing w:after="140" w:line="276"/>
        <w:jc w:val="left"/>
      </w:pPr>
      <w:r>
        <w:rPr>
          <w:rFonts w:ascii="Calibri" w:cs="Calibri" w:eastAsia="Calibri" w:hAnsi="Calibri"/>
          <w:b w:val="false"/>
          <w:bCs w:val="false"/>
          <w:i w:val="false"/>
          <w:iCs w:val="false"/>
          <w:color w:val="000000"/>
          <w:sz w:val="21"/>
          <w:szCs w:val="21"/>
        </w:rPr>
        <w:t xml:space="preserve">Critically, a parked session does not have to be restored to be resumed. The Attention Engine can read K and V pages directly from Tier 2, at reduced bandwidth. A session resumed under memory pressure runs at approximately 19% of full decode rate until its pages migrate, rather than blocking. This is the difference between a graceful degradation and a cliff, and it is the reason the design does not need the parking policy to be right — only approximately right.</w:t>
      </w:r>
    </w:p>
    <w:p>
      <w:pPr>
        <w:pStyle w:val="Heading3"/>
        <w:spacing w:after="100" w:before="240"/>
      </w:pPr>
      <w:r>
        <w:rPr>
          <w:rFonts w:ascii="Calibri" w:cs="Calibri" w:eastAsia="Calibri" w:hAnsi="Calibri"/>
          <w:b/>
          <w:bCs/>
          <w:color w:val="7A4E2E"/>
          <w:sz w:val="23"/>
          <w:szCs w:val="23"/>
        </w:rPr>
        <w:t xml:space="preserve">8.4.2  The economics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4306"/>
        <w:gridCol w:w="2246"/>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Option on tool-call return</w:t>
            </w:r>
          </w:p>
        </w:tc>
        <w:tc>
          <w:tcPr>
            <w:tcW w:type="dxa" w:w="430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Cost</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Latency added</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Session was held in Tier 1 (conventional)</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3.93 GB of HBM occupied for the whole tool latency; at 60 s and $8.75/GB amortised, ~0.57 GB·min of the fleet's scarcest resource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ms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Session was evicted and is re-prefilled</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32,768 × 40 × 10⁹ = 2.62 PFLOP ≈ 208 ms of the entire package, plus scheduling queue delay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208 ms + queue</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Session was parked to Tier 2 and restored (SC-1)</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3.93 GB × 2 of Tier-2 traffic = 4.3 ms of Tier-2 bandwidth, ~0.03 J</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ms (restore overlaps the tool call)</w:t>
            </w:r>
          </w:p>
        </w:tc>
      </w:tr>
    </w:tbl>
    <w:p>
      <w:pPr>
        <w:spacing w:after="220" w:before="60"/>
      </w:pPr>
      <w:r>
        <w:rPr>
          <w:i/>
          <w:iCs/>
          <w:color w:val="595959"/>
          <w:sz w:val="17"/>
          <w:szCs w:val="17"/>
        </w:rPr>
        <w:t xml:space="preserve">Table 8-3. Cost of the three responses to a paused session. The comparison against re-prefill is 208 ms against 2.14 ms of resource, a factor of 97.</w:t>
      </w:r>
    </w:p>
    <w:p>
      <w:pPr>
        <w:spacing w:after="140" w:line="276"/>
        <w:jc w:val="left"/>
      </w:pPr>
      <w:r>
        <w:rPr>
          <w:rFonts w:ascii="Calibri" w:cs="Calibri" w:eastAsia="Calibri" w:hAnsi="Calibri"/>
          <w:b w:val="false"/>
          <w:bCs w:val="false"/>
          <w:i w:val="false"/>
          <w:iCs w:val="false"/>
          <w:color w:val="000000"/>
          <w:sz w:val="21"/>
          <w:szCs w:val="21"/>
        </w:rPr>
        <w:t xml:space="preserve">The 97× figure is quoted in the executive summary and it is worth being precise about what it compares. It is the ratio of package-seconds consumed, not of wall-clock latency, because in the parked case the wall-clock latency is zero — the restore happens during the tool call. Against holding the session in Tier 1, the comparison is different in kind: parking does not save time, it saves capacity, and the value is the additional concurrent sessions the freed HBM supports.</w:t>
      </w:r>
    </w:p>
    <w:p>
      <w:pPr>
        <w:pStyle w:val="Heading3"/>
        <w:spacing w:after="100" w:before="240"/>
      </w:pPr>
      <w:r>
        <w:rPr>
          <w:rFonts w:ascii="Calibri" w:cs="Calibri" w:eastAsia="Calibri" w:hAnsi="Calibri"/>
          <w:b/>
          <w:bCs/>
          <w:color w:val="7A4E2E"/>
          <w:sz w:val="23"/>
          <w:szCs w:val="23"/>
        </w:rPr>
        <w:t xml:space="preserve">8.4.3  The bandwidth governor</w:t>
      </w:r>
    </w:p>
    <w:p>
      <w:pPr>
        <w:spacing w:after="140" w:line="276"/>
        <w:jc w:val="left"/>
      </w:pPr>
      <w:r>
        <w:rPr>
          <w:rFonts w:ascii="Calibri" w:cs="Calibri" w:eastAsia="Calibri" w:hAnsi="Calibri"/>
          <w:b w:val="false"/>
          <w:bCs w:val="false"/>
          <w:i w:val="false"/>
          <w:iCs w:val="false"/>
          <w:color w:val="000000"/>
          <w:sz w:val="21"/>
          <w:szCs w:val="21"/>
        </w:rPr>
        <w:t xml:space="preserve">The failure mode of any background migration engine is that it steals bandwidth from foreground work at exactly the moment foreground work is most urgent. The governor addresses this directly.</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Migration traffic is assigned the lowest of four QoS classes on both the NoC and the memory controllers, and is preempted at page granularity.</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 leaky-bucket rate limiter caps migration at a programmable fraction of Tier-1 bandwidth, default 6%, measured over a 100 µs window.</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The cap is dynamically reduced to zero when the Tier-1 controller queue occupancy exceeds a high watermark, and restored on a hysteresis threshold.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Restores are exempt from the cap when the sequence is on the critical path — signalled by a priority bit in the RESUME descriptor — because a restore that is too slow costs more than the bandwidth it saves.</w:t>
      </w:r>
    </w:p>
    <w:p>
      <w:pPr>
        <w:pStyle w:val="Heading3"/>
        <w:spacing w:after="100" w:before="240"/>
      </w:pPr>
      <w:r>
        <w:rPr>
          <w:rFonts w:ascii="Calibri" w:cs="Calibri" w:eastAsia="Calibri" w:hAnsi="Calibri"/>
          <w:b/>
          <w:bCs/>
          <w:color w:val="7A4E2E"/>
          <w:sz w:val="23"/>
          <w:szCs w:val="23"/>
        </w:rPr>
        <w:t xml:space="preserve">8.4.4  Capacity arithmetic</w:t>
      </w:r>
    </w:p>
    <w:p>
      <w:pPr>
        <w:spacing w:after="140" w:line="276"/>
        <w:jc w:val="left"/>
      </w:pPr>
      <w:r>
        <w:rPr>
          <w:rFonts w:ascii="Calibri" w:cs="Calibri" w:eastAsia="Calibri" w:hAnsi="Calibri"/>
          <w:b w:val="false"/>
          <w:bCs w:val="false"/>
          <w:i w:val="false"/>
          <w:iCs w:val="false"/>
          <w:color w:val="000000"/>
          <w:sz w:val="21"/>
          <w:szCs w:val="21"/>
        </w:rPr>
        <w:t xml:space="preserve">With RM-A (dense 70 B) and 32 K contexts, using the corrected key-value footprint of Appendix C.1:</w:t>
      </w:r>
    </w:p>
    <w:p>
      <w:pPr>
        <w:pBdr>
          <w:top w:val="single" w:color="C9D6DD" w:sz="4"/>
        </w:pBdr>
        <w:shd w:fill="EEF3F6" w:val="clear"/>
        <w:spacing w:after="0" w:line="216"/>
        <w:ind w:left="120" w:right="120"/>
      </w:pPr>
      <w:r>
        <w:rPr>
          <w:rFonts w:ascii="Consolas" w:cs="Consolas" w:eastAsia="Consolas" w:hAnsi="Consolas"/>
          <w:sz w:val="15"/>
          <w:szCs w:val="15"/>
        </w:rPr>
        <w:t xml:space="preserve">  KV per 32 K session:  MXFP8 = 5.45 GB   INT4+bypass = 2.88 GB</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Tier 1 (192 GB):</w:t>
      </w:r>
    </w:p>
    <w:p>
      <w:pPr>
        <w:shd w:fill="EEF3F6" w:val="clear"/>
        <w:spacing w:after="0" w:line="216"/>
        <w:ind w:left="120" w:right="120"/>
      </w:pPr>
      <w:r>
        <w:rPr>
          <w:rFonts w:ascii="Consolas" w:cs="Consolas" w:eastAsia="Consolas" w:hAnsi="Consolas"/>
          <w:sz w:val="15"/>
          <w:szCs w:val="15"/>
        </w:rPr>
        <w:t xml:space="preserve">    weights, MXFP4, after codec                       =  29.7 GB</w:t>
      </w:r>
    </w:p>
    <w:p>
      <w:pPr>
        <w:shd w:fill="EEF3F6" w:val="clear"/>
        <w:spacing w:after="0" w:line="216"/>
        <w:ind w:left="120" w:right="120"/>
      </w:pPr>
      <w:r>
        <w:rPr>
          <w:rFonts w:ascii="Consolas" w:cs="Consolas" w:eastAsia="Consolas" w:hAnsi="Consolas"/>
          <w:sz w:val="15"/>
          <w:szCs w:val="15"/>
        </w:rPr>
        <w:t xml:space="preserve">    resident working set, activations, staging        =  12.0 GB</w:t>
      </w:r>
    </w:p>
    <w:p>
      <w:pPr>
        <w:shd w:fill="EEF3F6" w:val="clear"/>
        <w:spacing w:after="0" w:line="216"/>
        <w:ind w:left="120" w:right="120"/>
      </w:pPr>
      <w:r>
        <w:rPr>
          <w:rFonts w:ascii="Consolas" w:cs="Consolas" w:eastAsia="Consolas" w:hAnsi="Consolas"/>
          <w:sz w:val="15"/>
          <w:szCs w:val="15"/>
        </w:rPr>
        <w:t xml:space="preserve">    live KV for actively generating sessions          = 150.3 GB  -&gt;  27 sessions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Tier 2 (512 GB):</w:t>
      </w:r>
    </w:p>
    <w:p>
      <w:pPr>
        <w:shd w:fill="EEF3F6" w:val="clear"/>
        <w:spacing w:after="0" w:line="216"/>
        <w:ind w:left="120" w:right="120"/>
      </w:pPr>
      <w:r>
        <w:rPr>
          <w:rFonts w:ascii="Consolas" w:cs="Consolas" w:eastAsia="Consolas" w:hAnsi="Consolas"/>
          <w:sz w:val="15"/>
          <w:szCs w:val="15"/>
        </w:rPr>
        <w:t xml:space="preserve">    draft model + 3 classifier models                 =   9.0 GB</w:t>
      </w:r>
    </w:p>
    <w:p>
      <w:pPr>
        <w:shd w:fill="EEF3F6" w:val="clear"/>
        <w:spacing w:after="0" w:line="216"/>
        <w:ind w:left="120" w:right="120"/>
      </w:pPr>
      <w:r>
        <w:rPr>
          <w:rFonts w:ascii="Consolas" w:cs="Consolas" w:eastAsia="Consolas" w:hAnsi="Consolas"/>
          <w:sz w:val="15"/>
          <w:szCs w:val="15"/>
        </w:rPr>
        <w:t xml:space="preserve">    interpretability ring buffer                      =  16.0 GB</w:t>
      </w:r>
    </w:p>
    <w:p>
      <w:pPr>
        <w:shd w:fill="EEF3F6" w:val="clear"/>
        <w:spacing w:after="0" w:line="216"/>
        <w:ind w:left="120" w:right="120"/>
      </w:pPr>
      <w:r>
        <w:rPr>
          <w:rFonts w:ascii="Consolas" w:cs="Consolas" w:eastAsia="Consolas" w:hAnsi="Consolas"/>
          <w:sz w:val="15"/>
          <w:szCs w:val="15"/>
        </w:rPr>
        <w:t xml:space="preserve">    parked KV, re-quantised to INT4+bypass on park    = 487.0 GB  -&gt; 169 sessions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With prefix deduplication at a conservative realised factor of 2.4x on</w:t>
      </w:r>
    </w:p>
    <w:p>
      <w:pPr>
        <w:shd w:fill="EEF3F6" w:val="clear"/>
        <w:spacing w:after="0" w:line="216"/>
        <w:ind w:left="120" w:right="120"/>
      </w:pPr>
      <w:r>
        <w:rPr>
          <w:rFonts w:ascii="Consolas" w:cs="Consolas" w:eastAsia="Consolas" w:hAnsi="Consolas"/>
          <w:sz w:val="15"/>
          <w:szCs w:val="15"/>
        </w:rPr>
        <w:t xml:space="preserve">  parked sessions (section 8.5.4):                                -&gt; 406 sessions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Total concurrent sessions per module:  27 generating + 169 parked = 196</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Blackwell Ultra equivalent (279 GB, no Tier 2):</w:t>
      </w:r>
    </w:p>
    <w:p>
      <w:pPr>
        <w:shd w:fill="EEF3F6" w:val="clear"/>
        <w:spacing w:after="0" w:line="216"/>
        <w:ind w:left="120" w:right="120"/>
      </w:pPr>
      <w:r>
        <w:rPr>
          <w:rFonts w:ascii="Consolas" w:cs="Consolas" w:eastAsia="Consolas" w:hAnsi="Consolas"/>
          <w:sz w:val="15"/>
          <w:szCs w:val="15"/>
        </w:rPr>
        <w:t xml:space="preserve">    (279 - 35 - 12) / 5.45                                        =  42 sessions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Ratio: 4.7x without deduplication, 10.3x with it.</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8-2. Session capacity arithmetic for RM-A at 32 K context. Note that a mixture-of-experts model behaves quite differently — see Section 20.3 and Appendix C.3, where the expert-touching arithmetic shows that Tier-2 cold-expert residency is far less useful than it first appears.</w:t>
      </w:r>
    </w:p>
    <w:p>
      <w:pPr>
        <w:pStyle w:val="Heading2"/>
        <w:spacing w:after="120" w:before="300"/>
      </w:pPr>
      <w:r>
        <w:rPr>
          <w:rFonts w:ascii="Calibri" w:cs="Calibri" w:eastAsia="Calibri" w:hAnsi="Calibri"/>
          <w:b/>
          <w:bCs/>
          <w:color w:val="1F4E5F"/>
          <w:sz w:val="26"/>
          <w:szCs w:val="26"/>
        </w:rPr>
        <w:t xml:space="preserve">8.5  Prefix Cache Engine</w:t>
      </w:r>
    </w:p>
    <w:p>
      <w:pPr>
        <w:pStyle w:val="Heading3"/>
        <w:spacing w:after="100" w:before="240"/>
      </w:pPr>
      <w:r>
        <w:rPr>
          <w:rFonts w:ascii="Calibri" w:cs="Calibri" w:eastAsia="Calibri" w:hAnsi="Calibri"/>
          <w:b/>
          <w:bCs/>
          <w:color w:val="7A4E2E"/>
          <w:sz w:val="23"/>
          <w:szCs w:val="23"/>
        </w:rPr>
        <w:t xml:space="preserve">8.5.1  Principle</w:t>
      </w:r>
    </w:p>
    <w:p>
      <w:pPr>
        <w:spacing w:after="140" w:line="276"/>
        <w:jc w:val="left"/>
      </w:pPr>
      <w:r>
        <w:rPr>
          <w:rFonts w:ascii="Calibri" w:cs="Calibri" w:eastAsia="Calibri" w:hAnsi="Calibri"/>
          <w:b w:val="false"/>
          <w:bCs w:val="false"/>
          <w:i w:val="false"/>
          <w:iCs w:val="false"/>
          <w:color w:val="000000"/>
          <w:sz w:val="21"/>
          <w:szCs w:val="21"/>
        </w:rPr>
        <w:t xml:space="preserve">Two sequences that share a token prefix have, by construction, identical key and value tensors for that prefix — the transformer is causal, so a token's KV depends only on the tokens before it. If the KV pages for that prefix are stored once and referenced by both sequences, the storage cost of a shared system prompt collapses from per-session to per-distinct-prefix.</w:t>
      </w:r>
    </w:p>
    <w:p>
      <w:pPr>
        <w:pStyle w:val="Heading3"/>
        <w:spacing w:after="100" w:before="240"/>
      </w:pPr>
      <w:r>
        <w:rPr>
          <w:rFonts w:ascii="Calibri" w:cs="Calibri" w:eastAsia="Calibri" w:hAnsi="Calibri"/>
          <w:b/>
          <w:bCs/>
          <w:color w:val="7A4E2E"/>
          <w:sz w:val="23"/>
          <w:szCs w:val="23"/>
        </w:rPr>
        <w:t xml:space="preserve">8.5.2  Mechanism</w:t>
      </w:r>
    </w:p>
    <w:p>
      <w:pPr>
        <w:spacing w:after="140" w:line="276"/>
        <w:jc w:val="left"/>
      </w:pPr>
      <w:r>
        <w:rPr>
          <w:rFonts w:ascii="Calibri" w:cs="Calibri" w:eastAsia="Calibri" w:hAnsi="Calibri"/>
          <w:b w:val="false"/>
          <w:bCs w:val="false"/>
          <w:i w:val="false"/>
          <w:iCs w:val="false"/>
          <w:color w:val="000000"/>
          <w:sz w:val="21"/>
          <w:szCs w:val="21"/>
        </w:rPr>
        <w:t xml:space="preserve">Each KV page carries a content tag: a 128-bit BLAKE3 hash over the token identifiers that produced it, chained with the tag of the preceding page. Chaining is essential — it is the token history, not the page content, that determines equivalence, and the chain makes the tag a proper Merkle-style commitment to the whole prefix. When a sequence writes a completed page, the PCE hashes the token chain, probes a 2 M-entry hash table in RTS, and either installs the page or discards it and points the page-table entry at the existing copy with an incremented reference count.</w:t>
      </w:r>
    </w:p>
    <w:p>
      <w:pPr>
        <w:spacing w:after="140" w:line="276"/>
        <w:jc w:val="left"/>
      </w:pPr>
      <w:r>
        <w:rPr>
          <w:rFonts w:ascii="Calibri" w:cs="Calibri" w:eastAsia="Calibri" w:hAnsi="Calibri"/>
          <w:b w:val="false"/>
          <w:bCs w:val="false"/>
          <w:i w:val="false"/>
          <w:iCs w:val="false"/>
          <w:color w:val="000000"/>
          <w:sz w:val="21"/>
          <w:szCs w:val="21"/>
        </w:rPr>
        <w:t xml:space="preserve">Pages are immutable once sealed. A page under construction — the last, partially filled page of a sequence — is private and unhashed. Deduplication therefore applies only to complete pages, which for a 2 MB page on RM-B means the granularity of sharing is 16 tokens. That is fine: shared prefixes are hundreds or thousands of tokens long.</w:t>
      </w:r>
    </w:p>
    <w:p>
      <w:pPr>
        <w:pStyle w:val="Heading3"/>
        <w:spacing w:after="100" w:before="240"/>
      </w:pPr>
      <w:r>
        <w:rPr>
          <w:rFonts w:ascii="Calibri" w:cs="Calibri" w:eastAsia="Calibri" w:hAnsi="Calibri"/>
          <w:b/>
          <w:bCs/>
          <w:color w:val="7A4E2E"/>
          <w:sz w:val="23"/>
          <w:szCs w:val="23"/>
        </w:rPr>
        <w:t xml:space="preserve">8.5.3  Correctness</w:t>
      </w:r>
    </w:p>
    <w:p>
      <w:pPr>
        <w:spacing w:after="140" w:line="276"/>
        <w:jc w:val="left"/>
      </w:pPr>
      <w:r>
        <w:rPr>
          <w:rFonts w:ascii="Calibri" w:cs="Calibri" w:eastAsia="Calibri" w:hAnsi="Calibri"/>
          <w:b w:val="false"/>
          <w:bCs w:val="false"/>
          <w:i w:val="false"/>
          <w:iCs w:val="false"/>
          <w:color w:val="000000"/>
          <w:sz w:val="21"/>
          <w:szCs w:val="21"/>
        </w:rPr>
        <w:t xml:space="preserve">The safety of this scheme rests on the hash being a commitment, not merely a checksum. A 128-bit BLAKE3 tag over a chained token history gives a collision probability, at 10¹² distinct pages over the life of the fleet, of approximately 1.5 × 10⁻¹⁵ — comfortably below the rate of undetected memory errors. Nevertheless, because a collision would produce a silent, plausible-looking wrong answer rather than a crash, the design includes a verification mode in which the full token chain of a candidate match is compared before the reference is taken. Verification costs one Tier-1 read of the 64-byte token chain per dedup hit. It is enabled by default; disabling it is a tuning option with a documented risk.</w:t>
      </w:r>
    </w:p>
    <w:p>
      <w:pPr>
        <w:spacing w:after="140" w:line="276"/>
        <w:jc w:val="left"/>
      </w:pPr>
      <w:r>
        <w:rPr>
          <w:rFonts w:ascii="Calibri" w:cs="Calibri" w:eastAsia="Calibri" w:hAnsi="Calibri"/>
          <w:b w:val="false"/>
          <w:bCs w:val="false"/>
          <w:i w:val="false"/>
          <w:iCs w:val="false"/>
          <w:color w:val="000000"/>
          <w:sz w:val="21"/>
          <w:szCs w:val="21"/>
        </w:rPr>
        <w:t xml:space="preserve">The second correctness concern is cross-tenant leakage. Two different tenants with an identical prefix would, under naive deduplication, share physical pages — and the timing difference between a dedup hit and a miss is measurable, which makes it a side channel that leaks whether another tenant has sent a particular prompt. The PCE therefore incorporates a tenant domain identifier into the hash chain by default, confining deduplication to within a tenant. Cross-tenant deduplication is available and is off unless explicitly enabled for a workload where all traffic is first-party.</w:t>
      </w:r>
    </w:p>
    <w:p>
      <w:pPr>
        <w:pStyle w:val="Heading3"/>
        <w:spacing w:after="100" w:before="240"/>
      </w:pPr>
      <w:r>
        <w:rPr>
          <w:rFonts w:ascii="Calibri" w:cs="Calibri" w:eastAsia="Calibri" w:hAnsi="Calibri"/>
          <w:b/>
          <w:bCs/>
          <w:color w:val="7A4E2E"/>
          <w:sz w:val="23"/>
          <w:szCs w:val="23"/>
        </w:rPr>
        <w:t xml:space="preserve">8.5.4  Expected gain, and the honest uncertainty</w:t>
      </w:r>
    </w:p>
    <w:p>
      <w:pPr>
        <w:spacing w:after="140" w:line="276"/>
        <w:jc w:val="left"/>
      </w:pPr>
      <w:r>
        <w:rPr>
          <w:rFonts w:ascii="Calibri" w:cs="Calibri" w:eastAsia="Calibri" w:hAnsi="Calibri"/>
          <w:b w:val="false"/>
          <w:bCs w:val="false"/>
          <w:i w:val="false"/>
          <w:iCs w:val="false"/>
          <w:color w:val="000000"/>
          <w:sz w:val="21"/>
          <w:szCs w:val="21"/>
        </w:rPr>
        <w:t xml:space="preserve">The deduplication factor is entirely workload-dependent and the author cannot estimate it responsibly. The plausible range is very wide: for a fleet serving many independent short conversations, the factor is close to 1.0 and the PCE is 16 MB of wasted RTS. For a fleet serving a coding-agent product where every session replays the same tool schema and system prompt, the factor could exceed 20.</w:t>
      </w:r>
    </w:p>
    <w:p>
      <w:pPr>
        <w:spacing w:after="140" w:line="276"/>
        <w:jc w:val="left"/>
      </w:pPr>
      <w:r>
        <w:rPr>
          <w:rFonts w:ascii="Calibri" w:cs="Calibri" w:eastAsia="Calibri" w:hAnsi="Calibri"/>
          <w:b w:val="false"/>
          <w:bCs w:val="false"/>
          <w:i w:val="false"/>
          <w:iCs w:val="false"/>
          <w:color w:val="000000"/>
          <w:sz w:val="21"/>
          <w:szCs w:val="21"/>
        </w:rPr>
        <w:t xml:space="preserve">The 2.4× used in Figure 8-2 is deliberately conservative. Section 24 lists measurement of the actual prefix-sharing distribution as question Q-03, and it is the single measurement that would most change the design: at a factor below 1.3 the PCE should be cut, and at a factor above 6 the correct response is to enlarge Tier 2 to 1 TB and reduce Tier 1 to three stacks.</w:t>
      </w:r>
    </w:p>
    <w:p>
      <w:pPr>
        <w:pStyle w:val="Heading2"/>
        <w:spacing w:after="120" w:before="300"/>
      </w:pPr>
      <w:r>
        <w:rPr>
          <w:rFonts w:ascii="Calibri" w:cs="Calibri" w:eastAsia="Calibri" w:hAnsi="Calibri"/>
          <w:b/>
          <w:bCs/>
          <w:color w:val="1F4E5F"/>
          <w:sz w:val="26"/>
          <w:szCs w:val="26"/>
        </w:rPr>
        <w:t xml:space="preserve">8.6  Software override</w:t>
      </w:r>
    </w:p>
    <w:p>
      <w:pPr>
        <w:spacing w:after="140" w:line="276"/>
        <w:jc w:val="left"/>
      </w:pPr>
      <w:r>
        <w:rPr>
          <w:rFonts w:ascii="Calibri" w:cs="Calibri" w:eastAsia="Calibri" w:hAnsi="Calibri"/>
          <w:b w:val="false"/>
          <w:bCs w:val="false"/>
          <w:i w:val="false"/>
          <w:iCs w:val="false"/>
          <w:color w:val="000000"/>
          <w:sz w:val="21"/>
          <w:szCs w:val="21"/>
        </w:rPr>
        <w:t xml:space="preserve">Every automatic policy in the CTM and PCE can be disabled and driven explicitly. Specifically: page placement can be set per page by software; migration can be issued as an explicit descriptor rather than by policy; expert promotion can be pinned; deduplication can be disabled per sequence. The manual mode is not a debug feature — it is the mode in which the design must be validated first, and against which the automatic policies are measured.</w:t>
      </w:r>
    </w:p>
    <w:p>
      <w:pPr>
        <w:spacing w:after="140" w:line="276"/>
        <w:jc w:val="left"/>
      </w:pPr>
      <w:r>
        <w:rPr>
          <w:rFonts w:ascii="Calibri" w:cs="Calibri" w:eastAsia="Calibri" w:hAnsi="Calibri"/>
          <w:b w:val="false"/>
          <w:bCs w:val="false"/>
          <w:i w:val="false"/>
          <w:iCs w:val="false"/>
          <w:color w:val="000000"/>
          <w:sz w:val="21"/>
          <w:szCs w:val="21"/>
        </w:rPr>
        <w:t xml:space="preserve">This is stated as a requirement rather than a nicety because the history of hardware-managed memory hierarchies is a history of policies that were right for the benchmark and wrong for the workload. The escape hatch is what makes the risk acceptable.</w:t>
      </w:r>
    </w:p>
    <w:p>
      <w:r>
        <w:br w:type="page"/>
      </w:r>
    </w:p>
    <w:p>
      <w:pPr>
        <w:pStyle w:val="Heading1"/>
        <w:spacing w:after="160" w:before="400"/>
      </w:pPr>
      <w:r>
        <w:rPr>
          <w:rFonts w:ascii="Calibri" w:cs="Calibri" w:eastAsia="Calibri" w:hAnsi="Calibri"/>
          <w:b/>
          <w:bCs/>
          <w:color w:val="1F4E5F"/>
          <w:sz w:val="32"/>
          <w:szCs w:val="32"/>
        </w:rPr>
        <w:t xml:space="preserve">9.  Numerics and Precision Strategy</w:t>
      </w:r>
    </w:p>
    <w:p>
      <w:pPr>
        <w:pStyle w:val="Heading2"/>
        <w:spacing w:after="120" w:before="300"/>
      </w:pPr>
      <w:r>
        <w:rPr>
          <w:rFonts w:ascii="Calibri" w:cs="Calibri" w:eastAsia="Calibri" w:hAnsi="Calibri"/>
          <w:b/>
          <w:bCs/>
          <w:color w:val="1F4E5F"/>
          <w:sz w:val="26"/>
          <w:szCs w:val="26"/>
        </w:rPr>
        <w:t xml:space="preserve">9.1  Format set</w:t>
      </w:r>
    </w:p>
    <w:p>
      <w:pPr>
        <w:spacing w:after="140" w:line="276"/>
        <w:jc w:val="left"/>
      </w:pPr>
      <w:r>
        <w:rPr>
          <w:rFonts w:ascii="Calibri" w:cs="Calibri" w:eastAsia="Calibri" w:hAnsi="Calibri"/>
          <w:b w:val="false"/>
          <w:bCs w:val="false"/>
          <w:i w:val="false"/>
          <w:iCs w:val="false"/>
          <w:color w:val="000000"/>
          <w:sz w:val="21"/>
          <w:szCs w:val="21"/>
        </w:rPr>
        <w:t xml:space="preserve">SC-1 implements the Open Compute Project microscaling formats as its primary numeric family, plus BF16 and INT8. It does not implement FP64, FP32 arithmetic at rate, TF32, or FP16 with IEEE denormals. The omissions are deliberate and total approximately 31 mm² of CTC area recovered.</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936"/>
        <w:gridCol w:w="1310"/>
        <w:gridCol w:w="1872"/>
        <w:gridCol w:w="3370"/>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Format</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Element</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Block scale</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Peak rate</w:t>
            </w:r>
          </w:p>
        </w:tc>
        <w:tc>
          <w:tcPr>
            <w:tcW w:type="dxa" w:w="337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Primary use</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MXFP4 (E2M1)</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bit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E8M0 per 32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12.6 PFLOPS dense</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Weights, and activations in tolerant layers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MXFP6 (E3M2 / E2M3)</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 bit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E8M0 per 32</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PFLOPS</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Sensitive layers; attention projections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MXFP8 (E4M3 / E5M2)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bit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E8M0 per 32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PFLOPS</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Activations, KV cache, sensitive weights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BF16</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bit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3.15 PFLOPS</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Accumulation output, normalisation, residuals, master weights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INT8</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bit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per-channel FP32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POPS</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Legacy quantised models, classifier heads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INT4</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bit</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per-group of 64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KV path only</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KV cache at extreme context</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FP32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bit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 TFLOPS (vector only)</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Reductions, softmax statistics, loss-free accumulation</w:t>
            </w:r>
          </w:p>
        </w:tc>
      </w:tr>
    </w:tbl>
    <w:p>
      <w:pPr>
        <w:spacing w:after="220" w:before="60"/>
      </w:pPr>
      <w:r>
        <w:rPr>
          <w:i/>
          <w:iCs/>
          <w:color w:val="595959"/>
          <w:sz w:val="17"/>
          <w:szCs w:val="17"/>
        </w:rPr>
        <w:t xml:space="preserve">Table 9-1. Supported numeric formats.</w:t>
      </w:r>
    </w:p>
    <w:p>
      <w:pPr>
        <w:pStyle w:val="Heading2"/>
        <w:spacing w:after="120" w:before="300"/>
      </w:pPr>
      <w:r>
        <w:rPr>
          <w:rFonts w:ascii="Calibri" w:cs="Calibri" w:eastAsia="Calibri" w:hAnsi="Calibri"/>
          <w:b/>
          <w:bCs/>
          <w:color w:val="1F4E5F"/>
          <w:sz w:val="26"/>
          <w:szCs w:val="26"/>
        </w:rPr>
        <w:t xml:space="preserve">9.2  Why microscaling rather than per-tensor quantisation</w:t>
      </w:r>
    </w:p>
    <w:p>
      <w:pPr>
        <w:spacing w:after="140" w:line="276"/>
        <w:jc w:val="left"/>
      </w:pPr>
      <w:r>
        <w:rPr>
          <w:rFonts w:ascii="Calibri" w:cs="Calibri" w:eastAsia="Calibri" w:hAnsi="Calibri"/>
          <w:b w:val="false"/>
          <w:bCs w:val="false"/>
          <w:i w:val="false"/>
          <w:iCs w:val="false"/>
          <w:color w:val="000000"/>
          <w:sz w:val="21"/>
          <w:szCs w:val="21"/>
        </w:rPr>
        <w:t xml:space="preserve">Per-tensor scaling — one FP32 scale for an entire weight matrix — fails on transformers because activation distributions have heavy tails driven by a small number of outlier channels. A single scale must accommodate the outliers, which crushes the dynamic range available to the other 99.9% of values. The literature on this is unambiguous and the industry has converged on finer-grained scaling.</w:t>
      </w:r>
    </w:p>
    <w:p>
      <w:pPr>
        <w:spacing w:after="140" w:line="276"/>
        <w:jc w:val="left"/>
      </w:pPr>
      <w:r>
        <w:rPr>
          <w:rFonts w:ascii="Calibri" w:cs="Calibri" w:eastAsia="Calibri" w:hAnsi="Calibri"/>
          <w:b w:val="false"/>
          <w:bCs w:val="false"/>
          <w:i w:val="false"/>
          <w:iCs w:val="false"/>
          <w:color w:val="000000"/>
          <w:sz w:val="21"/>
          <w:szCs w:val="21"/>
        </w:rPr>
        <w:t xml:space="preserve">Microscaling with a 32-element block and an 8-bit power-of-two scale is the right granularity for three reasons: the block is small enough that a single outlier degrades only 31 neighbours; the scale is a power of two, so applying it is an exponent add rather than a multiply, which is nearly free in the MAC; and the overhead is 8 bits per 32 elements, which at MXFP4 is 6.25% and at MXFP8 is 3.125%. NVIDIA's second-generation Transformer Engine reaches the same conclusion by a different route, calling it micro-tensor scaling.</w:t>
      </w:r>
    </w:p>
    <w:p>
      <w:pPr>
        <w:pStyle w:val="Heading2"/>
        <w:spacing w:after="120" w:before="300"/>
      </w:pPr>
      <w:r>
        <w:rPr>
          <w:rFonts w:ascii="Calibri" w:cs="Calibri" w:eastAsia="Calibri" w:hAnsi="Calibri"/>
          <w:b/>
          <w:bCs/>
          <w:color w:val="1F4E5F"/>
          <w:sz w:val="26"/>
          <w:szCs w:val="26"/>
        </w:rPr>
        <w:t xml:space="preserve">9.3  Mixed-precision policy</w:t>
      </w:r>
    </w:p>
    <w:p>
      <w:pPr>
        <w:spacing w:after="140" w:line="276"/>
        <w:jc w:val="left"/>
      </w:pPr>
      <w:r>
        <w:rPr>
          <w:rFonts w:ascii="Calibri" w:cs="Calibri" w:eastAsia="Calibri" w:hAnsi="Calibri"/>
          <w:b w:val="false"/>
          <w:bCs w:val="false"/>
          <w:i w:val="false"/>
          <w:iCs w:val="false"/>
          <w:color w:val="000000"/>
          <w:sz w:val="21"/>
          <w:szCs w:val="21"/>
        </w:rPr>
        <w:t xml:space="preserve">Precision is assigned per tensor by the compiler, guided by a sensitivity analysis performed offline, and recorded in the model manifest. The default policy: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434"/>
        <w:gridCol w:w="2246"/>
        <w:gridCol w:w="4680"/>
      </w:tblGrid>
      <w:tr>
        <w:trPr>
          <w:cantSplit/>
          <w:tblHeader/>
        </w:trPr>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Tensor</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Default precision</w:t>
            </w:r>
          </w:p>
        </w:tc>
        <w:tc>
          <w:tcPr>
            <w:tcW w:type="dxa" w:w="468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Reasoning</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Embedding table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MXFP8</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Read once per token; bandwidth is negligible, accuracy matters</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Q/K/V projections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MXFP6</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Empirically sensitive; the 1.5× size penalty over MXFP4 is small in absolute terms</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output projection</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MXFP4</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FFN up / gate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MXFP4</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bulk of the parameters; the most valuable place to be aggressive</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FFN down</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MXFP6</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Feeds the residual stream directly; more sensitive</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MoE router</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BF16</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Tiny, and routing errors are catastrophic</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LayerNorm / RMSNorm weights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BF16</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Tiny</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LM head</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MXFP8</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Directly determines the output distribution</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cache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MXFP8 to 32 K, INT4 beyond</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Section 9.4</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Activations, residual stream</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BF16</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Never quantised; the residual stream accumulates across 60–80 layers</w:t>
            </w:r>
          </w:p>
        </w:tc>
      </w:tr>
    </w:tbl>
    <w:p>
      <w:pPr>
        <w:spacing w:after="220" w:before="60"/>
      </w:pPr>
      <w:r>
        <w:rPr>
          <w:i/>
          <w:iCs/>
          <w:color w:val="595959"/>
          <w:sz w:val="17"/>
          <w:szCs w:val="17"/>
        </w:rPr>
        <w:t xml:space="preserve">Table 9-2. Default per-tensor precision policy. Overridable per model.</w:t>
      </w:r>
    </w:p>
    <w:p>
      <w:pPr>
        <w:pStyle w:val="Heading2"/>
        <w:spacing w:after="120" w:before="300"/>
      </w:pPr>
      <w:r>
        <w:rPr>
          <w:rFonts w:ascii="Calibri" w:cs="Calibri" w:eastAsia="Calibri" w:hAnsi="Calibri"/>
          <w:b/>
          <w:bCs/>
          <w:color w:val="1F4E5F"/>
          <w:sz w:val="26"/>
          <w:szCs w:val="26"/>
        </w:rPr>
        <w:t xml:space="preserve">9.4  KV cache quantisation</w:t>
      </w:r>
    </w:p>
    <w:p>
      <w:pPr>
        <w:pStyle w:val="Heading3"/>
        <w:spacing w:after="100" w:before="240"/>
      </w:pPr>
      <w:r>
        <w:rPr>
          <w:rFonts w:ascii="Calibri" w:cs="Calibri" w:eastAsia="Calibri" w:hAnsi="Calibri"/>
          <w:b/>
          <w:bCs/>
          <w:color w:val="7A4E2E"/>
          <w:sz w:val="23"/>
          <w:szCs w:val="23"/>
        </w:rPr>
        <w:t xml:space="preserve">9.4.1  The bandwidth argument</w:t>
      </w:r>
    </w:p>
    <w:p>
      <w:pPr>
        <w:spacing w:after="140" w:line="276"/>
        <w:jc w:val="left"/>
      </w:pPr>
      <w:r>
        <w:rPr>
          <w:rFonts w:ascii="Calibri" w:cs="Calibri" w:eastAsia="Calibri" w:hAnsi="Calibri"/>
          <w:b w:val="false"/>
          <w:bCs w:val="false"/>
          <w:i w:val="false"/>
          <w:iCs w:val="false"/>
          <w:color w:val="000000"/>
          <w:sz w:val="21"/>
          <w:szCs w:val="21"/>
        </w:rPr>
        <w:t xml:space="preserve">At long context the KV cache dominates both capacity and bandwidth. Halving KV precision halves both. For RM-B at 32 K context, moving from BF16 KV to MXFP8 KV takes the per-session footprint from 7.86 GB to 3.93 GB and halves the per-step read; moving to INT4 takes it to 1.97 GB. There is no other lever in the design with this leverage.</w:t>
      </w:r>
    </w:p>
    <w:p>
      <w:pPr>
        <w:pStyle w:val="Heading3"/>
        <w:spacing w:after="100" w:before="240"/>
      </w:pPr>
      <w:r>
        <w:rPr>
          <w:rFonts w:ascii="Calibri" w:cs="Calibri" w:eastAsia="Calibri" w:hAnsi="Calibri"/>
          <w:b/>
          <w:bCs/>
          <w:color w:val="7A4E2E"/>
          <w:sz w:val="23"/>
          <w:szCs w:val="23"/>
        </w:rPr>
        <w:t xml:space="preserve">9.4.2  The accuracy problem and the outlier channel</w:t>
      </w:r>
    </w:p>
    <w:p>
      <w:pPr>
        <w:spacing w:after="140" w:line="276"/>
        <w:jc w:val="left"/>
      </w:pPr>
      <w:r>
        <w:rPr>
          <w:rFonts w:ascii="Calibri" w:cs="Calibri" w:eastAsia="Calibri" w:hAnsi="Calibri"/>
          <w:b w:val="false"/>
          <w:bCs w:val="false"/>
          <w:i w:val="false"/>
          <w:iCs w:val="false"/>
          <w:color w:val="000000"/>
          <w:sz w:val="21"/>
          <w:szCs w:val="21"/>
        </w:rPr>
        <w:t xml:space="preserve">Naive 4-bit KV quantisation degrades quality noticeably, and the published literature identifies the cause precisely: key tensors have a small number of channels with consistently large magnitude, and quantising them with the same scale as their neighbours destroys the attention pattern. Values are better behaved than keys.</w:t>
      </w:r>
    </w:p>
    <w:p>
      <w:pPr>
        <w:spacing w:after="140" w:line="276"/>
        <w:jc w:val="left"/>
      </w:pPr>
      <w:r>
        <w:rPr>
          <w:rFonts w:ascii="Calibri" w:cs="Calibri" w:eastAsia="Calibri" w:hAnsi="Calibri"/>
          <w:b w:val="false"/>
          <w:bCs w:val="false"/>
          <w:i w:val="false"/>
          <w:iCs w:val="false"/>
          <w:color w:val="000000"/>
          <w:sz w:val="21"/>
          <w:szCs w:val="21"/>
        </w:rPr>
        <w:t xml:space="preserve">SC-1's KV codec addresses this with an outlier channel bypass. Per attention head, up to 8 of the 128 channels may be designated outlier channels and stored at MXFP8 while the remaining 120 are stored at INT4 with a per-group-of-64 scale. The outlier channel set is determined offline by the compiler from calibration data and is fixed per model; it is not discovered at run time, which keeps the decode path free of data-dependent branching. The storage overhead is 8/128 × 4 additional bits per element = 3.1%, and the accuracy recovery is, in the published literature on this technique, substantially complete.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995"/>
        <w:gridCol w:w="1685"/>
        <w:gridCol w:w="1498"/>
        <w:gridCol w:w="3182"/>
      </w:tblGrid>
      <w:tr>
        <w:trPr>
          <w:cantSplit/>
          <w:tblHeader/>
        </w:trPr>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KV format</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Bytes/token (RM-B)</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32 K session</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Recommended use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BF16</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245 KB</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7.86 GB</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Never; reference only</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MXFP8</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123 KB</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3.93 GB</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Default to 32 K context</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INT4 + 8 outlier channels @ MXFP8</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65 KB</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2.08 GB</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Beyond 32 K, and for parked sessions</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INT4 flat, no bypass</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61 KB</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1.97 GB</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recommended; measurable quality loss</w:t>
            </w:r>
          </w:p>
        </w:tc>
      </w:tr>
    </w:tbl>
    <w:p>
      <w:pPr>
        <w:spacing w:after="220" w:before="60"/>
      </w:pPr>
      <w:r>
        <w:rPr>
          <w:i/>
          <w:iCs/>
          <w:color w:val="595959"/>
          <w:sz w:val="17"/>
          <w:szCs w:val="17"/>
        </w:rPr>
        <w:t xml:space="preserve">Table 9-3. KV cache formats.</w:t>
      </w:r>
    </w:p>
    <w:p>
      <w:pPr>
        <w:spacing w:after="140" w:line="276"/>
        <w:jc w:val="left"/>
      </w:pPr>
      <w:r>
        <w:rPr>
          <w:rFonts w:ascii="Calibri" w:cs="Calibri" w:eastAsia="Calibri" w:hAnsi="Calibri"/>
          <w:b w:val="false"/>
          <w:bCs w:val="false"/>
          <w:i w:val="false"/>
          <w:iCs w:val="false"/>
          <w:color w:val="000000"/>
          <w:sz w:val="21"/>
          <w:szCs w:val="21"/>
        </w:rPr>
        <w:t xml:space="preserve">The policy of quantising further on park is worth noting: a parked session's KV is being written to Tier 2 anyway, so re-quantising it from MXFP8 to INT4-plus-bypass during the migration costs nothing extra in bandwidth and halves the Tier-2 footprint. The quality consequence is that a resumed session's prefix is at lower precision than its recent tokens — which is exactly the right trade, since attention weight on distant tokens is both lower and less precision-sensitive.</w:t>
      </w:r>
    </w:p>
    <w:p>
      <w:pPr>
        <w:pStyle w:val="Heading2"/>
        <w:spacing w:after="120" w:before="300"/>
      </w:pPr>
      <w:r>
        <w:rPr>
          <w:rFonts w:ascii="Calibri" w:cs="Calibri" w:eastAsia="Calibri" w:hAnsi="Calibri"/>
          <w:b/>
          <w:bCs/>
          <w:color w:val="1F4E5F"/>
          <w:sz w:val="26"/>
          <w:szCs w:val="26"/>
        </w:rPr>
        <w:t xml:space="preserve">9.5  Numerical hazards and their handling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6739"/>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Hazard</w:t>
            </w:r>
          </w:p>
        </w:tc>
        <w:tc>
          <w:tcPr>
            <w:tcW w:type="dxa" w:w="673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Handling</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Softmax overflow at long context</w:t>
            </w:r>
          </w:p>
        </w:tc>
        <w:tc>
          <w:tcPr>
            <w:tcW w:type="dxa" w:w="673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Streaming max subtraction is architectural, not optional; the running maximum is maintained in FP32 and the exponent argument is clamped to [−88, 0] before the LUT.</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Accumulation error over deep K</w:t>
            </w:r>
          </w:p>
        </w:tc>
        <w:tc>
          <w:tcPr>
            <w:tcW w:type="dxa" w:w="673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FP27 accumulator with round-to-nearest-even; K per pass limited to 8,192 by the tiling, with cross-pass accumulation in FP32 in the Vector Complex.</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MXFP4 block scale underflow</w:t>
            </w:r>
          </w:p>
        </w:tc>
        <w:tc>
          <w:tcPr>
            <w:tcW w:type="dxa" w:w="673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E8M0 scale of 0 is reserved to mean "block is exactly zero" and is handled by the zero-elision path; scales below 2⁻¹²⁶ saturate rather than denormalising.</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RMSNorm variance underflow in BF16</w:t>
            </w:r>
          </w:p>
        </w:tc>
        <w:tc>
          <w:tcPr>
            <w:tcW w:type="dxa" w:w="673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Sum of squares accumulated in FP32 unconditionally; the reciprocal square root is computed in FP32 and rounded once.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RoPE precision at position &gt; 100 K</w:t>
            </w:r>
          </w:p>
        </w:tc>
        <w:tc>
          <w:tcPr>
            <w:tcW w:type="dxa" w:w="673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Sin/cos table stored at FP32 with position-dependent interpolation; naive BF16 RoPE loses angular resolution above roughly 65 K positions and produces a measurable degradation that is easy to misattribute to the model.</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Denormal handling</w:t>
            </w:r>
          </w:p>
        </w:tc>
        <w:tc>
          <w:tcPr>
            <w:tcW w:type="dxa" w:w="673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Flush-to-zero in all MX formats and BF16 in the tensor path. FP32 in the vector path is IEEE-754 compliant including denormals, at half rate.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NaN propagation</w:t>
            </w:r>
          </w:p>
        </w:tc>
        <w:tc>
          <w:tcPr>
            <w:tcW w:type="dxa" w:w="673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Standard IEEE propagation; a NaN detector per tile raises a maskable interrupt with the offending tile and macro-op identifier, because in production a NaN is almost always a data or scheduling bug and must be diagnosable.</w:t>
            </w:r>
          </w:p>
        </w:tc>
      </w:tr>
    </w:tbl>
    <w:p>
      <w:pPr>
        <w:spacing w:after="220" w:before="60"/>
      </w:pPr>
      <w:r>
        <w:rPr>
          <w:i/>
          <w:iCs/>
          <w:color w:val="595959"/>
          <w:sz w:val="17"/>
          <w:szCs w:val="17"/>
        </w:rPr>
        <w:t xml:space="preserve">Table 9-4. Numerical hazards.</w:t>
      </w:r>
    </w:p>
    <w:p>
      <w:pPr>
        <w:pStyle w:val="Heading2"/>
        <w:spacing w:after="120" w:before="300"/>
      </w:pPr>
      <w:r>
        <w:rPr>
          <w:rFonts w:ascii="Calibri" w:cs="Calibri" w:eastAsia="Calibri" w:hAnsi="Calibri"/>
          <w:b/>
          <w:bCs/>
          <w:color w:val="1F4E5F"/>
          <w:sz w:val="26"/>
          <w:szCs w:val="26"/>
        </w:rPr>
        <w:t xml:space="preserve">9.6  Deterministic mode</w:t>
      </w:r>
    </w:p>
    <w:p>
      <w:pPr>
        <w:spacing w:after="140" w:line="276"/>
        <w:jc w:val="left"/>
      </w:pPr>
      <w:r>
        <w:rPr>
          <w:rFonts w:ascii="Calibri" w:cs="Calibri" w:eastAsia="Calibri" w:hAnsi="Calibri"/>
          <w:b w:val="false"/>
          <w:bCs w:val="false"/>
          <w:i w:val="false"/>
          <w:iCs w:val="false"/>
          <w:color w:val="000000"/>
          <w:sz w:val="21"/>
          <w:szCs w:val="21"/>
        </w:rPr>
        <w:t xml:space="preserve">Requirement WR-12 asks for bit-reproducible execution. This is difficult on a machine with dynamic scheduling and floating-point reductions whose order depends on arrival times, and it is impossible on most GPUs at scale. It matters for three reasons: evaluation results that cannot be reproduced cannot be trusted; safety-relevant regressions that appear intermittently are extremely expensive to chase; and an audit of a model's behaviour on a specific input is worthless if the machine will not produce the same output twice.</w:t>
      </w:r>
    </w:p>
    <w:p>
      <w:pPr>
        <w:spacing w:after="140" w:line="276"/>
        <w:jc w:val="left"/>
      </w:pPr>
      <w:r>
        <w:rPr>
          <w:rFonts w:ascii="Calibri" w:cs="Calibri" w:eastAsia="Calibri" w:hAnsi="Calibri"/>
          <w:b w:val="false"/>
          <w:bCs w:val="false"/>
          <w:i w:val="false"/>
          <w:iCs w:val="false"/>
          <w:color w:val="000000"/>
          <w:sz w:val="21"/>
          <w:szCs w:val="21"/>
        </w:rPr>
        <w:t xml:space="preserve">SC-1 supports a deterministic mode in which: reductions across tiles use a fixed tree with a fixed order regardless of completion times; the NoC uses a fixed-latency mode for reduction traffic; atomics are disabled in favour of ordered reduction; and any dynamic policy that could affect arithmetic — expert promotion, page placement, precision fallback — is frozen. Deterministic mode costs approximately 9% throughput at typical operating points, from the loss of arrival-order reduction and the fixed-latency NoC. It is not the default; it is available per tile-group so that an evaluation workload can run deterministically alongside production traffic that does not.</w:t>
      </w:r>
    </w:p>
    <w:p>
      <w:r>
        <w:br w:type="page"/>
      </w:r>
    </w:p>
    <w:p>
      <w:pPr>
        <w:pStyle w:val="Heading1"/>
        <w:spacing w:after="160" w:before="400"/>
      </w:pPr>
      <w:r>
        <w:rPr>
          <w:rFonts w:ascii="Calibri" w:cs="Calibri" w:eastAsia="Calibri" w:hAnsi="Calibri"/>
          <w:b/>
          <w:bCs/>
          <w:color w:val="1F4E5F"/>
          <w:sz w:val="32"/>
          <w:szCs w:val="32"/>
        </w:rPr>
        <w:t xml:space="preserve">10.  Instruction Set Architecture</w:t>
      </w:r>
    </w:p>
    <w:p>
      <w:pPr>
        <w:pStyle w:val="Heading2"/>
        <w:spacing w:after="120" w:before="300"/>
      </w:pPr>
      <w:r>
        <w:rPr>
          <w:rFonts w:ascii="Calibri" w:cs="Calibri" w:eastAsia="Calibri" w:hAnsi="Calibri"/>
          <w:b/>
          <w:bCs/>
          <w:color w:val="1F4E5F"/>
          <w:sz w:val="26"/>
          <w:szCs w:val="26"/>
        </w:rPr>
        <w:t xml:space="preserve">10.1  Design principles</w:t>
      </w:r>
    </w:p>
    <w:p>
      <w:pPr>
        <w:spacing w:after="140" w:line="276"/>
        <w:jc w:val="left"/>
      </w:pPr>
      <w:r>
        <w:rPr>
          <w:rFonts w:ascii="Calibri" w:cs="Calibri" w:eastAsia="Calibri" w:hAnsi="Calibri"/>
          <w:b w:val="false"/>
          <w:bCs w:val="false"/>
          <w:i w:val="false"/>
          <w:iCs w:val="false"/>
          <w:color w:val="000000"/>
          <w:sz w:val="21"/>
          <w:szCs w:val="21"/>
        </w:rPr>
        <w:t xml:space="preserve">The SC-1 ISA is a fixed-length VLIW macro-instruction set. It is not intended to be programmed by hand and is not intended to be a general-purpose target. Its design follows four rules:</w:t>
      </w:r>
    </w:p>
    <w:p>
      <w:pPr>
        <w:pStyle w:val="ListParagraph"/>
        <w:numPr>
          <w:ilvl w:val="0"/>
          <w:numId w:val="2"/>
        </w:numPr>
        <w:spacing w:after="60" w:line="264"/>
      </w:pPr>
      <w:r>
        <w:rPr>
          <w:rFonts w:ascii="Calibri" w:cs="Calibri" w:eastAsia="Calibri" w:hAnsi="Calibri"/>
          <w:b/>
          <w:bCs/>
          <w:i w:val="false"/>
          <w:iCs w:val="false"/>
          <w:sz w:val="21"/>
          <w:szCs w:val="21"/>
        </w:rPr>
        <w:t xml:space="preserve">One instruction should do a useful amount of work. </w:t>
      </w:r>
      <w:r>
        <w:rPr>
          <w:rFonts w:ascii="Calibri" w:cs="Calibri" w:eastAsia="Calibri" w:hAnsi="Calibri"/>
          <w:b w:val="false"/>
          <w:bCs w:val="false"/>
          <w:i w:val="false"/>
          <w:iCs w:val="false"/>
          <w:sz w:val="21"/>
          <w:szCs w:val="21"/>
        </w:rPr>
        <w:t xml:space="preserve">A TMMA instruction performs a complete tiled matrix multiply of configurable shape, not a single MAC. The instruction rate is therefore very low — a few million per second — which means the front end can be trivially small.</w:t>
      </w:r>
    </w:p>
    <w:p>
      <w:pPr>
        <w:pStyle w:val="ListParagraph"/>
        <w:numPr>
          <w:ilvl w:val="0"/>
          <w:numId w:val="2"/>
        </w:numPr>
        <w:spacing w:after="60" w:line="264"/>
      </w:pPr>
      <w:r>
        <w:rPr>
          <w:rFonts w:ascii="Calibri" w:cs="Calibri" w:eastAsia="Calibri" w:hAnsi="Calibri"/>
          <w:b/>
          <w:bCs/>
          <w:i w:val="false"/>
          <w:iCs w:val="false"/>
          <w:sz w:val="21"/>
          <w:szCs w:val="21"/>
        </w:rPr>
        <w:t xml:space="preserve">No dynamic hazard detection. </w:t>
      </w:r>
      <w:r>
        <w:rPr>
          <w:rFonts w:ascii="Calibri" w:cs="Calibri" w:eastAsia="Calibri" w:hAnsi="Calibri"/>
          <w:b w:val="false"/>
          <w:bCs w:val="false"/>
          <w:i w:val="false"/>
          <w:iCs w:val="false"/>
          <w:sz w:val="21"/>
          <w:szCs w:val="21"/>
        </w:rPr>
        <w:t xml:space="preserve">Dependencies are named explicitly by the compiler through events. There is no scoreboard interlock, no renaming, and no stall logic beyond backpressure on the operand buses.</w:t>
      </w:r>
    </w:p>
    <w:p>
      <w:pPr>
        <w:pStyle w:val="ListParagraph"/>
        <w:numPr>
          <w:ilvl w:val="0"/>
          <w:numId w:val="2"/>
        </w:numPr>
        <w:spacing w:after="60" w:line="264"/>
      </w:pPr>
      <w:r>
        <w:rPr>
          <w:rFonts w:ascii="Calibri" w:cs="Calibri" w:eastAsia="Calibri" w:hAnsi="Calibri"/>
          <w:b/>
          <w:bCs/>
          <w:i w:val="false"/>
          <w:iCs w:val="false"/>
          <w:sz w:val="21"/>
          <w:szCs w:val="21"/>
        </w:rPr>
        <w:t xml:space="preserve">Addressing is descriptor-based, not register-based. </w:t>
      </w:r>
      <w:r>
        <w:rPr>
          <w:rFonts w:ascii="Calibri" w:cs="Calibri" w:eastAsia="Calibri" w:hAnsi="Calibri"/>
          <w:b w:val="false"/>
          <w:bCs w:val="false"/>
          <w:i w:val="false"/>
          <w:iCs w:val="false"/>
          <w:sz w:val="21"/>
          <w:szCs w:val="21"/>
        </w:rPr>
        <w:t xml:space="preserve">Operands are named by descriptors held in a descriptor file. A descriptor carries base address, shape, stride, precision, and layout. This keeps the instruction word small while allowing very complex access patterns.</w:t>
      </w:r>
    </w:p>
    <w:p>
      <w:pPr>
        <w:pStyle w:val="ListParagraph"/>
        <w:numPr>
          <w:ilvl w:val="0"/>
          <w:numId w:val="2"/>
        </w:numPr>
        <w:spacing w:after="60" w:line="264"/>
      </w:pPr>
      <w:r>
        <w:rPr>
          <w:rFonts w:ascii="Calibri" w:cs="Calibri" w:eastAsia="Calibri" w:hAnsi="Calibri"/>
          <w:b/>
          <w:bCs/>
          <w:i w:val="false"/>
          <w:iCs w:val="false"/>
          <w:sz w:val="21"/>
          <w:szCs w:val="21"/>
        </w:rPr>
        <w:t xml:space="preserve">Everything expensive is asynchronous. </w:t>
      </w:r>
      <w:r>
        <w:rPr>
          <w:rFonts w:ascii="Calibri" w:cs="Calibri" w:eastAsia="Calibri" w:hAnsi="Calibri"/>
          <w:b w:val="false"/>
          <w:bCs w:val="false"/>
          <w:i w:val="false"/>
          <w:iCs w:val="false"/>
          <w:sz w:val="21"/>
          <w:szCs w:val="21"/>
        </w:rPr>
        <w:t xml:space="preserve">DMA, migration, and page-table operations are issued and later awaited. Nothing blocks except an explicit wait.</w:t>
      </w:r>
    </w:p>
    <w:p>
      <w:pPr>
        <w:pStyle w:val="Heading2"/>
        <w:spacing w:after="120" w:before="300"/>
      </w:pPr>
      <w:r>
        <w:rPr>
          <w:rFonts w:ascii="Calibri" w:cs="Calibri" w:eastAsia="Calibri" w:hAnsi="Calibri"/>
          <w:b/>
          <w:bCs/>
          <w:color w:val="1F4E5F"/>
          <w:sz w:val="26"/>
          <w:szCs w:val="26"/>
        </w:rPr>
        <w:t xml:space="preserve">10.2  Instruction word</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256-bit VLIW word, six slots: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255      208 207      160 159      112 111       72 71        32 31         0</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TMMA (48) │  ATTN (48) │  VEC  (48) │ DMA_IN(40) │ DMA_OUT(40)│  SYNC (32)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Any slot may be NOP (all-zero opcode field). The sequencer issues all non-NOP</w:t>
      </w:r>
    </w:p>
    <w:p>
      <w:pPr>
        <w:shd w:fill="EEF3F6" w:val="clear"/>
        <w:spacing w:after="0" w:line="216"/>
        <w:ind w:left="120" w:right="120"/>
      </w:pPr>
      <w:r>
        <w:rPr>
          <w:rFonts w:ascii="Consolas" w:cs="Consolas" w:eastAsia="Consolas" w:hAnsi="Consolas"/>
          <w:sz w:val="15"/>
          <w:szCs w:val="15"/>
        </w:rPr>
        <w:t xml:space="preserve">  slots in the same cycle. Slot ordering within a word is architecturally</w:t>
      </w:r>
    </w:p>
    <w:p>
      <w:pPr>
        <w:shd w:fill="EEF3F6" w:val="clear"/>
        <w:spacing w:after="0" w:line="216"/>
        <w:ind w:left="120" w:right="120"/>
      </w:pPr>
      <w:r>
        <w:rPr>
          <w:rFonts w:ascii="Consolas" w:cs="Consolas" w:eastAsia="Consolas" w:hAnsi="Consolas"/>
          <w:sz w:val="15"/>
          <w:szCs w:val="15"/>
        </w:rPr>
        <w:t xml:space="preserve">  simultaneous; ordering between words is program order.</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10.3  Register and descriptor files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7"/>
        <w:gridCol w:w="1123"/>
        <w:gridCol w:w="1310"/>
        <w:gridCol w:w="4680"/>
      </w:tblGrid>
      <w:tr>
        <w:trPr>
          <w:cantSplit/>
          <w:tblHeader/>
        </w:trPr>
        <w:tc>
          <w:tcPr>
            <w:tcW w:type="dxa" w:w="224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File</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Entries</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Width</w:t>
            </w:r>
          </w:p>
        </w:tc>
        <w:tc>
          <w:tcPr>
            <w:tcW w:type="dxa" w:w="468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Contents</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Descriptor file (DF)</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256 bit</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Tensor descriptors: base, shape[4], stride[4], precision, layout, tier hint</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Scalar file (SF)</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bit</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Loop counters, addresses, immediate values, predicate sources</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Event file (EF)</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bit + 8-bit count</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Named dependency events with completion counters</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Accumulator handles (AH)</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reference</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Names an in-array accumulator set; not directly readable</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Predicate file (PF)</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bit</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Slot-level predication</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Config registers (CR)</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256</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bit</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Precision defaults, rounding mode, determinism flag, QoS class</w:t>
            </w:r>
          </w:p>
        </w:tc>
      </w:tr>
    </w:tbl>
    <w:p>
      <w:pPr>
        <w:spacing w:after="220" w:before="60"/>
      </w:pPr>
      <w:r>
        <w:rPr>
          <w:i/>
          <w:iCs/>
          <w:color w:val="595959"/>
          <w:sz w:val="17"/>
          <w:szCs w:val="17"/>
        </w:rPr>
        <w:t xml:space="preserve">Table 10-1. Architectural state per tile group.</w:t>
      </w:r>
    </w:p>
    <w:p>
      <w:pPr>
        <w:pStyle w:val="Heading2"/>
        <w:spacing w:after="120" w:before="300"/>
      </w:pPr>
      <w:r>
        <w:rPr>
          <w:rFonts w:ascii="Calibri" w:cs="Calibri" w:eastAsia="Calibri" w:hAnsi="Calibri"/>
          <w:b/>
          <w:bCs/>
          <w:color w:val="1F4E5F"/>
          <w:sz w:val="26"/>
          <w:szCs w:val="26"/>
        </w:rPr>
        <w:t xml:space="preserve">10.4  TMMA — tiled matrix multiply-accumulate</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TMMA  opcode[5] | mode[2] | acc[4] | dA[7] | dB[7] | dC[7] | M[6] | N[6] | K[8] | flags[6]</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opcode  5b   0x01 = TMMA</w:t>
      </w:r>
    </w:p>
    <w:p>
      <w:pPr>
        <w:shd w:fill="EEF3F6" w:val="clear"/>
        <w:spacing w:after="0" w:line="216"/>
        <w:ind w:left="120" w:right="120"/>
      </w:pPr>
      <w:r>
        <w:rPr>
          <w:rFonts w:ascii="Consolas" w:cs="Consolas" w:eastAsia="Consolas" w:hAnsi="Consolas"/>
          <w:sz w:val="15"/>
          <w:szCs w:val="15"/>
        </w:rPr>
        <w:t xml:space="preserve">   mode    2b   00 weight-stationary   01 output-stationary</w:t>
      </w:r>
    </w:p>
    <w:p>
      <w:pPr>
        <w:shd w:fill="EEF3F6" w:val="clear"/>
        <w:spacing w:after="0" w:line="216"/>
        <w:ind w:left="120" w:right="120"/>
      </w:pPr>
      <w:r>
        <w:rPr>
          <w:rFonts w:ascii="Consolas" w:cs="Consolas" w:eastAsia="Consolas" w:hAnsi="Consolas"/>
          <w:sz w:val="15"/>
          <w:szCs w:val="15"/>
        </w:rPr>
        <w:t xml:space="preserve">                10 weight-stationary, transposed B   11 reserved</w:t>
      </w:r>
    </w:p>
    <w:p>
      <w:pPr>
        <w:shd w:fill="EEF3F6" w:val="clear"/>
        <w:spacing w:after="0" w:line="216"/>
        <w:ind w:left="120" w:right="120"/>
      </w:pPr>
      <w:r>
        <w:rPr>
          <w:rFonts w:ascii="Consolas" w:cs="Consolas" w:eastAsia="Consolas" w:hAnsi="Consolas"/>
          <w:sz w:val="15"/>
          <w:szCs w:val="15"/>
        </w:rPr>
        <w:t xml:space="preserve">   acc     4b   accumulator handle</w:t>
      </w:r>
    </w:p>
    <w:p>
      <w:pPr>
        <w:shd w:fill="EEF3F6" w:val="clear"/>
        <w:spacing w:after="0" w:line="216"/>
        <w:ind w:left="120" w:right="120"/>
      </w:pPr>
      <w:r>
        <w:rPr>
          <w:rFonts w:ascii="Consolas" w:cs="Consolas" w:eastAsia="Consolas" w:hAnsi="Consolas"/>
          <w:sz w:val="15"/>
          <w:szCs w:val="15"/>
        </w:rPr>
        <w:t xml:space="preserve">   dA      7b   descriptor index, operand A (activations)</w:t>
      </w:r>
    </w:p>
    <w:p>
      <w:pPr>
        <w:shd w:fill="EEF3F6" w:val="clear"/>
        <w:spacing w:after="0" w:line="216"/>
        <w:ind w:left="120" w:right="120"/>
      </w:pPr>
      <w:r>
        <w:rPr>
          <w:rFonts w:ascii="Consolas" w:cs="Consolas" w:eastAsia="Consolas" w:hAnsi="Consolas"/>
          <w:sz w:val="15"/>
          <w:szCs w:val="15"/>
        </w:rPr>
        <w:t xml:space="preserve">   dB      7b   descriptor index, operand B (weights)</w:t>
      </w:r>
    </w:p>
    <w:p>
      <w:pPr>
        <w:shd w:fill="EEF3F6" w:val="clear"/>
        <w:spacing w:after="0" w:line="216"/>
        <w:ind w:left="120" w:right="120"/>
      </w:pPr>
      <w:r>
        <w:rPr>
          <w:rFonts w:ascii="Consolas" w:cs="Consolas" w:eastAsia="Consolas" w:hAnsi="Consolas"/>
          <w:sz w:val="15"/>
          <w:szCs w:val="15"/>
        </w:rPr>
        <w:t xml:space="preserve">   dC      7b   descriptor index, destination</w:t>
      </w:r>
    </w:p>
    <w:p>
      <w:pPr>
        <w:shd w:fill="EEF3F6" w:val="clear"/>
        <w:spacing w:after="0" w:line="216"/>
        <w:ind w:left="120" w:right="120"/>
      </w:pPr>
      <w:r>
        <w:rPr>
          <w:rFonts w:ascii="Consolas" w:cs="Consolas" w:eastAsia="Consolas" w:hAnsi="Consolas"/>
          <w:sz w:val="15"/>
          <w:szCs w:val="15"/>
        </w:rPr>
        <w:t xml:space="preserve">   M,N     6b   tile dimensions in units of 32, so 32..2048</w:t>
      </w:r>
    </w:p>
    <w:p>
      <w:pPr>
        <w:shd w:fill="EEF3F6" w:val="clear"/>
        <w:spacing w:after="0" w:line="216"/>
        <w:ind w:left="120" w:right="120"/>
      </w:pPr>
      <w:r>
        <w:rPr>
          <w:rFonts w:ascii="Consolas" w:cs="Consolas" w:eastAsia="Consolas" w:hAnsi="Consolas"/>
          <w:sz w:val="15"/>
          <w:szCs w:val="15"/>
        </w:rPr>
        <w:t xml:space="preserve">   K       8b   reduction depth in units of 32, so 32..8192</w:t>
      </w:r>
    </w:p>
    <w:p>
      <w:pPr>
        <w:shd w:fill="EEF3F6" w:val="clear"/>
        <w:spacing w:after="0" w:line="216"/>
        <w:ind w:left="120" w:right="120"/>
      </w:pPr>
      <w:r>
        <w:rPr>
          <w:rFonts w:ascii="Consolas" w:cs="Consolas" w:eastAsia="Consolas" w:hAnsi="Consolas"/>
          <w:sz w:val="15"/>
          <w:szCs w:val="15"/>
        </w:rPr>
        <w:t xml:space="preserve">   flags   6b   bit0 accumulate-into (else overwrite)</w:t>
      </w:r>
    </w:p>
    <w:p>
      <w:pPr>
        <w:shd w:fill="EEF3F6" w:val="clear"/>
        <w:spacing w:after="0" w:line="216"/>
        <w:ind w:left="120" w:right="120"/>
      </w:pPr>
      <w:r>
        <w:rPr>
          <w:rFonts w:ascii="Consolas" w:cs="Consolas" w:eastAsia="Consolas" w:hAnsi="Consolas"/>
          <w:sz w:val="15"/>
          <w:szCs w:val="15"/>
        </w:rPr>
        <w:t xml:space="preserve">                bit1 operand B is 2:4 sparse</w:t>
      </w:r>
    </w:p>
    <w:p>
      <w:pPr>
        <w:shd w:fill="EEF3F6" w:val="clear"/>
        <w:spacing w:after="0" w:line="216"/>
        <w:ind w:left="120" w:right="120"/>
      </w:pPr>
      <w:r>
        <w:rPr>
          <w:rFonts w:ascii="Consolas" w:cs="Consolas" w:eastAsia="Consolas" w:hAnsi="Consolas"/>
          <w:sz w:val="15"/>
          <w:szCs w:val="15"/>
        </w:rPr>
        <w:t xml:space="preserve">                bit2 apply bias from dC</w:t>
      </w:r>
    </w:p>
    <w:p>
      <w:pPr>
        <w:shd w:fill="EEF3F6" w:val="clear"/>
        <w:spacing w:after="0" w:line="216"/>
        <w:ind w:left="120" w:right="120"/>
      </w:pPr>
      <w:r>
        <w:rPr>
          <w:rFonts w:ascii="Consolas" w:cs="Consolas" w:eastAsia="Consolas" w:hAnsi="Consolas"/>
          <w:sz w:val="15"/>
          <w:szCs w:val="15"/>
        </w:rPr>
        <w:t xml:space="preserve">                bit3 emit in BF16 (else keep FP27 in accumulator)</w:t>
      </w:r>
    </w:p>
    <w:p>
      <w:pPr>
        <w:shd w:fill="EEF3F6" w:val="clear"/>
        <w:spacing w:after="0" w:line="216"/>
        <w:ind w:left="120" w:right="120"/>
      </w:pPr>
      <w:r>
        <w:rPr>
          <w:rFonts w:ascii="Consolas" w:cs="Consolas" w:eastAsia="Consolas" w:hAnsi="Consolas"/>
          <w:sz w:val="15"/>
          <w:szCs w:val="15"/>
        </w:rPr>
        <w:t xml:space="preserve">                bit4 deterministic reduction order</w:t>
      </w:r>
    </w:p>
    <w:p>
      <w:pPr>
        <w:shd w:fill="EEF3F6" w:val="clear"/>
        <w:spacing w:after="0" w:line="216"/>
        <w:ind w:left="120" w:right="120"/>
      </w:pPr>
      <w:r>
        <w:rPr>
          <w:rFonts w:ascii="Consolas" w:cs="Consolas" w:eastAsia="Consolas" w:hAnsi="Consolas"/>
          <w:sz w:val="15"/>
          <w:szCs w:val="15"/>
        </w:rPr>
        <w:t xml:space="preserve">                bit5 raise event on completion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Example: FFN up-projection for RM-B, one expert, batch 40:</w:t>
      </w:r>
    </w:p>
    <w:p>
      <w:pPr>
        <w:shd w:fill="EEF3F6" w:val="clear"/>
        <w:spacing w:after="0" w:line="216"/>
        <w:ind w:left="120" w:right="120"/>
      </w:pPr>
      <w:r>
        <w:rPr>
          <w:rFonts w:ascii="Consolas" w:cs="Consolas" w:eastAsia="Consolas" w:hAnsi="Consolas"/>
          <w:sz w:val="15"/>
          <w:szCs w:val="15"/>
        </w:rPr>
        <w:t xml:space="preserve">    TMMA  mode=OS acc=A0 dA=D3 dB=D7 dC=D9 M=2 N=448 K=256 flags=0x21</w:t>
      </w:r>
    </w:p>
    <w:p>
      <w:pPr>
        <w:shd w:fill="EEF3F6" w:val="clear"/>
        <w:spacing w:after="0" w:line="216"/>
        <w:ind w:left="120" w:right="120"/>
      </w:pPr>
      <w:r>
        <w:rPr>
          <w:rFonts w:ascii="Consolas" w:cs="Consolas" w:eastAsia="Consolas" w:hAnsi="Consolas"/>
          <w:sz w:val="15"/>
          <w:szCs w:val="15"/>
        </w:rPr>
        <w:t xml:space="preserve">          ; M=64 rows (40 padded to 64), N=14336, K=8192, output-stationary,</w:t>
      </w:r>
    </w:p>
    <w:p>
      <w:pPr>
        <w:shd w:fill="EEF3F6" w:val="clear"/>
        <w:spacing w:after="0" w:line="216"/>
        <w:ind w:left="120" w:right="120"/>
      </w:pPr>
      <w:r>
        <w:rPr>
          <w:rFonts w:ascii="Consolas" w:cs="Consolas" w:eastAsia="Consolas" w:hAnsi="Consolas"/>
          <w:sz w:val="15"/>
          <w:szCs w:val="15"/>
        </w:rPr>
        <w:t xml:space="preserve">          ; accumulate-into, raise completion event</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10.5  ATTN — attention macro-operations</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ATTN  opcode[5] | op[3] | dQ[7] | pt[7] | dO[7] | heads[6] | span[10] | flags[3]</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op  3b   000 ATTN_DECODE      one query row per head, full causal span</w:t>
      </w:r>
    </w:p>
    <w:p>
      <w:pPr>
        <w:shd w:fill="EEF3F6" w:val="clear"/>
        <w:spacing w:after="0" w:line="216"/>
        <w:ind w:left="120" w:right="120"/>
      </w:pPr>
      <w:r>
        <w:rPr>
          <w:rFonts w:ascii="Consolas" w:cs="Consolas" w:eastAsia="Consolas" w:hAnsi="Consolas"/>
          <w:sz w:val="15"/>
          <w:szCs w:val="15"/>
        </w:rPr>
        <w:t xml:space="preserve">            001 ATTN_PREFILL     query block, causal within block</w:t>
      </w:r>
    </w:p>
    <w:p>
      <w:pPr>
        <w:shd w:fill="EEF3F6" w:val="clear"/>
        <w:spacing w:after="0" w:line="216"/>
        <w:ind w:left="120" w:right="120"/>
      </w:pPr>
      <w:r>
        <w:rPr>
          <w:rFonts w:ascii="Consolas" w:cs="Consolas" w:eastAsia="Consolas" w:hAnsi="Consolas"/>
          <w:sz w:val="15"/>
          <w:szCs w:val="15"/>
        </w:rPr>
        <w:t xml:space="preserve">            010 ATTN_VERIFY      query block up to 16 rows, triangular draft mask</w:t>
      </w:r>
    </w:p>
    <w:p>
      <w:pPr>
        <w:shd w:fill="EEF3F6" w:val="clear"/>
        <w:spacing w:after="0" w:line="216"/>
        <w:ind w:left="120" w:right="120"/>
      </w:pPr>
      <w:r>
        <w:rPr>
          <w:rFonts w:ascii="Consolas" w:cs="Consolas" w:eastAsia="Consolas" w:hAnsi="Consolas"/>
          <w:sz w:val="15"/>
          <w:szCs w:val="15"/>
        </w:rPr>
        <w:t xml:space="preserve">            011 ATTN_WINDOW      sliding window, bound given in span</w:t>
      </w:r>
    </w:p>
    <w:p>
      <w:pPr>
        <w:shd w:fill="EEF3F6" w:val="clear"/>
        <w:spacing w:after="0" w:line="216"/>
        <w:ind w:left="120" w:right="120"/>
      </w:pPr>
      <w:r>
        <w:rPr>
          <w:rFonts w:ascii="Consolas" w:cs="Consolas" w:eastAsia="Consolas" w:hAnsi="Consolas"/>
          <w:sz w:val="15"/>
          <w:szCs w:val="15"/>
        </w:rPr>
        <w:t xml:space="preserve">            100 ATTN_BLOCKSPARSE block mask descriptor in pt+1</w:t>
      </w:r>
    </w:p>
    <w:p>
      <w:pPr>
        <w:shd w:fill="EEF3F6" w:val="clear"/>
        <w:spacing w:after="0" w:line="216"/>
        <w:ind w:left="120" w:right="120"/>
      </w:pPr>
      <w:r>
        <w:rPr>
          <w:rFonts w:ascii="Consolas" w:cs="Consolas" w:eastAsia="Consolas" w:hAnsi="Consolas"/>
          <w:sz w:val="15"/>
          <w:szCs w:val="15"/>
        </w:rPr>
        <w:t xml:space="preserve">            101 ATTN_CROSS       separate KV page table base</w:t>
      </w:r>
    </w:p>
    <w:p>
      <w:pPr>
        <w:shd w:fill="EEF3F6" w:val="clear"/>
        <w:spacing w:after="0" w:line="216"/>
        <w:ind w:left="120" w:right="120"/>
      </w:pPr>
      <w:r>
        <w:rPr>
          <w:rFonts w:ascii="Consolas" w:cs="Consolas" w:eastAsia="Consolas" w:hAnsi="Consolas"/>
          <w:sz w:val="15"/>
          <w:szCs w:val="15"/>
        </w:rPr>
        <w:t xml:space="preserve">            110 ATTN_SINK        pinned sink pages plus window</w:t>
      </w:r>
    </w:p>
    <w:p>
      <w:pPr>
        <w:shd w:fill="EEF3F6" w:val="clear"/>
        <w:spacing w:after="0" w:line="216"/>
        <w:ind w:left="120" w:right="120"/>
      </w:pPr>
      <w:r>
        <w:rPr>
          <w:rFonts w:ascii="Consolas" w:cs="Consolas" w:eastAsia="Consolas" w:hAnsi="Consolas"/>
          <w:sz w:val="15"/>
          <w:szCs w:val="15"/>
        </w:rPr>
        <w:t xml:space="preserve">            111 reserved</w:t>
      </w:r>
    </w:p>
    <w:p>
      <w:pPr>
        <w:shd w:fill="EEF3F6" w:val="clear"/>
        <w:spacing w:after="0" w:line="216"/>
        <w:ind w:left="120" w:right="120"/>
      </w:pPr>
      <w:r>
        <w:rPr>
          <w:rFonts w:ascii="Consolas" w:cs="Consolas" w:eastAsia="Consolas" w:hAnsi="Consolas"/>
          <w:sz w:val="15"/>
          <w:szCs w:val="15"/>
        </w:rPr>
        <w:t xml:space="preserve">   dQ     descriptor for the query tensor</w:t>
      </w:r>
    </w:p>
    <w:p>
      <w:pPr>
        <w:shd w:fill="EEF3F6" w:val="clear"/>
        <w:spacing w:after="0" w:line="216"/>
        <w:ind w:left="120" w:right="120"/>
      </w:pPr>
      <w:r>
        <w:rPr>
          <w:rFonts w:ascii="Consolas" w:cs="Consolas" w:eastAsia="Consolas" w:hAnsi="Consolas"/>
          <w:sz w:val="15"/>
          <w:szCs w:val="15"/>
        </w:rPr>
        <w:t xml:space="preserve">   pt     page-table root descriptor for this sequence's KV</w:t>
      </w:r>
    </w:p>
    <w:p>
      <w:pPr>
        <w:shd w:fill="EEF3F6" w:val="clear"/>
        <w:spacing w:after="0" w:line="216"/>
        <w:ind w:left="120" w:right="120"/>
      </w:pPr>
      <w:r>
        <w:rPr>
          <w:rFonts w:ascii="Consolas" w:cs="Consolas" w:eastAsia="Consolas" w:hAnsi="Consolas"/>
          <w:sz w:val="15"/>
          <w:szCs w:val="15"/>
        </w:rPr>
        <w:t xml:space="preserve">   dO     descriptor for the output tensor</w:t>
      </w:r>
    </w:p>
    <w:p>
      <w:pPr>
        <w:shd w:fill="EEF3F6" w:val="clear"/>
        <w:spacing w:after="0" w:line="216"/>
        <w:ind w:left="120" w:right="120"/>
      </w:pPr>
      <w:r>
        <w:rPr>
          <w:rFonts w:ascii="Consolas" w:cs="Consolas" w:eastAsia="Consolas" w:hAnsi="Consolas"/>
          <w:sz w:val="15"/>
          <w:szCs w:val="15"/>
        </w:rPr>
        <w:t xml:space="preserve">   heads  6b   head-group count, 1..64</w:t>
      </w:r>
    </w:p>
    <w:p>
      <w:pPr>
        <w:shd w:fill="EEF3F6" w:val="clear"/>
        <w:spacing w:after="0" w:line="216"/>
        <w:ind w:left="120" w:right="120"/>
      </w:pPr>
      <w:r>
        <w:rPr>
          <w:rFonts w:ascii="Consolas" w:cs="Consolas" w:eastAsia="Consolas" w:hAnsi="Consolas"/>
          <w:sz w:val="15"/>
          <w:szCs w:val="15"/>
        </w:rPr>
        <w:t xml:space="preserve">   span   10b  span in pages (2 MB each); 0 = full sequence from page table</w:t>
      </w:r>
    </w:p>
    <w:p>
      <w:pPr>
        <w:shd w:fill="EEF3F6" w:val="clear"/>
        <w:spacing w:after="0" w:line="216"/>
        <w:ind w:left="120" w:right="120"/>
      </w:pPr>
      <w:r>
        <w:rPr>
          <w:rFonts w:ascii="Consolas" w:cs="Consolas" w:eastAsia="Consolas" w:hAnsi="Consolas"/>
          <w:sz w:val="15"/>
          <w:szCs w:val="15"/>
        </w:rPr>
        <w:t xml:space="preserve">   flags  3b   bit0 KV is INT4+bypass (else MXFP8)</w:t>
      </w:r>
    </w:p>
    <w:p>
      <w:pPr>
        <w:shd w:fill="EEF3F6" w:val="clear"/>
        <w:spacing w:after="0" w:line="216"/>
        <w:ind w:left="120" w:right="120"/>
      </w:pPr>
      <w:r>
        <w:rPr>
          <w:rFonts w:ascii="Consolas" w:cs="Consolas" w:eastAsia="Consolas" w:hAnsi="Consolas"/>
          <w:sz w:val="15"/>
          <w:szCs w:val="15"/>
        </w:rPr>
        <w:t xml:space="preserve">                bit1 allow Tier-2 direct read (degraded mode)</w:t>
      </w:r>
    </w:p>
    <w:p>
      <w:pPr>
        <w:shd w:fill="EEF3F6" w:val="clear"/>
        <w:spacing w:after="0" w:line="216"/>
        <w:ind w:left="120" w:right="120"/>
      </w:pPr>
      <w:r>
        <w:rPr>
          <w:rFonts w:ascii="Consolas" w:cs="Consolas" w:eastAsia="Consolas" w:hAnsi="Consolas"/>
          <w:sz w:val="15"/>
          <w:szCs w:val="15"/>
        </w:rPr>
        <w:t xml:space="preserve">                bit2 raise event on completion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ATTN_DECODE is the single most executed instruction in the machine. One issue</w:t>
      </w:r>
    </w:p>
    <w:p>
      <w:pPr>
        <w:shd w:fill="EEF3F6" w:val="clear"/>
        <w:spacing w:after="0" w:line="216"/>
        <w:ind w:left="120" w:right="120"/>
      </w:pPr>
      <w:r>
        <w:rPr>
          <w:rFonts w:ascii="Consolas" w:cs="Consolas" w:eastAsia="Consolas" w:hAnsi="Consolas"/>
          <w:sz w:val="15"/>
          <w:szCs w:val="15"/>
        </w:rPr>
        <w:t xml:space="preserve">  covers all heads, all layers of KV for one token, including page walk, codec,</w:t>
      </w:r>
    </w:p>
    <w:p>
      <w:pPr>
        <w:shd w:fill="EEF3F6" w:val="clear"/>
        <w:spacing w:after="0" w:line="216"/>
        <w:ind w:left="120" w:right="120"/>
      </w:pPr>
      <w:r>
        <w:rPr>
          <w:rFonts w:ascii="Consolas" w:cs="Consolas" w:eastAsia="Consolas" w:hAnsi="Consolas"/>
          <w:sz w:val="15"/>
          <w:szCs w:val="15"/>
        </w:rPr>
        <w:t xml:space="preserve">  softmax, and PV accumulation. Typical retirement latency for RM-B at 32 K span:</w:t>
      </w:r>
    </w:p>
    <w:p>
      <w:pPr>
        <w:shd w:fill="EEF3F6" w:val="clear"/>
        <w:spacing w:after="0" w:line="216"/>
        <w:ind w:left="120" w:right="120"/>
      </w:pPr>
      <w:r>
        <w:rPr>
          <w:rFonts w:ascii="Consolas" w:cs="Consolas" w:eastAsia="Consolas" w:hAnsi="Consolas"/>
          <w:sz w:val="15"/>
          <w:szCs w:val="15"/>
        </w:rPr>
        <w:t xml:space="preserve">  approximately 410 µs, entirely bandwidth-bound.</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10.6  Remaining slot encodings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124"/>
        <w:gridCol w:w="4118"/>
        <w:gridCol w:w="4118"/>
      </w:tblGrid>
      <w:tr>
        <w:trPr>
          <w:cantSplit/>
          <w:tblHeader/>
        </w:trPr>
        <w:tc>
          <w:tcPr>
            <w:tcW w:type="dxa" w:w="112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Slot</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Opcodes</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Notes</w:t>
            </w:r>
          </w:p>
        </w:tc>
      </w:tr>
      <w:tr>
        <w:trPr>
          <w:cantSplit/>
          <w:tblHeader w:val="false"/>
        </w:trPr>
        <w:tc>
          <w:tcPr>
            <w:tcW w:type="dxa" w:w="112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VEC</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VADD VMUL VFMA VMAX VSUM VRMSNORM VLAYERNORM VROPE VSWIGLU VGELU VSILU VSOFTMAX VEXP VRECIP VRSQRT VQUANT VDEQUANT VTOPK VSORT VSAMPLE VCAST VSELECT VPERM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48-bit encoding: opcode[6] | dst[7] | src0[7] | src1[7] | src2[7] | len[10] | flags[4]. Operates on descriptors, not registers, so a single VEC op can cover a full hidden state.</w:t>
            </w:r>
          </w:p>
        </w:tc>
      </w:tr>
      <w:tr>
        <w:trPr>
          <w:cantSplit/>
          <w:tblHeader w:val="false"/>
        </w:trPr>
        <w:tc>
          <w:tcPr>
            <w:tcW w:type="dxa" w:w="112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DMA_IN</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DLOAD DLOAD_STRIDED DGATHER DBROADCAST DPREFETCH DPROMOTE</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40-bit: opcode[4] | dSrc[7] | dDst[7] | ev[5] | count[13] | flags[4]. DPROMOTE requests a Tier-2 → Tier-1 migration and returns immediately.</w:t>
            </w:r>
          </w:p>
        </w:tc>
      </w:tr>
      <w:tr>
        <w:trPr>
          <w:cantSplit/>
          <w:tblHeader w:val="false"/>
        </w:trPr>
        <w:tc>
          <w:tcPr>
            <w:tcW w:type="dxa" w:w="112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DMA_OUT</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DSTORE DSTORE_STRIDED DSCATTER DREDUCE DDEMOTE DPARK</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Same encoding. DREDUCE performs an in-network reduction across CTCs. DPARK enqueues a whole sequence for migration.</w:t>
            </w:r>
          </w:p>
        </w:tc>
      </w:tr>
      <w:tr>
        <w:trPr>
          <w:cantSplit/>
          <w:tblHeader w:val="false"/>
        </w:trPr>
        <w:tc>
          <w:tcPr>
            <w:tcW w:type="dxa" w:w="112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SYNC</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WAIT SIGNAL BARRIER FENCE ACQUIRE RELEASE TIMESTAMP TRAP</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32-bit: opcode[4] | ev[5] | count[10] | scope[3] | flags[10]. Scope selects tile / tile-group / CTC / package / peer-group.</w:t>
            </w:r>
          </w:p>
        </w:tc>
      </w:tr>
    </w:tbl>
    <w:p>
      <w:pPr>
        <w:spacing w:after="220" w:before="60"/>
      </w:pPr>
      <w:r>
        <w:rPr>
          <w:i/>
          <w:iCs/>
          <w:color w:val="595959"/>
          <w:sz w:val="17"/>
          <w:szCs w:val="17"/>
        </w:rPr>
        <w:t xml:space="preserve">Table 10-2. Remaining slot encodings. Full opcode map at Appendix E.</w:t>
      </w:r>
    </w:p>
    <w:p>
      <w:pPr>
        <w:pStyle w:val="Heading2"/>
        <w:spacing w:after="120" w:before="300"/>
      </w:pPr>
      <w:r>
        <w:rPr>
          <w:rFonts w:ascii="Calibri" w:cs="Calibri" w:eastAsia="Calibri" w:hAnsi="Calibri"/>
          <w:b/>
          <w:bCs/>
          <w:color w:val="1F4E5F"/>
          <w:sz w:val="26"/>
          <w:szCs w:val="26"/>
        </w:rPr>
        <w:t xml:space="preserve">10.7  Worked example: one transformer layer of RM-B</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RM-B decode step, one MoE layer, batch 40, 32 K context.</w:t>
      </w:r>
    </w:p>
    <w:p>
      <w:pPr>
        <w:shd w:fill="EEF3F6" w:val="clear"/>
        <w:spacing w:after="0" w:line="216"/>
        <w:ind w:left="120" w:right="120"/>
      </w:pPr>
      <w:r>
        <w:rPr>
          <w:rFonts w:ascii="Consolas" w:cs="Consolas" w:eastAsia="Consolas" w:hAnsi="Consolas"/>
          <w:sz w:val="15"/>
          <w:szCs w:val="15"/>
        </w:rPr>
        <w:t xml:space="preserve">  ; Descriptors D0..D15 pre-loaded by the runtime. Events E0..E7.</w:t>
      </w:r>
    </w:p>
    <w:p>
      <w:pPr>
        <w:shd w:fill="EEF3F6" w:val="clear"/>
        <w:spacing w:after="0" w:line="216"/>
        <w:ind w:left="120" w:right="120"/>
      </w:pPr>
      <w:r>
        <w:rPr>
          <w:rFonts w:ascii="Consolas" w:cs="Consolas" w:eastAsia="Consolas" w:hAnsi="Consolas"/>
          <w:sz w:val="15"/>
          <w:szCs w:val="15"/>
        </w:rPr>
        <w:t xml:space="preserve">  ; One line per VLIW word; empty slots omitted for readability.</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W00: VEC  VRMSNORM  dst=D1 src0=D0 src1=D_gamma len=8192</w:t>
      </w:r>
    </w:p>
    <w:p>
      <w:pPr>
        <w:shd w:fill="EEF3F6" w:val="clear"/>
        <w:spacing w:after="0" w:line="216"/>
        <w:ind w:left="120" w:right="120"/>
      </w:pPr>
      <w:r>
        <w:rPr>
          <w:rFonts w:ascii="Consolas" w:cs="Consolas" w:eastAsia="Consolas" w:hAnsi="Consolas"/>
          <w:sz w:val="15"/>
          <w:szCs w:val="15"/>
        </w:rPr>
        <w:t xml:space="preserve">       DMA_IN DPREFETCH dSrc=D_wqkv dDst=D2 ev=E0 count=3072</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W01: SYNC WAIT ev=E0 count=1</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W02: TMMA mode=WS acc=A0 dA=D1 dB=D2 dC=D3 M=2 N=40 K=256 flags=0x28</w:t>
      </w:r>
    </w:p>
    <w:p>
      <w:pPr>
        <w:shd w:fill="EEF3F6" w:val="clear"/>
        <w:spacing w:after="0" w:line="216"/>
        <w:ind w:left="120" w:right="120"/>
      </w:pPr>
      <w:r>
        <w:rPr>
          <w:rFonts w:ascii="Consolas" w:cs="Consolas" w:eastAsia="Consolas" w:hAnsi="Consolas"/>
          <w:sz w:val="15"/>
          <w:szCs w:val="15"/>
        </w:rPr>
        <w:t xml:space="preserve">       ; QKV projection: 64×(8192)×(8192+2×1024). MXFP6 weights.</w:t>
      </w:r>
    </w:p>
    <w:p>
      <w:pPr>
        <w:shd w:fill="EEF3F6" w:val="clear"/>
        <w:spacing w:after="0" w:line="216"/>
        <w:ind w:left="120" w:right="120"/>
      </w:pPr>
      <w:r>
        <w:rPr>
          <w:rFonts w:ascii="Consolas" w:cs="Consolas" w:eastAsia="Consolas" w:hAnsi="Consolas"/>
          <w:sz w:val="15"/>
          <w:szCs w:val="15"/>
        </w:rPr>
        <w:t xml:space="preserve">       DMA_IN DPREFETCH dSrc=D_wo dDst=D4 ev=E1 count=2048</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W03: VEC  VROPE dst=D3 src0=D3 src1=D_pos len=8192</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W04: ATTN op=ATTN_DECODE dQ=D3 pt=D_pt dO=D5 heads=64 span=0 flags=0x04</w:t>
      </w:r>
    </w:p>
    <w:p>
      <w:pPr>
        <w:shd w:fill="EEF3F6" w:val="clear"/>
        <w:spacing w:after="0" w:line="216"/>
        <w:ind w:left="120" w:right="120"/>
      </w:pPr>
      <w:r>
        <w:rPr>
          <w:rFonts w:ascii="Consolas" w:cs="Consolas" w:eastAsia="Consolas" w:hAnsi="Consolas"/>
          <w:sz w:val="15"/>
          <w:szCs w:val="15"/>
        </w:rPr>
        <w:t xml:space="preserve">       ; The long pole. Streams 3.93 GB of KV, ~410 µs.</w:t>
      </w:r>
    </w:p>
    <w:p>
      <w:pPr>
        <w:shd w:fill="EEF3F6" w:val="clear"/>
        <w:spacing w:after="0" w:line="216"/>
        <w:ind w:left="120" w:right="120"/>
      </w:pPr>
      <w:r>
        <w:rPr>
          <w:rFonts w:ascii="Consolas" w:cs="Consolas" w:eastAsia="Consolas" w:hAnsi="Consolas"/>
          <w:sz w:val="15"/>
          <w:szCs w:val="15"/>
        </w:rPr>
        <w:t xml:space="preserve">       DMA_IN DPREFETCH dSrc=D_router dDst=D6 ev=E2 count=64</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W05: SYNC WAIT ev=E2 count=1</w:t>
      </w:r>
    </w:p>
    <w:p>
      <w:pPr>
        <w:shd w:fill="EEF3F6" w:val="clear"/>
        <w:spacing w:after="0" w:line="216"/>
        <w:ind w:left="120" w:right="120"/>
      </w:pPr>
      <w:r>
        <w:rPr>
          <w:rFonts w:ascii="Consolas" w:cs="Consolas" w:eastAsia="Consolas" w:hAnsi="Consolas"/>
          <w:sz w:val="15"/>
          <w:szCs w:val="15"/>
        </w:rPr>
        <w:t xml:space="preserve">  W06: TMMA mode=OS acc=A1 dA=D0 dB=D6 dC=D7 M=2 N=2 K=256 flags=0x20</w:t>
      </w:r>
    </w:p>
    <w:p>
      <w:pPr>
        <w:shd w:fill="EEF3F6" w:val="clear"/>
        <w:spacing w:after="0" w:line="216"/>
        <w:ind w:left="120" w:right="120"/>
      </w:pPr>
      <w:r>
        <w:rPr>
          <w:rFonts w:ascii="Consolas" w:cs="Consolas" w:eastAsia="Consolas" w:hAnsi="Consolas"/>
          <w:sz w:val="15"/>
          <w:szCs w:val="15"/>
        </w:rPr>
        <w:t xml:space="preserve">       ; Router logits, BF16, tiny.</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W07: VEC  VTOPK dst=D8 src0=D7 len=64 flags=k2</w:t>
      </w:r>
    </w:p>
    <w:p>
      <w:pPr>
        <w:shd w:fill="EEF3F6" w:val="clear"/>
        <w:spacing w:after="0" w:line="216"/>
        <w:ind w:left="120" w:right="120"/>
      </w:pPr>
      <w:r>
        <w:rPr>
          <w:rFonts w:ascii="Consolas" w:cs="Consolas" w:eastAsia="Consolas" w:hAnsi="Consolas"/>
          <w:sz w:val="15"/>
          <w:szCs w:val="15"/>
        </w:rPr>
        <w:t xml:space="preserve">       ; Top-2 expert selection. Result feeds the TRU.</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W08: DMA_IN DGATHER dSrc=D8 dDst=D9 ev=E3 count=40</w:t>
      </w:r>
    </w:p>
    <w:p>
      <w:pPr>
        <w:shd w:fill="EEF3F6" w:val="clear"/>
        <w:spacing w:after="0" w:line="216"/>
        <w:ind w:left="120" w:right="120"/>
      </w:pPr>
      <w:r>
        <w:rPr>
          <w:rFonts w:ascii="Consolas" w:cs="Consolas" w:eastAsia="Consolas" w:hAnsi="Consolas"/>
          <w:sz w:val="15"/>
          <w:szCs w:val="15"/>
        </w:rPr>
        <w:t xml:space="preserve">       ; TRU permutes rows by expert assignment, inline. No data movement</w:t>
      </w:r>
    </w:p>
    <w:p>
      <w:pPr>
        <w:shd w:fill="EEF3F6" w:val="clear"/>
        <w:spacing w:after="0" w:line="216"/>
        <w:ind w:left="120" w:right="120"/>
      </w:pPr>
      <w:r>
        <w:rPr>
          <w:rFonts w:ascii="Consolas" w:cs="Consolas" w:eastAsia="Consolas" w:hAnsi="Consolas"/>
          <w:sz w:val="15"/>
          <w:szCs w:val="15"/>
        </w:rPr>
        <w:t xml:space="preserve">       ; beyond the gather itself.</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W09: SYNC WAIT ev=E1 count=1</w:t>
      </w:r>
    </w:p>
    <w:p>
      <w:pPr>
        <w:shd w:fill="EEF3F6" w:val="clear"/>
        <w:spacing w:after="0" w:line="216"/>
        <w:ind w:left="120" w:right="120"/>
      </w:pPr>
      <w:r>
        <w:rPr>
          <w:rFonts w:ascii="Consolas" w:cs="Consolas" w:eastAsia="Consolas" w:hAnsi="Consolas"/>
          <w:sz w:val="15"/>
          <w:szCs w:val="15"/>
        </w:rPr>
        <w:t xml:space="preserve">  W10: TMMA mode=WS acc=A2 dA=D5 dB=D4 dC=D10 M=2 N=40 K=256 flags=0x28</w:t>
      </w:r>
    </w:p>
    <w:p>
      <w:pPr>
        <w:shd w:fill="EEF3F6" w:val="clear"/>
        <w:spacing w:after="0" w:line="216"/>
        <w:ind w:left="120" w:right="120"/>
      </w:pPr>
      <w:r>
        <w:rPr>
          <w:rFonts w:ascii="Consolas" w:cs="Consolas" w:eastAsia="Consolas" w:hAnsi="Consolas"/>
          <w:sz w:val="15"/>
          <w:szCs w:val="15"/>
        </w:rPr>
        <w:t xml:space="preserve">       ; Attention output projection.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W11: SYNC WAIT ev=E3 count=1</w:t>
      </w:r>
    </w:p>
    <w:p>
      <w:pPr>
        <w:shd w:fill="EEF3F6" w:val="clear"/>
        <w:spacing w:after="0" w:line="216"/>
        <w:ind w:left="120" w:right="120"/>
      </w:pPr>
      <w:r>
        <w:rPr>
          <w:rFonts w:ascii="Consolas" w:cs="Consolas" w:eastAsia="Consolas" w:hAnsi="Consolas"/>
          <w:sz w:val="15"/>
          <w:szCs w:val="15"/>
        </w:rPr>
        <w:t xml:space="preserve">  W12: TMMA mode=OS acc=A3 dA=D9 dB=D_e_up dC=D11 M=2 N=448 K=256 flags=0x21</w:t>
      </w:r>
    </w:p>
    <w:p>
      <w:pPr>
        <w:shd w:fill="EEF3F6" w:val="clear"/>
        <w:spacing w:after="0" w:line="216"/>
        <w:ind w:left="120" w:right="120"/>
      </w:pPr>
      <w:r>
        <w:rPr>
          <w:rFonts w:ascii="Consolas" w:cs="Consolas" w:eastAsia="Consolas" w:hAnsi="Consolas"/>
          <w:sz w:val="15"/>
          <w:szCs w:val="15"/>
        </w:rPr>
        <w:t xml:space="preserve">       ; Expert FFN up+gate, MXFP4. Two experts issued back to back.</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W13: VEC  VSWIGLU dst=D12 src0=D11 len=14336</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W14: TMMA mode=OS acc=A4 dA=D12 dB=D_e_down dC=D13 M=2 N=256 K=448 flags=0x21</w:t>
      </w:r>
    </w:p>
    <w:p>
      <w:pPr>
        <w:shd w:fill="EEF3F6" w:val="clear"/>
        <w:spacing w:after="0" w:line="216"/>
        <w:ind w:left="120" w:right="120"/>
      </w:pPr>
      <w:r>
        <w:rPr>
          <w:rFonts w:ascii="Consolas" w:cs="Consolas" w:eastAsia="Consolas" w:hAnsi="Consolas"/>
          <w:sz w:val="15"/>
          <w:szCs w:val="15"/>
        </w:rPr>
        <w:t xml:space="preserve">       ; Expert FFN down, MXFP6.</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W15: DMA_OUT DSCATTER dSrc=D13 dDst=D14 ev=E4 count=40</w:t>
      </w:r>
    </w:p>
    <w:p>
      <w:pPr>
        <w:shd w:fill="EEF3F6" w:val="clear"/>
        <w:spacing w:after="0" w:line="216"/>
        <w:ind w:left="120" w:right="120"/>
      </w:pPr>
      <w:r>
        <w:rPr>
          <w:rFonts w:ascii="Consolas" w:cs="Consolas" w:eastAsia="Consolas" w:hAnsi="Consolas"/>
          <w:sz w:val="15"/>
          <w:szCs w:val="15"/>
        </w:rPr>
        <w:t xml:space="preserve">       ; TRU inverse permutation.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W16: SYNC WAIT ev=E4 count=1</w:t>
      </w:r>
    </w:p>
    <w:p>
      <w:pPr>
        <w:shd w:fill="EEF3F6" w:val="clear"/>
        <w:spacing w:after="0" w:line="216"/>
        <w:ind w:left="120" w:right="120"/>
      </w:pPr>
      <w:r>
        <w:rPr>
          <w:rFonts w:ascii="Consolas" w:cs="Consolas" w:eastAsia="Consolas" w:hAnsi="Consolas"/>
          <w:sz w:val="15"/>
          <w:szCs w:val="15"/>
        </w:rPr>
        <w:t xml:space="preserve">  W17: VEC  VADD dst=D0 src0=D0 src1=D14 len=8192</w:t>
      </w:r>
    </w:p>
    <w:p>
      <w:pPr>
        <w:shd w:fill="EEF3F6" w:val="clear"/>
        <w:spacing w:after="0" w:line="216"/>
        <w:ind w:left="120" w:right="120"/>
      </w:pPr>
      <w:r>
        <w:rPr>
          <w:rFonts w:ascii="Consolas" w:cs="Consolas" w:eastAsia="Consolas" w:hAnsi="Consolas"/>
          <w:sz w:val="15"/>
          <w:szCs w:val="15"/>
        </w:rPr>
        <w:t xml:space="preserve">       ; Residual. D0 is the running hidden state; the layer is complete.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18 VLIW words per layer. 60 layers = 1,080 words per decode step.</w:t>
      </w:r>
    </w:p>
    <w:p>
      <w:pPr>
        <w:shd w:fill="EEF3F6" w:val="clear"/>
        <w:spacing w:after="0" w:line="216"/>
        <w:ind w:left="120" w:right="120"/>
      </w:pPr>
      <w:r>
        <w:rPr>
          <w:rFonts w:ascii="Consolas" w:cs="Consolas" w:eastAsia="Consolas" w:hAnsi="Consolas"/>
          <w:sz w:val="15"/>
          <w:szCs w:val="15"/>
        </w:rPr>
        <w:t xml:space="preserve">  ; Instruction fetch bandwidth required: 1,080 × 32 B × (steps/s).</w:t>
      </w:r>
    </w:p>
    <w:p>
      <w:pPr>
        <w:shd w:fill="EEF3F6" w:val="clear"/>
        <w:spacing w:after="0" w:line="216"/>
        <w:ind w:left="120" w:right="120"/>
      </w:pPr>
      <w:r>
        <w:rPr>
          <w:rFonts w:ascii="Consolas" w:cs="Consolas" w:eastAsia="Consolas" w:hAnsi="Consolas"/>
          <w:sz w:val="15"/>
          <w:szCs w:val="15"/>
        </w:rPr>
        <w:t xml:space="preserve">  ; At 55 steps/s that is 1.9 MB/s. Instruction supply is a non-issue.</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10-1. One MoE transformer layer in SC-1 assembly.</w:t>
      </w:r>
    </w:p>
    <w:p>
      <w:pPr>
        <w:spacing w:after="140" w:line="276"/>
        <w:jc w:val="left"/>
      </w:pPr>
      <w:r>
        <w:rPr>
          <w:rFonts w:ascii="Calibri" w:cs="Calibri" w:eastAsia="Calibri" w:hAnsi="Calibri"/>
          <w:b w:val="false"/>
          <w:bCs w:val="false"/>
          <w:i w:val="false"/>
          <w:iCs w:val="false"/>
          <w:color w:val="000000"/>
          <w:sz w:val="21"/>
          <w:szCs w:val="21"/>
        </w:rPr>
        <w:t xml:space="preserve">Two things are worth noticing in this listing. First, W04 — one instruction — is roughly 85% of the layer's wall-clock time, and every other instruction is scheduled around it. That is what a bandwidth-bound machine looks like in assembly. Second, there is no instruction anywhere that manages memory placement: no allocation, no eviction, no tier selection. That work is done by the CTM, invisibly, and it is the reason the listing is 18 lines rather than 200.</w:t>
      </w:r>
    </w:p>
    <w:p>
      <w:r>
        <w:br w:type="page"/>
      </w:r>
    </w:p>
    <w:p>
      <w:pPr>
        <w:pStyle w:val="Heading1"/>
        <w:spacing w:after="160" w:before="400"/>
      </w:pPr>
      <w:r>
        <w:rPr>
          <w:rFonts w:ascii="Calibri" w:cs="Calibri" w:eastAsia="Calibri" w:hAnsi="Calibri"/>
          <w:b/>
          <w:bCs/>
          <w:color w:val="1F4E5F"/>
          <w:sz w:val="32"/>
          <w:szCs w:val="32"/>
        </w:rPr>
        <w:t xml:space="preserve">11.  Cobalt Link Scale-Up Fabric</w:t>
      </w:r>
    </w:p>
    <w:p>
      <w:pPr>
        <w:pStyle w:val="Heading2"/>
        <w:spacing w:after="120" w:before="300"/>
      </w:pPr>
      <w:r>
        <w:rPr>
          <w:rFonts w:ascii="Calibri" w:cs="Calibri" w:eastAsia="Calibri" w:hAnsi="Calibri"/>
          <w:b/>
          <w:bCs/>
          <w:color w:val="1F4E5F"/>
          <w:sz w:val="26"/>
          <w:szCs w:val="26"/>
        </w:rPr>
        <w:t xml:space="preserve">11.1  Requirements</w:t>
      </w:r>
    </w:p>
    <w:p>
      <w:pPr>
        <w:spacing w:after="140" w:line="276"/>
        <w:jc w:val="left"/>
      </w:pPr>
      <w:r>
        <w:rPr>
          <w:rFonts w:ascii="Calibri" w:cs="Calibri" w:eastAsia="Calibri" w:hAnsi="Calibri"/>
          <w:b w:val="false"/>
          <w:bCs w:val="false"/>
          <w:i w:val="false"/>
          <w:iCs w:val="false"/>
          <w:color w:val="000000"/>
          <w:sz w:val="21"/>
          <w:szCs w:val="21"/>
        </w:rPr>
        <w:t xml:space="preserve">A 400-billion-parameter MoE model does not fit in one package at MXFP8 and is uncomfortable at MXFP4. Serving it requires tensor or expert parallelism across several packages, which puts an all-reduce or an all-to-all on the critical path of every layer. The fabric requirement is therefore set by collective latency and bandwidth, not by aggregate throughput.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2621"/>
        <w:gridCol w:w="4118"/>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Basis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Lanes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 (64 TX, 64 RX)</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per MHC per direction</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Lane rate</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224 Gb/s PAM4</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Consistent with 2028-generation SerDes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Raw bandwidth</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1.79 TB/s each direction, 3.58 TB/s bidirectional</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Effective after FEC and framing</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1.61 TB/s each direction</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90% efficiency; RS-FEC plus 64b/66b-class framing</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Protocol</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UALink 1.0/2.0-compatible memory semantics</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Open standard; avoids a proprietary lock-in that would defeat the purpose</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Topology</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64-package scale-up domain</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Two-tier: 8 packages per group, 8 groups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Switch</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Cobalt Switch ASIC per group</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specified in this document; see §24 Q-19</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Latency, package to package, same group</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480 ns</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Tier C; SerDes 180 ns, switch 190 ns, protocol 110 ns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Latency, cross-group</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810 ns</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In-network reduction</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Yes, in the switch</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Halves all-reduce latency; standard practice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Power</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60 W per package</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 pJ/bit at full rate</w:t>
            </w:r>
          </w:p>
        </w:tc>
      </w:tr>
    </w:tbl>
    <w:p>
      <w:pPr>
        <w:spacing w:after="220" w:before="60"/>
      </w:pPr>
      <w:r>
        <w:rPr>
          <w:i/>
          <w:iCs/>
          <w:color w:val="595959"/>
          <w:sz w:val="17"/>
          <w:szCs w:val="17"/>
        </w:rPr>
        <w:t xml:space="preserve">Table 11-1. Cobalt Link parameters.</w:t>
      </w:r>
    </w:p>
    <w:p>
      <w:pPr>
        <w:pStyle w:val="Heading2"/>
        <w:spacing w:after="120" w:before="300"/>
      </w:pPr>
      <w:r>
        <w:rPr>
          <w:rFonts w:ascii="Calibri" w:cs="Calibri" w:eastAsia="Calibri" w:hAnsi="Calibri"/>
          <w:b/>
          <w:bCs/>
          <w:color w:val="1F4E5F"/>
          <w:sz w:val="26"/>
          <w:szCs w:val="26"/>
        </w:rPr>
        <w:t xml:space="preserve">11.2  Why 64 and not 72</w:t>
      </w:r>
    </w:p>
    <w:p>
      <w:pPr>
        <w:spacing w:after="140" w:line="276"/>
        <w:jc w:val="left"/>
      </w:pPr>
      <w:r>
        <w:rPr>
          <w:rFonts w:ascii="Calibri" w:cs="Calibri" w:eastAsia="Calibri" w:hAnsi="Calibri"/>
          <w:b w:val="false"/>
          <w:bCs w:val="false"/>
          <w:i w:val="false"/>
          <w:iCs w:val="false"/>
          <w:color w:val="000000"/>
          <w:sz w:val="21"/>
          <w:szCs w:val="21"/>
        </w:rPr>
        <w:t xml:space="preserve">NVIDIA's NVL72 domain is 72 GPUs. SC-1's domain is 64 packages. The difference is not arbitrary: 64 is a power of two, which makes tensor-parallel sharding, expert-parallel assignment, and reduction trees all divide evenly. A 72-way domain requires either padding to 64 and wasting 8 units, or a sharding scheme with a ragged remainder that costs load imbalance on every collective. Since SC-1 carries 2.5× the memory per package, a 64-package domain holds 45 TB of attached memory against the NVL72's 37 TB, so nothing is lost by the smaller count.</w:t>
      </w:r>
    </w:p>
    <w:p>
      <w:pPr>
        <w:pStyle w:val="Heading2"/>
        <w:spacing w:after="120" w:before="300"/>
      </w:pPr>
      <w:r>
        <w:rPr>
          <w:rFonts w:ascii="Calibri" w:cs="Calibri" w:eastAsia="Calibri" w:hAnsi="Calibri"/>
          <w:b/>
          <w:bCs/>
          <w:color w:val="1F4E5F"/>
          <w:sz w:val="26"/>
          <w:szCs w:val="26"/>
        </w:rPr>
        <w:t xml:space="preserve">11.3  Collectives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3931"/>
        <w:gridCol w:w="2808"/>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Collective</w:t>
            </w:r>
          </w:p>
        </w:tc>
        <w:tc>
          <w:tcPr>
            <w:tcW w:type="dxa" w:w="393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Implementation</w:t>
            </w:r>
          </w:p>
        </w:tc>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Modelled latency, 8-package group</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All-reduce, 64 MB</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Reduce-scatter then all-gather, in-network reduction in switch</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58 µs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All-to-all, MoE dispatch, 40 MB</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Direct, one hop</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31 µs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All-gather, 200 MB weights</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Ring over the group</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138 µs</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Broadcast, 2 MB</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Switch multicast</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2.1 µs</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Barrier</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Hardware, switch-resident</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1.1 µs</w:t>
            </w:r>
          </w:p>
        </w:tc>
      </w:tr>
    </w:tbl>
    <w:p>
      <w:pPr>
        <w:spacing w:after="220" w:before="60"/>
      </w:pPr>
      <w:r>
        <w:rPr>
          <w:i/>
          <w:iCs/>
          <w:color w:val="595959"/>
          <w:sz w:val="17"/>
          <w:szCs w:val="17"/>
        </w:rPr>
        <w:t xml:space="preserve">Table 11-2. Collective performance. Tier C; requires a switch model to confirm.</w:t>
      </w:r>
    </w:p>
    <w:p>
      <w:pPr>
        <w:pStyle w:val="Heading2"/>
        <w:spacing w:after="120" w:before="300"/>
      </w:pPr>
      <w:r>
        <w:rPr>
          <w:rFonts w:ascii="Calibri" w:cs="Calibri" w:eastAsia="Calibri" w:hAnsi="Calibri"/>
          <w:b/>
          <w:bCs/>
          <w:color w:val="1F4E5F"/>
          <w:sz w:val="26"/>
          <w:szCs w:val="26"/>
        </w:rPr>
        <w:t xml:space="preserve">11.4  Remote memory access</w:t>
      </w:r>
    </w:p>
    <w:p>
      <w:pPr>
        <w:spacing w:after="140" w:line="276"/>
        <w:jc w:val="left"/>
      </w:pPr>
      <w:r>
        <w:rPr>
          <w:rFonts w:ascii="Calibri" w:cs="Calibri" w:eastAsia="Calibri" w:hAnsi="Calibri"/>
          <w:b w:val="false"/>
          <w:bCs w:val="false"/>
          <w:i w:val="false"/>
          <w:iCs w:val="false"/>
          <w:color w:val="000000"/>
          <w:sz w:val="21"/>
          <w:szCs w:val="21"/>
        </w:rPr>
        <w:t xml:space="preserve">The fabric exposes remote packages' Tier-1 and Tier-2 memory through the peer aperture (Table 5-2), with load/store and DMA semantics and capability-based access control enforced at the source MHC. The intended use is not general shared memory — the latency is far too high for that — but three specific patterns: pulling a cold expert from a peer that has it resident rather than from local Tier 2, migrating a session between packages for load balancing, and disaggregated prefill, in which a package specialised for prefill produces KV that a decode package consumes directly.</w:t>
      </w:r>
    </w:p>
    <w:p>
      <w:pPr>
        <w:spacing w:after="140" w:line="276"/>
        <w:jc w:val="left"/>
      </w:pPr>
      <w:r>
        <w:rPr>
          <w:rFonts w:ascii="Calibri" w:cs="Calibri" w:eastAsia="Calibri" w:hAnsi="Calibri"/>
          <w:b w:val="false"/>
          <w:bCs w:val="false"/>
          <w:i w:val="false"/>
          <w:iCs w:val="false"/>
          <w:color w:val="000000"/>
          <w:sz w:val="21"/>
          <w:szCs w:val="21"/>
        </w:rPr>
        <w:t xml:space="preserve">Disaggregated prefill deserves emphasis. Prefill is compute-bound and decode is bandwidth-bound; running them on the same package means one of the two resources is always idle. Splitting them across packages, with KV shipped over the fabric, lets a fleet provision the two independently. At 1.61 TB/s, shipping a 32 K-context KV cache of 3.93 GB between packages takes 2.4 ms — comparable to the Tier-2 restore latency, and far cheaper than the 208 ms of re-prefill. Section 19.4 sizes a rack for this mode.</w:t>
      </w:r>
    </w:p>
    <w:p>
      <w:pPr>
        <w:pStyle w:val="Heading2"/>
        <w:spacing w:after="120" w:before="300"/>
      </w:pPr>
      <w:r>
        <w:rPr>
          <w:rFonts w:ascii="Calibri" w:cs="Calibri" w:eastAsia="Calibri" w:hAnsi="Calibri"/>
          <w:b/>
          <w:bCs/>
          <w:color w:val="1F4E5F"/>
          <w:sz w:val="26"/>
          <w:szCs w:val="26"/>
        </w:rPr>
        <w:t xml:space="preserve">11.5  Scale-out</w:t>
      </w:r>
    </w:p>
    <w:p>
      <w:pPr>
        <w:spacing w:after="140" w:line="276"/>
        <w:jc w:val="left"/>
      </w:pPr>
      <w:r>
        <w:rPr>
          <w:rFonts w:ascii="Calibri" w:cs="Calibri" w:eastAsia="Calibri" w:hAnsi="Calibri"/>
          <w:b w:val="false"/>
          <w:bCs w:val="false"/>
          <w:i w:val="false"/>
          <w:iCs w:val="false"/>
          <w:color w:val="000000"/>
          <w:sz w:val="21"/>
          <w:szCs w:val="21"/>
        </w:rPr>
        <w:t xml:space="preserve">Beyond the 64-package domain, SC-1 uses standard Ethernet: two 800 GbE ports per package, one per MHC, running RoCEv2 with the MAC and PCS on-die and the PHY on the module. This is a deliberate refusal to build a proprietary scale-out network. The scale-out traffic pattern for inference — routing requests to packages, moving sessions between racks, shipping weights at load time — is bandwidth-light and latency-tolerant compared with the scale-up domain, and the operational value of standard Ethernet at that layer far exceeds the marginal performance of something custom.</w:t>
      </w:r>
    </w:p>
    <w:p>
      <w:pPr>
        <w:pStyle w:val="Heading2"/>
        <w:spacing w:after="120" w:before="300"/>
      </w:pPr>
      <w:r>
        <w:rPr>
          <w:rFonts w:ascii="Calibri" w:cs="Calibri" w:eastAsia="Calibri" w:hAnsi="Calibri"/>
          <w:b/>
          <w:bCs/>
          <w:color w:val="1F4E5F"/>
          <w:sz w:val="26"/>
          <w:szCs w:val="26"/>
        </w:rPr>
        <w:t xml:space="preserve">11.6  Optical option</w:t>
      </w:r>
    </w:p>
    <w:p>
      <w:pPr>
        <w:spacing w:after="140" w:line="276"/>
        <w:jc w:val="left"/>
      </w:pPr>
      <w:r>
        <w:rPr>
          <w:rFonts w:ascii="Calibri" w:cs="Calibri" w:eastAsia="Calibri" w:hAnsi="Calibri"/>
          <w:b w:val="false"/>
          <w:bCs w:val="false"/>
          <w:i w:val="false"/>
          <w:iCs w:val="false"/>
          <w:color w:val="000000"/>
          <w:sz w:val="21"/>
          <w:szCs w:val="21"/>
        </w:rPr>
        <w:t xml:space="preserve">The design reserves a substrate site and 42 W of power budget for co-packaged optics on the SerDes path, as a Gen-1.5 option. TSMC's COUPE-on-substrate approach is expected in production from 2026, and by an SC-1 ramp in 2029 it should be a qualified option rather than a research programme. The gain would be roughly 40% of the fabric power and a substantial reach improvement, allowing the scale-up domain to span racks rather than being confined within one. The design does not depend on it, and the electrical path is the baseline.</w:t>
      </w:r>
    </w:p>
    <w:p>
      <w:r>
        <w:br w:type="page"/>
      </w:r>
    </w:p>
    <w:p>
      <w:pPr>
        <w:pStyle w:val="Heading1"/>
        <w:spacing w:after="160" w:before="400"/>
      </w:pPr>
      <w:r>
        <w:rPr>
          <w:rFonts w:ascii="Calibri" w:cs="Calibri" w:eastAsia="Calibri" w:hAnsi="Calibri"/>
          <w:b/>
          <w:bCs/>
          <w:color w:val="1F4E5F"/>
          <w:sz w:val="32"/>
          <w:szCs w:val="32"/>
        </w:rPr>
        <w:t xml:space="preserve">12.  Security, Safety and Assurance Architecture</w:t>
      </w:r>
    </w:p>
    <w:p>
      <w:pPr>
        <w:spacing w:after="140" w:line="276"/>
        <w:jc w:val="left"/>
      </w:pPr>
      <w:r>
        <w:rPr>
          <w:rFonts w:ascii="Calibri" w:cs="Calibri" w:eastAsia="Calibri" w:hAnsi="Calibri"/>
          <w:b w:val="false"/>
          <w:bCs w:val="false"/>
          <w:i w:val="false"/>
          <w:iCs w:val="false"/>
          <w:color w:val="000000"/>
          <w:sz w:val="21"/>
          <w:szCs w:val="21"/>
        </w:rPr>
        <w:t xml:space="preserve">This section specifies features that no merchant accelerator provides and that are, for a frontier laboratory, potentially the most valuable content in the document. The threat model is stated first, because a security feature specified without a threat model is decoration.</w:t>
      </w:r>
    </w:p>
    <w:p>
      <w:pPr>
        <w:pStyle w:val="Heading2"/>
        <w:spacing w:after="120" w:before="300"/>
      </w:pPr>
      <w:r>
        <w:rPr>
          <w:rFonts w:ascii="Calibri" w:cs="Calibri" w:eastAsia="Calibri" w:hAnsi="Calibri"/>
          <w:b/>
          <w:bCs/>
          <w:color w:val="1F4E5F"/>
          <w:sz w:val="26"/>
          <w:szCs w:val="26"/>
        </w:rPr>
        <w:t xml:space="preserve">12.1  Threat model</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3"/>
        <w:gridCol w:w="1123"/>
        <w:gridCol w:w="5054"/>
      </w:tblGrid>
      <w:tr>
        <w:trPr>
          <w:cantSplit/>
          <w:tblHeader/>
        </w:trPr>
        <w:tc>
          <w:tcPr>
            <w:tcW w:type="dxa" w:w="318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Threat</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In scope</w:t>
            </w:r>
          </w:p>
        </w:tc>
        <w:tc>
          <w:tcPr>
            <w:tcW w:type="dxa" w:w="505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Countermeasure</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Exfiltration of model weights by a privileged host operator</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primary</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Sealed weight path (§12.3): weights are decrypted only inside the package, keyed to an attested measurement</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Exfiltration by physical attack on the module (probing DRAM buses)</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All off-package memory encrypted with AES-256-XTS; integrity tree over weight regions</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Exfiltration by a compromised inference runtime</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Weight regions are not readable by the datapath except through the tensor descriptor path; there is no instruction that returns weight bytes to the host</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Cross-tenant data leakage through shared state</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Tenant domain in the PCE hash (§8.5.3); per-tenant memory encryption keys; RTS partition isolation</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Timing side channels between tenants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Partial</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NoC bandwidth partitioning per tile group; PCE dedup confined within tenant. Not a formal guarantee; see §24 Q-22</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Malicious firmware / supply-chain implant</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Measured boot from immutable ROM, PUF device identity, signature verification of every firmware stage</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Fault-injection attack on the key path</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Partial</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Redundant key registers with parity, glitch detectors on the Sentinel supply. Not hardened to a determined laboratory attack</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Denial of service by a tenant</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QoS classes and rate limits on every shared resource</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Extraction of training data from activations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Out of scope for hardware; this is a model-level property</w:t>
            </w:r>
          </w:p>
        </w:tc>
      </w:tr>
    </w:tbl>
    <w:p>
      <w:pPr>
        <w:spacing w:after="220" w:before="60"/>
      </w:pPr>
      <w:r>
        <w:rPr>
          <w:i/>
          <w:iCs/>
          <w:color w:val="595959"/>
          <w:sz w:val="17"/>
          <w:szCs w:val="17"/>
        </w:rPr>
        <w:t xml:space="preserve">Table 12-1. Threat model.</w:t>
      </w:r>
    </w:p>
    <w:p>
      <w:pPr>
        <w:pStyle w:val="Heading2"/>
        <w:spacing w:after="120" w:before="300"/>
      </w:pPr>
      <w:r>
        <w:rPr>
          <w:rFonts w:ascii="Calibri" w:cs="Calibri" w:eastAsia="Calibri" w:hAnsi="Calibri"/>
          <w:b/>
          <w:bCs/>
          <w:color w:val="1F4E5F"/>
          <w:sz w:val="26"/>
          <w:szCs w:val="26"/>
        </w:rPr>
        <w:t xml:space="preserve">12.2  Sentinel root of trust</w:t>
      </w:r>
    </w:p>
    <w:p>
      <w:pPr>
        <w:spacing w:after="140" w:line="276"/>
        <w:jc w:val="left"/>
      </w:pPr>
      <w:r>
        <w:rPr>
          <w:rFonts w:ascii="Calibri" w:cs="Calibri" w:eastAsia="Calibri" w:hAnsi="Calibri"/>
          <w:b w:val="false"/>
          <w:bCs w:val="false"/>
          <w:i w:val="false"/>
          <w:iCs w:val="false"/>
          <w:color w:val="000000"/>
          <w:sz w:val="21"/>
          <w:szCs w:val="21"/>
        </w:rPr>
        <w:t xml:space="preserve">One Sentinel complex per MHC, with MHC-0's designated primary and MHC-1's operating as a verifying mirror. It contains: an RV32 security core with its own 256 KB of ROM and 1 MB of SRAM, on a permanently powered island; a physically unclonable function providing a device-unique key that is never readable outside the complex; an ECDSA P-384 and ML-DSA-87 signature verification engine, the latter for post-quantum resistance on long-lived firmware signatures; an AES-256 and SHA-3 core; a true random number generator with continuous health testing; a monotonic counter in fuses for anti-rollback; and a secure debug controller that gates all scan and JTAG access behind an authenticated challenge.</w:t>
      </w:r>
    </w:p>
    <w:p>
      <w:pPr>
        <w:spacing w:after="140" w:line="276"/>
        <w:jc w:val="left"/>
      </w:pPr>
      <w:r>
        <w:rPr>
          <w:rFonts w:ascii="Calibri" w:cs="Calibri" w:eastAsia="Calibri" w:hAnsi="Calibri"/>
          <w:b w:val="false"/>
          <w:bCs w:val="false"/>
          <w:i w:val="false"/>
          <w:iCs w:val="false"/>
          <w:color w:val="000000"/>
          <w:sz w:val="21"/>
          <w:szCs w:val="21"/>
        </w:rPr>
        <w:t xml:space="preserve">The dual-Sentinel arrangement is not redundancy for availability — it is redundancy for integrity. Each Sentinel independently measures the other's boot chain, and a divergence halts the package. This raises the bar on a firmware implant from compromising one die to compromising two dies that verify each other.</w:t>
      </w:r>
    </w:p>
    <w:p>
      <w:pPr>
        <w:pStyle w:val="Heading2"/>
        <w:spacing w:after="120" w:before="300"/>
      </w:pPr>
      <w:r>
        <w:rPr>
          <w:rFonts w:ascii="Calibri" w:cs="Calibri" w:eastAsia="Calibri" w:hAnsi="Calibri"/>
          <w:b/>
          <w:bCs/>
          <w:color w:val="1F4E5F"/>
          <w:sz w:val="26"/>
          <w:szCs w:val="26"/>
        </w:rPr>
        <w:t xml:space="preserve">12.3  Sealed weight path</w:t>
      </w:r>
    </w:p>
    <w:p>
      <w:pPr>
        <w:spacing w:after="140" w:line="276"/>
        <w:jc w:val="left"/>
      </w:pPr>
      <w:r>
        <w:rPr>
          <w:rFonts w:ascii="Calibri" w:cs="Calibri" w:eastAsia="Calibri" w:hAnsi="Calibri"/>
          <w:b w:val="false"/>
          <w:bCs w:val="false"/>
          <w:i w:val="false"/>
          <w:iCs w:val="false"/>
          <w:color w:val="000000"/>
          <w:sz w:val="21"/>
          <w:szCs w:val="21"/>
        </w:rPr>
        <w:t xml:space="preserve">This is the mechanism behind requirement WR-11.</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 MODEL LOAD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1. Runtime presents an encrypted weight blob and a signed manifest. The manifest</w:t>
      </w:r>
    </w:p>
    <w:p>
      <w:pPr>
        <w:shd w:fill="EEF3F6" w:val="clear"/>
        <w:spacing w:after="0" w:line="216"/>
        <w:ind w:left="120" w:right="120"/>
      </w:pPr>
      <w:r>
        <w:rPr>
          <w:rFonts w:ascii="Consolas" w:cs="Consolas" w:eastAsia="Consolas" w:hAnsi="Consolas"/>
          <w:sz w:val="15"/>
          <w:szCs w:val="15"/>
        </w:rPr>
        <w:t xml:space="preserve">     names the model, its hash, its precision policy, and a policy identifier.</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 Sentinel verifies the manifest signature against a key in fuses, checks the</w:t>
      </w:r>
    </w:p>
    <w:p>
      <w:pPr>
        <w:shd w:fill="EEF3F6" w:val="clear"/>
        <w:spacing w:after="0" w:line="216"/>
        <w:ind w:left="120" w:right="120"/>
      </w:pPr>
      <w:r>
        <w:rPr>
          <w:rFonts w:ascii="Consolas" w:cs="Consolas" w:eastAsia="Consolas" w:hAnsi="Consolas"/>
          <w:sz w:val="15"/>
          <w:szCs w:val="15"/>
        </w:rPr>
        <w:t xml:space="preserve">     anti-rollback counter, and computes a measurement:</w:t>
      </w:r>
    </w:p>
    <w:p>
      <w:pPr>
        <w:shd w:fill="EEF3F6" w:val="clear"/>
        <w:spacing w:after="0" w:line="216"/>
        <w:ind w:left="120" w:right="120"/>
      </w:pPr>
      <w:r>
        <w:rPr>
          <w:rFonts w:ascii="Consolas" w:cs="Consolas" w:eastAsia="Consolas" w:hAnsi="Consolas"/>
          <w:sz w:val="15"/>
          <w:szCs w:val="15"/>
        </w:rPr>
        <w:t xml:space="preserve">        M = SHA3-384( boot_chain || firmware_hash || runtime_hash || manifest_hash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3. Sentinel derives the weight decryption key by unwrapping a key-encryption key</w:t>
      </w:r>
    </w:p>
    <w:p>
      <w:pPr>
        <w:shd w:fill="EEF3F6" w:val="clear"/>
        <w:spacing w:after="0" w:line="216"/>
        <w:ind w:left="120" w:right="120"/>
      </w:pPr>
      <w:r>
        <w:rPr>
          <w:rFonts w:ascii="Consolas" w:cs="Consolas" w:eastAsia="Consolas" w:hAnsi="Consolas"/>
          <w:sz w:val="15"/>
          <w:szCs w:val="15"/>
        </w:rPr>
        <w:t xml:space="preserve">     sealed to M:   K_w = KDF( PUF_key, M, manifest.nonce )</w:t>
      </w:r>
    </w:p>
    <w:p>
      <w:pPr>
        <w:shd w:fill="EEF3F6" w:val="clear"/>
        <w:spacing w:after="0" w:line="216"/>
        <w:ind w:left="120" w:right="120"/>
      </w:pPr>
      <w:r>
        <w:rPr>
          <w:rFonts w:ascii="Consolas" w:cs="Consolas" w:eastAsia="Consolas" w:hAnsi="Consolas"/>
          <w:sz w:val="15"/>
          <w:szCs w:val="15"/>
        </w:rPr>
        <w:t xml:space="preserve">     If any component of M differs from the sealing measurement, the derivation</w:t>
      </w:r>
    </w:p>
    <w:p>
      <w:pPr>
        <w:shd w:fill="EEF3F6" w:val="clear"/>
        <w:spacing w:after="0" w:line="216"/>
        <w:ind w:left="120" w:right="120"/>
      </w:pPr>
      <w:r>
        <w:rPr>
          <w:rFonts w:ascii="Consolas" w:cs="Consolas" w:eastAsia="Consolas" w:hAnsi="Consolas"/>
          <w:sz w:val="15"/>
          <w:szCs w:val="15"/>
        </w:rPr>
        <w:t xml:space="preserve">     produces a wrong key and decryption yields noise. There is no error path to</w:t>
      </w:r>
    </w:p>
    <w:p>
      <w:pPr>
        <w:shd w:fill="EEF3F6" w:val="clear"/>
        <w:spacing w:after="0" w:line="216"/>
        <w:ind w:left="120" w:right="120"/>
      </w:pPr>
      <w:r>
        <w:rPr>
          <w:rFonts w:ascii="Consolas" w:cs="Consolas" w:eastAsia="Consolas" w:hAnsi="Consolas"/>
          <w:sz w:val="15"/>
          <w:szCs w:val="15"/>
        </w:rPr>
        <w:t xml:space="preserve">     probe: a wrong measurement does not fail, it produces garbage.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4. K_w is written to the memory controllers' inline AES-XTS engines over a</w:t>
      </w:r>
    </w:p>
    <w:p>
      <w:pPr>
        <w:shd w:fill="EEF3F6" w:val="clear"/>
        <w:spacing w:after="0" w:line="216"/>
        <w:ind w:left="120" w:right="120"/>
      </w:pPr>
      <w:r>
        <w:rPr>
          <w:rFonts w:ascii="Consolas" w:cs="Consolas" w:eastAsia="Consolas" w:hAnsi="Consolas"/>
          <w:sz w:val="15"/>
          <w:szCs w:val="15"/>
        </w:rPr>
        <w:t xml:space="preserve">     dedicated key bus that is not memory-mapped and not observable by the datapath.</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 RUNTIME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5. Weight ciphertext is fetched from HBM4 or LPDDR6 and decrypted at the memory</w:t>
      </w:r>
    </w:p>
    <w:p>
      <w:pPr>
        <w:shd w:fill="EEF3F6" w:val="clear"/>
        <w:spacing w:after="0" w:line="216"/>
        <w:ind w:left="120" w:right="120"/>
      </w:pPr>
      <w:r>
        <w:rPr>
          <w:rFonts w:ascii="Consolas" w:cs="Consolas" w:eastAsia="Consolas" w:hAnsi="Consolas"/>
          <w:sz w:val="15"/>
          <w:szCs w:val="15"/>
        </w:rPr>
        <w:t xml:space="preserve">     controller, inline, at full rate. Plaintext exists only on-package.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6. Weight regions are marked NO_HOST_READ in the page table. The DMA_OUT engines</w:t>
      </w:r>
    </w:p>
    <w:p>
      <w:pPr>
        <w:shd w:fill="EEF3F6" w:val="clear"/>
        <w:spacing w:after="0" w:line="216"/>
        <w:ind w:left="120" w:right="120"/>
      </w:pPr>
      <w:r>
        <w:rPr>
          <w:rFonts w:ascii="Consolas" w:cs="Consolas" w:eastAsia="Consolas" w:hAnsi="Consolas"/>
          <w:sz w:val="15"/>
          <w:szCs w:val="15"/>
        </w:rPr>
        <w:t xml:space="preserve">     refuse a descriptor whose source falls in a weight region. There is no</w:t>
      </w:r>
    </w:p>
    <w:p>
      <w:pPr>
        <w:shd w:fill="EEF3F6" w:val="clear"/>
        <w:spacing w:after="0" w:line="216"/>
        <w:ind w:left="120" w:right="120"/>
      </w:pPr>
      <w:r>
        <w:rPr>
          <w:rFonts w:ascii="Consolas" w:cs="Consolas" w:eastAsia="Consolas" w:hAnsi="Consolas"/>
          <w:sz w:val="15"/>
          <w:szCs w:val="15"/>
        </w:rPr>
        <w:t xml:space="preserve">     architectural path by which weight bytes reach the host or the fabric.</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7. The interpretability tap (§12.6) can read activations but is hard-wired to be</w:t>
      </w:r>
    </w:p>
    <w:p>
      <w:pPr>
        <w:shd w:fill="EEF3F6" w:val="clear"/>
        <w:spacing w:after="0" w:line="216"/>
        <w:ind w:left="120" w:right="120"/>
      </w:pPr>
      <w:r>
        <w:rPr>
          <w:rFonts w:ascii="Consolas" w:cs="Consolas" w:eastAsia="Consolas" w:hAnsi="Consolas"/>
          <w:sz w:val="15"/>
          <w:szCs w:val="15"/>
        </w:rPr>
        <w:t xml:space="preserve">     unable to address weight regions, and its output rate is capped.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ON ATTESTATION REQUEST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8. Sentinel signs a quote over M, the device identity, the loaded model manifest</w:t>
      </w:r>
    </w:p>
    <w:p>
      <w:pPr>
        <w:shd w:fill="EEF3F6" w:val="clear"/>
        <w:spacing w:after="0" w:line="216"/>
        <w:ind w:left="120" w:right="120"/>
      </w:pPr>
      <w:r>
        <w:rPr>
          <w:rFonts w:ascii="Consolas" w:cs="Consolas" w:eastAsia="Consolas" w:hAnsi="Consolas"/>
          <w:sz w:val="15"/>
          <w:szCs w:val="15"/>
        </w:rPr>
        <w:t xml:space="preserve">     hash, and a caller nonce, using a device key certified at manufacture. A relying</w:t>
      </w:r>
    </w:p>
    <w:p>
      <w:pPr>
        <w:shd w:fill="EEF3F6" w:val="clear"/>
        <w:spacing w:after="0" w:line="216"/>
        <w:ind w:left="120" w:right="120"/>
      </w:pPr>
      <w:r>
        <w:rPr>
          <w:rFonts w:ascii="Consolas" w:cs="Consolas" w:eastAsia="Consolas" w:hAnsi="Consolas"/>
          <w:sz w:val="15"/>
          <w:szCs w:val="15"/>
        </w:rPr>
        <w:t xml:space="preserve">     party can verify which model is loaded on which physical part under which</w:t>
      </w:r>
    </w:p>
    <w:p>
      <w:pPr>
        <w:shd w:fill="EEF3F6" w:val="clear"/>
        <w:spacing w:after="0" w:line="216"/>
        <w:ind w:left="120" w:right="120"/>
      </w:pPr>
      <w:r>
        <w:rPr>
          <w:rFonts w:ascii="Consolas" w:cs="Consolas" w:eastAsia="Consolas" w:hAnsi="Consolas"/>
          <w:sz w:val="15"/>
          <w:szCs w:val="15"/>
        </w:rPr>
        <w:t xml:space="preserve">     firmware, without trusting the host.</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12-1. Sealed weight path.</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What this does and does not achieve</w:t>
            </w:r>
          </w:p>
          <w:p>
            <w:pPr>
              <w:spacing w:after="100" w:line="264"/>
            </w:pPr>
            <w:r>
              <w:rPr>
                <w:sz w:val="20"/>
                <w:szCs w:val="20"/>
              </w:rPr>
              <w:t xml:space="preserve">It achieves: weights that cannot be read by a host administrator, a compromised orchestrator, a cloud operator, or anyone with physical access to the module short of decapping the package and probing on-die. It achieves a cryptographic answer to "which model is running on that machine right now" that does not depend on trusting the software stack.</w:t>
            </w:r>
          </w:p>
          <w:p>
            <w:pPr>
              <w:spacing w:after="100" w:line="264"/>
            </w:pPr>
            <w:r>
              <w:rPr>
                <w:sz w:val="20"/>
                <w:szCs w:val="20"/>
              </w:rPr>
              <w:t xml:space="preserve">It does not achieve: protection against an attacker who can run arbitrary inference. Anyone who can query the model can distil it, slowly. It does not protect against side channels not enumerated in Table 12-1. It does not protect against a compromised model manifest signing key, which becomes the crown jewel and must be managed accordingly — offline, in hardware, with quorum.</w:t>
            </w:r>
          </w:p>
          <w:p>
            <w:pPr>
              <w:spacing w:after="40" w:line="264"/>
            </w:pPr>
            <w:r>
              <w:rPr>
                <w:sz w:val="20"/>
                <w:szCs w:val="20"/>
              </w:rPr>
              <w:t xml:space="preserve">The honest summary is that this raises weight exfiltration from a software problem to a hardware problem, which for a laboratory operating under graduated security commitments is a meaningful change in posture rather than a solution.</w:t>
            </w:r>
          </w:p>
        </w:tc>
      </w:tr>
    </w:tbl>
    <w:p>
      <w:pPr>
        <w:pStyle w:val="Heading2"/>
        <w:spacing w:after="120" w:before="300"/>
      </w:pPr>
      <w:r>
        <w:rPr>
          <w:rFonts w:ascii="Calibri" w:cs="Calibri" w:eastAsia="Calibri" w:hAnsi="Calibri"/>
          <w:b/>
          <w:bCs/>
          <w:color w:val="1F4E5F"/>
          <w:sz w:val="26"/>
          <w:szCs w:val="26"/>
        </w:rPr>
        <w:t xml:space="preserve">12.4  Confidential inference for tenants</w:t>
      </w:r>
    </w:p>
    <w:p>
      <w:pPr>
        <w:spacing w:after="140" w:line="276"/>
        <w:jc w:val="left"/>
      </w:pPr>
      <w:r>
        <w:rPr>
          <w:rFonts w:ascii="Calibri" w:cs="Calibri" w:eastAsia="Calibri" w:hAnsi="Calibri"/>
          <w:b w:val="false"/>
          <w:bCs w:val="false"/>
          <w:i w:val="false"/>
          <w:iCs w:val="false"/>
          <w:color w:val="000000"/>
          <w:sz w:val="21"/>
          <w:szCs w:val="21"/>
        </w:rPr>
        <w:t xml:space="preserve">The same machinery serves a second purpose. A customer running sensitive data through the model can be given an attested channel: the runtime establishes a key with the customer, sealed to a measurement that includes the runtime and model; activations and KV for that tenant are encrypted under a tenant-specific key in memory; and the customer receives a quote proving which code processed their data. Memory integrity for tenant regions is provided by a 4-ary counter-mode integrity tree with a 64-byte granule, costing approximately 3.1% of memory capacity and 4% of bandwidth on protected regions. Integrity protection is per-region and off by default for the model's own weights, where confidentiality alone suffices.</w:t>
      </w:r>
    </w:p>
    <w:p>
      <w:pPr>
        <w:pStyle w:val="Heading2"/>
        <w:spacing w:after="120" w:before="300"/>
      </w:pPr>
      <w:r>
        <w:rPr>
          <w:rFonts w:ascii="Calibri" w:cs="Calibri" w:eastAsia="Calibri" w:hAnsi="Calibri"/>
          <w:b/>
          <w:bCs/>
          <w:color w:val="1F4E5F"/>
          <w:sz w:val="26"/>
          <w:szCs w:val="26"/>
        </w:rPr>
        <w:t xml:space="preserve">12.5  Policy enforcement and the fail-safe</w:t>
      </w:r>
    </w:p>
    <w:p>
      <w:pPr>
        <w:spacing w:after="140" w:line="276"/>
        <w:jc w:val="left"/>
      </w:pPr>
      <w:r>
        <w:rPr>
          <w:rFonts w:ascii="Calibri" w:cs="Calibri" w:eastAsia="Calibri" w:hAnsi="Calibri"/>
          <w:b w:val="false"/>
          <w:bCs w:val="false"/>
          <w:i w:val="false"/>
          <w:iCs w:val="false"/>
          <w:color w:val="000000"/>
          <w:sz w:val="21"/>
          <w:szCs w:val="21"/>
        </w:rPr>
        <w:t xml:space="preserve">The Sentinel maintains an operational policy object, signed by the operator, that constrains what the package will do: which model manifests may be loaded, whether cross-tenant deduplication is permitted, whether debug is enabled, whether the interpretability tap is active and at what rate, and a validity window. The package requires a fresh signed policy within a configurable interval — the default is 24 hours — and on expiry enters a restricted mode in which it will complete in-flight work and then decline to load new models.</w:t>
      </w:r>
    </w:p>
    <w:p>
      <w:pPr>
        <w:spacing w:after="140" w:line="276"/>
        <w:jc w:val="left"/>
      </w:pPr>
      <w:r>
        <w:rPr>
          <w:rFonts w:ascii="Calibri" w:cs="Calibri" w:eastAsia="Calibri" w:hAnsi="Calibri"/>
          <w:b w:val="false"/>
          <w:bCs w:val="false"/>
          <w:i w:val="false"/>
          <w:iCs w:val="false"/>
          <w:color w:val="000000"/>
          <w:sz w:val="21"/>
          <w:szCs w:val="21"/>
        </w:rPr>
        <w:t xml:space="preserve">This is specified carefully because it is easy to design badly. It is a key-management and inventory-control mechanism: it ensures that a module removed from the fleet, or a fleet that has lost its management plane, does not silently continue serving frontier weights outside operator control. It is not a remote kill switch and it must not become one — the restricted mode completes in-flight work, does not destroy data, and is cleared by presenting a valid policy. The design explicitly rejects any mechanism that could brick a module or destroy weights remotely, on the grounds that such a mechanism is a more attractive attack target than the thing it protects.</w:t>
      </w:r>
    </w:p>
    <w:p>
      <w:pPr>
        <w:pStyle w:val="Heading2"/>
        <w:spacing w:after="120" w:before="300"/>
      </w:pPr>
      <w:r>
        <w:rPr>
          <w:rFonts w:ascii="Calibri" w:cs="Calibri" w:eastAsia="Calibri" w:hAnsi="Calibri"/>
          <w:b/>
          <w:bCs/>
          <w:color w:val="1F4E5F"/>
          <w:sz w:val="26"/>
          <w:szCs w:val="26"/>
        </w:rPr>
        <w:t xml:space="preserve">12.6  Interpretability Tap</w:t>
      </w:r>
    </w:p>
    <w:p>
      <w:pPr>
        <w:spacing w:after="140" w:line="276"/>
        <w:jc w:val="left"/>
      </w:pPr>
      <w:r>
        <w:rPr>
          <w:rFonts w:ascii="Calibri" w:cs="Calibri" w:eastAsia="Calibri" w:hAnsi="Calibri"/>
          <w:b w:val="false"/>
          <w:bCs w:val="false"/>
          <w:i w:val="false"/>
          <w:iCs w:val="false"/>
          <w:color w:val="000000"/>
          <w:sz w:val="21"/>
          <w:szCs w:val="21"/>
        </w:rPr>
        <w:t xml:space="preserve">The I-Tap is an activation capture unit, one per CTC, that snoops the Vector Complex writeback path and copies selected activations to a ring buffer in Tier 2 without perturbing the computation.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7114"/>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Property</w:t>
            </w:r>
          </w:p>
        </w:tc>
        <w:tc>
          <w:tcPr>
            <w:tcW w:type="dxa" w:w="71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Specification</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Capture points</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Post-attention output, post-FFN output, residual stream pre- and post-layer, router logits, per-head attention output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Selection granularity</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Layer (any subset of L), head (any subset of H), token (every Nth, or by a match predicate on the sampled sequence identifier)</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Format</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BF16 or MXFP8, selectable; MXFP8 halves the write bandwidth at negligible cost to most analyses</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Buffer</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Ring in Tier 2, 1–32 GB, with a hardware write pointer and a host-readable read pointer</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Rate limit</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Hard cap in the Sentinel policy, expressed as a fraction of Tier-2 write bandwidth. Default 2%. The cap is enforced in hardware and cannot be raised by the datapath.</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Perturbation</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Zero to the arithmetic. The tap reads the writeback bus; it does not stall it. Under back-pressure the tap drops samples and increments a drop counter rather than stalling the pipeline.</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Cost</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3.1 mm² per CTC, ≈ 1.4 W at the default rate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Access control</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Enabling the tap, and reading the ring, both require a Sentinel-gated capability. The tap cannot address weight regions. Its output bandwidth cap makes it useless as an exfiltration channel for anything the size of a model.</w:t>
            </w:r>
          </w:p>
        </w:tc>
      </w:tr>
    </w:tbl>
    <w:p>
      <w:pPr>
        <w:spacing w:after="220" w:before="60"/>
      </w:pPr>
      <w:r>
        <w:rPr>
          <w:i/>
          <w:iCs/>
          <w:color w:val="595959"/>
          <w:sz w:val="17"/>
          <w:szCs w:val="17"/>
        </w:rPr>
        <w:t xml:space="preserve">Table 12-2. Interpretability Tap.</w:t>
      </w:r>
    </w:p>
    <w:p>
      <w:pPr>
        <w:spacing w:after="140" w:line="276"/>
        <w:jc w:val="left"/>
      </w:pPr>
      <w:r>
        <w:rPr>
          <w:rFonts w:ascii="Calibri" w:cs="Calibri" w:eastAsia="Calibri" w:hAnsi="Calibri"/>
          <w:b w:val="false"/>
          <w:bCs w:val="false"/>
          <w:i w:val="false"/>
          <w:iCs w:val="false"/>
          <w:color w:val="000000"/>
          <w:sz w:val="21"/>
          <w:szCs w:val="21"/>
        </w:rPr>
        <w:t xml:space="preserve">The argument for spending 12.4 mm² and 5.6 W of a production part on a research feature is this: interpretability findings from a laboratory setting are always open to the objection that production models under production load may behave differently, and answering that objection currently requires either instrumenting the serving path — which perturbs it and is operationally unwelcome — or maintaining a shadow fleet. A tap that runs on 2% of production traffic at 2% of one memory tier's write bandwidth answers it directly, continuously, and at negligible cost. For an organisation whose safety case rests substantially on understanding its deployed models, this is not a luxury.</w:t>
      </w:r>
    </w:p>
    <w:p>
      <w:r>
        <w:br w:type="page"/>
      </w:r>
    </w:p>
    <w:p>
      <w:pPr>
        <w:pStyle w:val="Heading1"/>
        <w:spacing w:after="160" w:before="400"/>
      </w:pPr>
      <w:r>
        <w:rPr>
          <w:rFonts w:ascii="Calibri" w:cs="Calibri" w:eastAsia="Calibri" w:hAnsi="Calibri"/>
          <w:b/>
          <w:bCs/>
          <w:color w:val="1F4E5F"/>
          <w:sz w:val="32"/>
          <w:szCs w:val="32"/>
        </w:rPr>
        <w:t xml:space="preserve">13.  RAS, DFT and Silent Data Corruption</w:t>
      </w:r>
    </w:p>
    <w:p>
      <w:pPr>
        <w:pStyle w:val="Heading2"/>
        <w:spacing w:after="120" w:before="300"/>
      </w:pPr>
      <w:r>
        <w:rPr>
          <w:rFonts w:ascii="Calibri" w:cs="Calibri" w:eastAsia="Calibri" w:hAnsi="Calibri"/>
          <w:b/>
          <w:bCs/>
          <w:color w:val="1F4E5F"/>
          <w:sz w:val="26"/>
          <w:szCs w:val="26"/>
        </w:rPr>
        <w:t xml:space="preserve">13.1  Reliability targets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370"/>
        <w:gridCol w:w="2246"/>
        <w:gridCol w:w="3744"/>
      </w:tblGrid>
      <w:tr>
        <w:trPr>
          <w:cantSplit/>
          <w:tblHeader/>
        </w:trPr>
        <w:tc>
          <w:tcPr>
            <w:tcW w:type="dxa" w:w="337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Metric</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Target</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w:t>
            </w:r>
          </w:p>
        </w:tc>
      </w:tr>
      <w:tr>
        <w:trPr>
          <w:cantSplit/>
          <w:tblHeader w:val="false"/>
        </w:trPr>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FIT rate, package, detected errors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&lt; 400 FIT</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Excluding memory, which is counted separately</w:t>
            </w:r>
          </w:p>
        </w:tc>
      </w:tr>
      <w:tr>
        <w:trPr>
          <w:cantSplit/>
          <w:tblHeader w:val="false"/>
        </w:trPr>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Undetected error rate (SDC)</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&lt; 0.5 FIT</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number that actually matters; see §13.4</w:t>
            </w:r>
          </w:p>
        </w:tc>
      </w:tr>
      <w:tr>
        <w:trPr>
          <w:cantSplit/>
          <w:tblHeader w:val="false"/>
        </w:trPr>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Mean time between fleet-visible failures, 10,000 modules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&gt; 90 hours</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Drives the recovery architecture, not the device design</w:t>
            </w:r>
          </w:p>
        </w:tc>
      </w:tr>
      <w:tr>
        <w:trPr>
          <w:cantSplit/>
          <w:tblHeader w:val="false"/>
        </w:trPr>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Correctable memory error rate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Handled transparently, logged</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Uncorrectable memory error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Precise exception, sequence-level recovery</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 single sequence dies; the module does not</w:t>
            </w:r>
          </w:p>
        </w:tc>
      </w:tr>
      <w:tr>
        <w:trPr>
          <w:cantSplit/>
          <w:tblHeader w:val="false"/>
        </w:trPr>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Target availability per module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99.7% excluding scheduled maintenance</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Design lifetime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 years at 85 °C junction, 70% duty</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Electromigration and NBTI budgeted to this</w:t>
            </w:r>
          </w:p>
        </w:tc>
      </w:tr>
    </w:tbl>
    <w:p>
      <w:pPr>
        <w:spacing w:after="220" w:before="60"/>
      </w:pPr>
      <w:r>
        <w:rPr>
          <w:i/>
          <w:iCs/>
          <w:color w:val="595959"/>
          <w:sz w:val="17"/>
          <w:szCs w:val="17"/>
        </w:rPr>
        <w:t xml:space="preserve">Table 13-1. Reliability targets.</w:t>
      </w:r>
    </w:p>
    <w:p>
      <w:pPr>
        <w:pStyle w:val="Heading2"/>
        <w:spacing w:after="120" w:before="300"/>
      </w:pPr>
      <w:r>
        <w:rPr>
          <w:rFonts w:ascii="Calibri" w:cs="Calibri" w:eastAsia="Calibri" w:hAnsi="Calibri"/>
          <w:b/>
          <w:bCs/>
          <w:color w:val="1F4E5F"/>
          <w:sz w:val="26"/>
          <w:szCs w:val="26"/>
        </w:rPr>
        <w:t xml:space="preserve">13.2  Error detection coverage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059"/>
        <w:gridCol w:w="4493"/>
        <w:gridCol w:w="2808"/>
      </w:tblGrid>
      <w:tr>
        <w:trPr>
          <w:cantSplit/>
          <w:tblHeader/>
        </w:trPr>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Structure</w:t>
            </w:r>
          </w:p>
        </w:tc>
        <w:tc>
          <w:tcPr>
            <w:tcW w:type="dxa" w:w="449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Protection</w:t>
            </w:r>
          </w:p>
        </w:tc>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Coverage</w:t>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RTS SRAM</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SECDED on 64-bit granule + background scrub every 4 s</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Single-bit corrected, double-bit detected</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Tile-local SRAM</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SECDED</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As above</w:t>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Accumulators</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Parity per FP27 word</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Detect only; triggers macro-op replay</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Register and descriptor files</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SECDED</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MAC array datapath</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Residue-3 checking on the multiply, per column</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Detects ~89% of single-cell faults at 2.1% area overhead</w:t>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NoC links</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CRC-32 per flit, with retry</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SoIC lanes</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CRC-16 per 64-byte block, with lane-level retry and remap</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HBM4</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On-die ECC + link CRC with retry + host-side ECC over the encrypted payload</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LPDDR6</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Inline ECC 128+16 + link CRC</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SerDes</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RS-FEC(544,514) + CRC</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Page tables</w:t>
            </w:r>
          </w:p>
        </w:tc>
        <w:tc>
          <w:tcPr>
            <w:tcW w:type="dxa" w:w="449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SECDED + a hardware consistency checker that validates refcount invariants during scrub</w:t>
            </w:r>
          </w:p>
        </w:tc>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Sentinel state</w:t>
            </w:r>
          </w:p>
        </w:tc>
        <w:tc>
          <w:tcPr>
            <w:tcW w:type="dxa" w:w="449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TMR on key registers, parity elsewhere</w:t>
            </w:r>
          </w:p>
        </w:tc>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bl>
    <w:p>
      <w:pPr>
        <w:spacing w:after="220" w:before="60"/>
      </w:pPr>
      <w:r>
        <w:rPr>
          <w:i/>
          <w:iCs/>
          <w:color w:val="595959"/>
          <w:sz w:val="17"/>
          <w:szCs w:val="17"/>
        </w:rPr>
        <w:t xml:space="preserve">Table 13-2. Error detection and correction coverage.</w:t>
      </w:r>
    </w:p>
    <w:p>
      <w:pPr>
        <w:pStyle w:val="Heading2"/>
        <w:spacing w:after="120" w:before="300"/>
      </w:pPr>
      <w:r>
        <w:rPr>
          <w:rFonts w:ascii="Calibri" w:cs="Calibri" w:eastAsia="Calibri" w:hAnsi="Calibri"/>
          <w:b/>
          <w:bCs/>
          <w:color w:val="1F4E5F"/>
          <w:sz w:val="26"/>
          <w:szCs w:val="26"/>
        </w:rPr>
        <w:t xml:space="preserve">13.3  Recovery model</w:t>
      </w:r>
    </w:p>
    <w:p>
      <w:pPr>
        <w:spacing w:after="140" w:line="276"/>
        <w:jc w:val="left"/>
      </w:pPr>
      <w:r>
        <w:rPr>
          <w:rFonts w:ascii="Calibri" w:cs="Calibri" w:eastAsia="Calibri" w:hAnsi="Calibri"/>
          <w:b w:val="false"/>
          <w:bCs w:val="false"/>
          <w:i w:val="false"/>
          <w:iCs w:val="false"/>
          <w:color w:val="000000"/>
          <w:sz w:val="21"/>
          <w:szCs w:val="21"/>
        </w:rPr>
        <w:t xml:space="preserve">Errors are handled at the smallest scope that suffices:</w:t>
      </w:r>
    </w:p>
    <w:p>
      <w:pPr>
        <w:pStyle w:val="ListParagraph"/>
        <w:numPr>
          <w:ilvl w:val="0"/>
          <w:numId w:val="3"/>
        </w:numPr>
        <w:spacing w:after="60" w:line="264"/>
      </w:pPr>
      <w:r>
        <w:rPr>
          <w:rFonts w:ascii="Calibri" w:cs="Calibri" w:eastAsia="Calibri" w:hAnsi="Calibri"/>
          <w:b/>
          <w:bCs/>
          <w:i w:val="false"/>
          <w:iCs w:val="false"/>
          <w:sz w:val="21"/>
          <w:szCs w:val="21"/>
        </w:rPr>
        <w:t xml:space="preserve">Corrected error: </w:t>
      </w:r>
      <w:r>
        <w:rPr>
          <w:rFonts w:ascii="Calibri" w:cs="Calibri" w:eastAsia="Calibri" w:hAnsi="Calibri"/>
          <w:b w:val="false"/>
          <w:bCs w:val="false"/>
          <w:i w:val="false"/>
          <w:iCs w:val="false"/>
          <w:sz w:val="21"/>
          <w:szCs w:val="21"/>
        </w:rPr>
        <w:t xml:space="preserve">logged, counted, no action. A rising rate on a structure triggers a predictive-failure notification.</w:t>
      </w:r>
    </w:p>
    <w:p>
      <w:pPr>
        <w:pStyle w:val="ListParagraph"/>
        <w:numPr>
          <w:ilvl w:val="0"/>
          <w:numId w:val="3"/>
        </w:numPr>
        <w:spacing w:after="60" w:line="264"/>
      </w:pPr>
      <w:r>
        <w:rPr>
          <w:rFonts w:ascii="Calibri" w:cs="Calibri" w:eastAsia="Calibri" w:hAnsi="Calibri"/>
          <w:b w:val="false"/>
          <w:bCs w:val="false"/>
          <w:i/>
          <w:iCs/>
          <w:sz w:val="21"/>
          <w:szCs w:val="21"/>
        </w:rPr>
        <w:t xml:space="preserve">Detected uncorrected error in a transient structure </w:t>
      </w:r>
      <w:r>
        <w:rPr>
          <w:rFonts w:ascii="Calibri" w:cs="Calibri" w:eastAsia="Calibri" w:hAnsi="Calibri"/>
          <w:b w:val="false"/>
          <w:bCs w:val="false"/>
          <w:i w:val="false"/>
          <w:iCs w:val="false"/>
          <w:sz w:val="21"/>
          <w:szCs w:val="21"/>
        </w:rPr>
        <w:t xml:space="preserve">(accumulator parity, link CRC exhaustion): the macro-op is replayed from its checkpoint. Macro-op replay is possible because operands are descriptor-addressed and immutable during execution. Cost: one macro-op, typically under 500 µs.</w:t>
      </w:r>
    </w:p>
    <w:p>
      <w:pPr>
        <w:pStyle w:val="ListParagraph"/>
        <w:numPr>
          <w:ilvl w:val="0"/>
          <w:numId w:val="3"/>
        </w:numPr>
        <w:spacing w:after="60" w:line="264"/>
      </w:pPr>
      <w:r>
        <w:rPr>
          <w:rFonts w:ascii="Calibri" w:cs="Calibri" w:eastAsia="Calibri" w:hAnsi="Calibri"/>
          <w:b w:val="false"/>
          <w:bCs w:val="false"/>
          <w:i/>
          <w:iCs/>
          <w:sz w:val="21"/>
          <w:szCs w:val="21"/>
        </w:rPr>
        <w:t xml:space="preserve">Detected uncorrected error in sequence state </w:t>
      </w:r>
      <w:r>
        <w:rPr>
          <w:rFonts w:ascii="Calibri" w:cs="Calibri" w:eastAsia="Calibri" w:hAnsi="Calibri"/>
          <w:b w:val="false"/>
          <w:bCs w:val="false"/>
          <w:i w:val="false"/>
          <w:iCs w:val="false"/>
          <w:sz w:val="21"/>
          <w:szCs w:val="21"/>
        </w:rPr>
        <w:t xml:space="preserve">(a KV page with a double-bit error): the sequence is terminated with a precise fault and the serving layer re-runs it from the last checkpoint. Cost: one request.</w:t>
      </w:r>
    </w:p>
    <w:p>
      <w:pPr>
        <w:pStyle w:val="ListParagraph"/>
        <w:numPr>
          <w:ilvl w:val="0"/>
          <w:numId w:val="3"/>
        </w:numPr>
        <w:spacing w:after="60" w:line="264"/>
      </w:pPr>
      <w:r>
        <w:rPr>
          <w:rFonts w:ascii="Calibri" w:cs="Calibri" w:eastAsia="Calibri" w:hAnsi="Calibri"/>
          <w:b/>
          <w:bCs/>
          <w:i w:val="false"/>
          <w:iCs w:val="false"/>
          <w:sz w:val="21"/>
          <w:szCs w:val="21"/>
        </w:rPr>
        <w:t xml:space="preserve">Persistent fault in a tile: </w:t>
      </w:r>
      <w:r>
        <w:rPr>
          <w:rFonts w:ascii="Calibri" w:cs="Calibri" w:eastAsia="Calibri" w:hAnsi="Calibri"/>
          <w:b w:val="false"/>
          <w:bCs w:val="false"/>
          <w:i w:val="false"/>
          <w:iCs w:val="false"/>
          <w:sz w:val="21"/>
          <w:szCs w:val="21"/>
        </w:rPr>
        <w:t xml:space="preserve">the tile is fenced by the Sentinel, the tile group runs at reduced width, and the module is flagged for scheduled replacement. It continues serving.</w:t>
      </w:r>
    </w:p>
    <w:p>
      <w:pPr>
        <w:pStyle w:val="ListParagraph"/>
        <w:numPr>
          <w:ilvl w:val="0"/>
          <w:numId w:val="3"/>
        </w:numPr>
        <w:spacing w:after="60" w:line="264"/>
      </w:pPr>
      <w:r>
        <w:rPr>
          <w:rFonts w:ascii="Calibri" w:cs="Calibri" w:eastAsia="Calibri" w:hAnsi="Calibri"/>
          <w:b/>
          <w:bCs/>
          <w:i w:val="false"/>
          <w:iCs w:val="false"/>
          <w:sz w:val="21"/>
          <w:szCs w:val="21"/>
        </w:rPr>
        <w:t xml:space="preserve">Fault in a memory controller or PHY: </w:t>
      </w:r>
      <w:r>
        <w:rPr>
          <w:rFonts w:ascii="Calibri" w:cs="Calibri" w:eastAsia="Calibri" w:hAnsi="Calibri"/>
          <w:b w:val="false"/>
          <w:bCs w:val="false"/>
          <w:i w:val="false"/>
          <w:iCs w:val="false"/>
          <w:sz w:val="21"/>
          <w:szCs w:val="21"/>
        </w:rPr>
        <w:t xml:space="preserve">the affected stack or channel is mapped out. Capacity and bandwidth drop; the module continues at reduced rate.</w:t>
      </w:r>
    </w:p>
    <w:p>
      <w:pPr>
        <w:pStyle w:val="ListParagraph"/>
        <w:numPr>
          <w:ilvl w:val="0"/>
          <w:numId w:val="3"/>
        </w:numPr>
        <w:spacing w:after="60" w:line="264"/>
      </w:pPr>
      <w:r>
        <w:rPr>
          <w:rFonts w:ascii="Calibri" w:cs="Calibri" w:eastAsia="Calibri" w:hAnsi="Calibri"/>
          <w:b/>
          <w:bCs/>
          <w:i w:val="false"/>
          <w:iCs w:val="false"/>
          <w:sz w:val="21"/>
          <w:szCs w:val="21"/>
        </w:rPr>
        <w:t xml:space="preserve">Sentinel divergence or integrity failure: </w:t>
      </w:r>
      <w:r>
        <w:rPr>
          <w:rFonts w:ascii="Calibri" w:cs="Calibri" w:eastAsia="Calibri" w:hAnsi="Calibri"/>
          <w:b w:val="false"/>
          <w:bCs w:val="false"/>
          <w:i w:val="false"/>
          <w:iCs w:val="false"/>
          <w:sz w:val="21"/>
          <w:szCs w:val="21"/>
        </w:rPr>
        <w:t xml:space="preserve">the package halts. This is the only failure that takes a module out immediately, and it is deliberate.</w:t>
      </w:r>
    </w:p>
    <w:p>
      <w:pPr>
        <w:pStyle w:val="Heading2"/>
        <w:spacing w:after="120" w:before="300"/>
      </w:pPr>
      <w:r>
        <w:rPr>
          <w:rFonts w:ascii="Calibri" w:cs="Calibri" w:eastAsia="Calibri" w:hAnsi="Calibri"/>
          <w:b/>
          <w:bCs/>
          <w:color w:val="1F4E5F"/>
          <w:sz w:val="26"/>
          <w:szCs w:val="26"/>
        </w:rPr>
        <w:t xml:space="preserve">13.4  Silent data corruption</w:t>
      </w:r>
    </w:p>
    <w:p>
      <w:pPr>
        <w:spacing w:after="140" w:line="276"/>
        <w:jc w:val="left"/>
      </w:pPr>
      <w:r>
        <w:rPr>
          <w:rFonts w:ascii="Calibri" w:cs="Calibri" w:eastAsia="Calibri" w:hAnsi="Calibri"/>
          <w:b w:val="false"/>
          <w:bCs w:val="false"/>
          <w:i w:val="false"/>
          <w:iCs w:val="false"/>
          <w:color w:val="000000"/>
          <w:sz w:val="21"/>
          <w:szCs w:val="21"/>
        </w:rPr>
        <w:t xml:space="preserve">At fleet scale, the dominant reliability concern is not detected failure but silent corruption: a MAC cell that computes wrongly for a narrow range of operands, a marginal SoIC bond that fails only at temperature, a sense amplifier that reads incorrectly one time in 10¹². Published operator experience at hyperscale has established that these are common enough to matter and that they are extraordinarily difficult to find. A model that produces subtly wrong tokens is worse than one that crashes.</w:t>
      </w:r>
    </w:p>
    <w:p>
      <w:pPr>
        <w:spacing w:after="140" w:line="276"/>
        <w:jc w:val="left"/>
      </w:pPr>
      <w:r>
        <w:rPr>
          <w:rFonts w:ascii="Calibri" w:cs="Calibri" w:eastAsia="Calibri" w:hAnsi="Calibri"/>
          <w:b w:val="false"/>
          <w:bCs w:val="false"/>
          <w:i w:val="false"/>
          <w:iCs w:val="false"/>
          <w:color w:val="000000"/>
          <w:sz w:val="21"/>
          <w:szCs w:val="21"/>
        </w:rPr>
        <w:t xml:space="preserve">SC-1 addresses this with three layers:</w:t>
      </w:r>
    </w:p>
    <w:p>
      <w:pPr>
        <w:pStyle w:val="ListParagraph"/>
        <w:numPr>
          <w:ilvl w:val="0"/>
          <w:numId w:val="2"/>
        </w:numPr>
        <w:spacing w:after="60" w:line="264"/>
      </w:pPr>
      <w:r>
        <w:rPr>
          <w:rFonts w:ascii="Calibri" w:cs="Calibri" w:eastAsia="Calibri" w:hAnsi="Calibri"/>
          <w:b/>
          <w:bCs/>
          <w:i w:val="false"/>
          <w:iCs w:val="false"/>
          <w:sz w:val="21"/>
          <w:szCs w:val="21"/>
        </w:rPr>
        <w:t xml:space="preserve">Residue checking in the array. </w:t>
      </w:r>
      <w:r>
        <w:rPr>
          <w:rFonts w:ascii="Calibri" w:cs="Calibri" w:eastAsia="Calibri" w:hAnsi="Calibri"/>
          <w:b w:val="false"/>
          <w:bCs w:val="false"/>
          <w:i w:val="false"/>
          <w:iCs w:val="false"/>
          <w:sz w:val="21"/>
          <w:szCs w:val="21"/>
        </w:rPr>
        <w:t xml:space="preserve">Each column of the MAC array carries a residue-3 checksum computed in parallel with the multiply and compared at the column output. This catches the majority of single-cell arithmetic faults at 2.1% area. It does not catch faults in the checker itself or correlated faults, which is why it is not the only layer.</w:t>
      </w:r>
    </w:p>
    <w:p>
      <w:pPr>
        <w:pStyle w:val="ListParagraph"/>
        <w:numPr>
          <w:ilvl w:val="0"/>
          <w:numId w:val="2"/>
        </w:numPr>
        <w:spacing w:after="60" w:line="264"/>
      </w:pPr>
      <w:r>
        <w:rPr>
          <w:rFonts w:ascii="Calibri" w:cs="Calibri" w:eastAsia="Calibri" w:hAnsi="Calibri"/>
          <w:b/>
          <w:bCs/>
          <w:i w:val="false"/>
          <w:iCs w:val="false"/>
          <w:sz w:val="21"/>
          <w:szCs w:val="21"/>
        </w:rPr>
        <w:t xml:space="preserve">Sampled redundant recomputation. </w:t>
      </w:r>
      <w:r>
        <w:rPr>
          <w:rFonts w:ascii="Calibri" w:cs="Calibri" w:eastAsia="Calibri" w:hAnsi="Calibri"/>
          <w:b w:val="false"/>
          <w:bCs w:val="false"/>
          <w:i w:val="false"/>
          <w:iCs w:val="false"/>
          <w:sz w:val="21"/>
          <w:szCs w:val="21"/>
        </w:rPr>
        <w:t xml:space="preserve">The SDC Sentinel unit re-executes a randomly selected 0.2% of TMMA macro-ops on a different tile and compares results bit-exactly. A mismatch identifies the faulty tile within a few samples. The cost is 0.2% of throughput and roughly 4 mm² of control. At 0.2% sampling and typical macro-op rates, a tile with a fault affecting one operand pattern in 10⁶ is detected within approximately 40 minutes of production traffic.</w:t>
      </w:r>
    </w:p>
    <w:p>
      <w:pPr>
        <w:pStyle w:val="ListParagraph"/>
        <w:numPr>
          <w:ilvl w:val="0"/>
          <w:numId w:val="2"/>
        </w:numPr>
        <w:spacing w:after="60" w:line="264"/>
      </w:pPr>
      <w:r>
        <w:rPr>
          <w:rFonts w:ascii="Calibri" w:cs="Calibri" w:eastAsia="Calibri" w:hAnsi="Calibri"/>
          <w:b/>
          <w:bCs/>
          <w:i w:val="false"/>
          <w:iCs w:val="false"/>
          <w:sz w:val="21"/>
          <w:szCs w:val="21"/>
        </w:rPr>
        <w:t xml:space="preserve">Periodic full-tile self-test. </w:t>
      </w:r>
      <w:r>
        <w:rPr>
          <w:rFonts w:ascii="Calibri" w:cs="Calibri" w:eastAsia="Calibri" w:hAnsi="Calibri"/>
          <w:b w:val="false"/>
          <w:bCs w:val="false"/>
          <w:i w:val="false"/>
          <w:iCs w:val="false"/>
          <w:sz w:val="21"/>
          <w:szCs w:val="21"/>
        </w:rPr>
        <w:t xml:space="preserve">During any idle window longer than 200 µs, tiles run an LBIST pattern set that exercises the array at speed and compares against a golden signature. Over a day, every tile is fully tested many times. This catches degradation-driven faults that a functional workload might not exercise.</w:t>
      </w:r>
    </w:p>
    <w:p>
      <w:pPr>
        <w:pStyle w:val="Heading2"/>
        <w:spacing w:after="120" w:before="300"/>
      </w:pPr>
      <w:r>
        <w:rPr>
          <w:rFonts w:ascii="Calibri" w:cs="Calibri" w:eastAsia="Calibri" w:hAnsi="Calibri"/>
          <w:b/>
          <w:bCs/>
          <w:color w:val="1F4E5F"/>
          <w:sz w:val="26"/>
          <w:szCs w:val="26"/>
        </w:rPr>
        <w:t xml:space="preserve">13.5  Design for test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7488"/>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Feature</w:t>
            </w:r>
          </w:p>
        </w:tc>
        <w:tc>
          <w:tcPr>
            <w:tcW w:type="dxa" w:w="748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Specification</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Scan</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scan, 64 chains per CTC, 96 per MHC, with on-chip compression at 100:1</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MBIST</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Every SRAM instance, with programmable algorithms (March C-, checkerboard, retention) and built-in repair via redundant rows and columns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LBIST</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Logic BIST on the MAC arrays and the attention datapath, with golden signature comparison; used both at test and in the field (§13.4)</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IJTAG</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IEEE 1687 network for instrument access, with the network gated by the Sentinel secure debug controller</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Known-good-die test</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functional and at-speed structural test of every CTC and MHC before SoIC bonding. This is not optional: bonding a bad die scraps a good one, and the economics of the chiplet partition depend on it. §16.4</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Post-bond test</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At-speed exercise of every SoIC lane, with lane repair applied before the stack enters the CoWoS flow</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Boundary scan</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IEEE 1149.1 and 1149.6 on all off-package interfaces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Test time budget</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190 s per CTC, 260 s per MHC, 340 s per assembled package</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Test cost budget</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$118 per package (Section 17.1)</w:t>
            </w:r>
          </w:p>
        </w:tc>
      </w:tr>
    </w:tbl>
    <w:p>
      <w:pPr>
        <w:spacing w:after="220" w:before="60"/>
      </w:pPr>
      <w:r>
        <w:rPr>
          <w:i/>
          <w:iCs/>
          <w:color w:val="595959"/>
          <w:sz w:val="17"/>
          <w:szCs w:val="17"/>
        </w:rPr>
        <w:t xml:space="preserve">Table 13-3. DFT architecture.</w:t>
      </w:r>
    </w:p>
    <w:p>
      <w:pPr>
        <w:pStyle w:val="Heading2"/>
        <w:spacing w:after="120" w:before="300"/>
      </w:pPr>
      <w:r>
        <w:rPr>
          <w:rFonts w:ascii="Calibri" w:cs="Calibri" w:eastAsia="Calibri" w:hAnsi="Calibri"/>
          <w:b/>
          <w:bCs/>
          <w:color w:val="1F4E5F"/>
          <w:sz w:val="26"/>
          <w:szCs w:val="26"/>
        </w:rPr>
        <w:t xml:space="preserve">13.6  Harvest binning</w:t>
      </w:r>
    </w:p>
    <w:p>
      <w:pPr>
        <w:spacing w:after="140" w:line="276"/>
        <w:jc w:val="left"/>
      </w:pPr>
      <w:r>
        <w:rPr>
          <w:rFonts w:ascii="Calibri" w:cs="Calibri" w:eastAsia="Calibri" w:hAnsi="Calibri"/>
          <w:b w:val="false"/>
          <w:bCs w:val="false"/>
          <w:i w:val="false"/>
          <w:iCs w:val="false"/>
          <w:color w:val="000000"/>
          <w:sz w:val="21"/>
          <w:szCs w:val="21"/>
        </w:rPr>
        <w:t xml:space="preserve">A CTC with a defect confined to one Tensor Tile is not scrap. The design supports a seven-tile configuration, disabled by fuse, and a corresponding SKU. Similarly, an MHC with a defective SRAM bank beyond repair capacity, or a defective SerDes group, can be binned to a reduced-capability part.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6"/>
        <w:gridCol w:w="2995"/>
        <w:gridCol w:w="1310"/>
        <w:gridCol w:w="2621"/>
        <w:gridCol w:w="1498"/>
      </w:tblGrid>
      <w:tr>
        <w:trPr>
          <w:cantSplit/>
          <w:tblHeader/>
        </w:trPr>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SKU</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Configuration</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Peak MXFP4</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Recovered from</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Estimated share of production</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SC-1</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 × 8 tiles, 4 HBM stacks, 512 GB Tier 2, 64 SerDes lanes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12.6 PFLOPS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Fully good dies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~72%</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SC-1H</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 × 7 tiles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11.0 PFLOPS</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One or more CTCs with a single-tile defect</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~19%</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SC-1B</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 × 8 tiles, 32 SerDes lanes, 256 GB Tier 2</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12.6 PFLOPS</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MHC with a defective SerDes quadrant. Sold into batch/offline serving where fabric bandwidth is not binding.</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Scrap</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Multi-tile defects, MHC memory-controller defects, bond failures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w:t>
            </w:r>
          </w:p>
        </w:tc>
      </w:tr>
    </w:tbl>
    <w:p>
      <w:pPr>
        <w:spacing w:after="220" w:before="60"/>
      </w:pPr>
      <w:r>
        <w:rPr>
          <w:i/>
          <w:iCs/>
          <w:color w:val="595959"/>
          <w:sz w:val="17"/>
          <w:szCs w:val="17"/>
        </w:rPr>
        <w:t xml:space="preserve">Table 13-4. SKU harvest plan. Shares are Tier C, derived in Appendix D.6.</w:t>
      </w:r>
    </w:p>
    <w:p>
      <w:pPr>
        <w:spacing w:after="140" w:line="276"/>
        <w:jc w:val="left"/>
      </w:pPr>
      <w:r>
        <w:rPr>
          <w:rFonts w:ascii="Calibri" w:cs="Calibri" w:eastAsia="Calibri" w:hAnsi="Calibri"/>
          <w:b w:val="false"/>
          <w:bCs w:val="false"/>
          <w:i w:val="false"/>
          <w:iCs w:val="false"/>
          <w:color w:val="000000"/>
          <w:sz w:val="21"/>
          <w:szCs w:val="21"/>
        </w:rPr>
        <w:t xml:space="preserve">The SC-1B SKU deserves a note, because it illustrates the value of the partition. A batch or offline serving workload — the kind that accepts a long latency budget in exchange for a lower price — runs at low scale-up parallelism and does not need 64 lanes of fabric. A part whose fabric is half-dead is therefore not degraded for that workload at all. On a monolithic design the same defect would be scrap.</w:t>
      </w:r>
    </w:p>
    <w:p>
      <w:r>
        <w:br w:type="page"/>
      </w:r>
    </w:p>
    <w:p>
      <w:pPr>
        <w:pStyle w:val="Heading1"/>
        <w:spacing w:after="160" w:before="400"/>
      </w:pPr>
      <w:r>
        <w:rPr>
          <w:rFonts w:ascii="Calibri" w:cs="Calibri" w:eastAsia="Calibri" w:hAnsi="Calibri"/>
          <w:b/>
          <w:bCs/>
          <w:color w:val="1F4E5F"/>
          <w:sz w:val="32"/>
          <w:szCs w:val="32"/>
        </w:rPr>
        <w:t xml:space="preserve">14.  Physical Implementation and Packaging</w:t>
      </w:r>
    </w:p>
    <w:p>
      <w:pPr>
        <w:pStyle w:val="Heading2"/>
        <w:spacing w:after="120" w:before="300"/>
      </w:pPr>
      <w:r>
        <w:rPr>
          <w:rFonts w:ascii="Calibri" w:cs="Calibri" w:eastAsia="Calibri" w:hAnsi="Calibri"/>
          <w:b/>
          <w:bCs/>
          <w:color w:val="1F4E5F"/>
          <w:sz w:val="26"/>
          <w:szCs w:val="26"/>
        </w:rPr>
        <w:t xml:space="preserve">14.1  Node selection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310"/>
        <w:gridCol w:w="1498"/>
        <w:gridCol w:w="4867"/>
        <w:gridCol w:w="1685"/>
      </w:tblGrid>
      <w:tr>
        <w:trPr>
          <w:cantSplit/>
          <w:tblHeader/>
        </w:trPr>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Die</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Node</w:t>
            </w:r>
          </w:p>
        </w:tc>
        <w:tc>
          <w:tcPr>
            <w:tcW w:type="dxa" w:w="486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Why</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Wafer cost (2028 est.)</w:t>
            </w:r>
          </w:p>
        </w:tc>
      </w:tr>
      <w:tr>
        <w:trPr>
          <w:cantSplit/>
          <w:tblHeader w:val="false"/>
        </w:trPr>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CTC</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N2P</w:t>
            </w:r>
          </w:p>
        </w:tc>
        <w:tc>
          <w:tcPr>
            <w:tcW w:type="dxa" w:w="486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Dense logic that scales; nanosheet GAA gives the drive current for a 0.62 V array; backside power delivery removes the IR-drop constraint that would otherwise limit array size</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$31,000</w:t>
            </w:r>
          </w:p>
        </w:tc>
      </w:tr>
      <w:tr>
        <w:trPr>
          <w:cantSplit/>
          <w:tblHeader w:val="false"/>
        </w:trPr>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N6</w:t>
            </w:r>
          </w:p>
        </w:tc>
        <w:tc>
          <w:tcPr>
            <w:tcW w:type="dxa" w:w="486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SRAM has effectively stopped scaling; PHYs never scaled; N6 is DUV-dominant, mature, high-yielding, and roughly half the wafer price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$9,800</w:t>
            </w:r>
          </w:p>
        </w:tc>
      </w:tr>
      <w:tr>
        <w:trPr>
          <w:cantSplit/>
          <w:tblHeader w:val="false"/>
        </w:trPr>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HBM4 base die</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Vendor 4 nm-class</w:t>
            </w:r>
          </w:p>
        </w:tc>
        <w:tc>
          <w:tcPr>
            <w:tcW w:type="dxa" w:w="486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Supplied with the stack</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n/a</w:t>
            </w:r>
          </w:p>
        </w:tc>
      </w:tr>
      <w:tr>
        <w:trPr>
          <w:cantSplit/>
          <w:tblHeader w:val="false"/>
        </w:trPr>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Structural / thermal dummies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Reclaimed 300 mm test wafers</w:t>
            </w:r>
          </w:p>
        </w:tc>
        <w:tc>
          <w:tcPr>
            <w:tcW w:type="dxa" w:w="486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Mechanically identical, electrically inert; see §15.4</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$180 equivalent</w:t>
            </w:r>
          </w:p>
        </w:tc>
      </w:tr>
    </w:tbl>
    <w:p>
      <w:pPr>
        <w:spacing w:after="220" w:before="60"/>
      </w:pPr>
      <w:r>
        <w:rPr>
          <w:i/>
          <w:iCs/>
          <w:color w:val="595959"/>
          <w:sz w:val="17"/>
          <w:szCs w:val="17"/>
        </w:rPr>
        <w:t xml:space="preserve">Table 14-1. Node assignment.</w:t>
      </w:r>
    </w:p>
    <w:p>
      <w:pPr>
        <w:spacing w:after="140" w:line="276"/>
        <w:jc w:val="left"/>
      </w:pPr>
      <w:r>
        <w:rPr>
          <w:rFonts w:ascii="Calibri" w:cs="Calibri" w:eastAsia="Calibri" w:hAnsi="Calibri"/>
          <w:b w:val="false"/>
          <w:bCs w:val="false"/>
          <w:i w:val="false"/>
          <w:iCs w:val="false"/>
          <w:color w:val="000000"/>
          <w:sz w:val="21"/>
          <w:szCs w:val="21"/>
        </w:rPr>
        <w:t xml:space="preserve">Backside power delivery on the CTC is worth a paragraph. In a 256 × 256 MAC array operating at 0.62 V, the current density through the array is high and the supply must reach the centre of a 14 mm die through the same metal stack that carries the operand wiring. Front-side delivery at this scale forces a choice between wide power straps, which steal routing tracks from the operand network, and IR droop, which forces a higher nominal voltage and destroys the power efficiency that motivated the low clock in the first place. Routing power from the back of the wafer through nano-through-silicon-vias removes the conflict entirely and is the enabler for the array density in Section 6.3.</w:t>
      </w:r>
    </w:p>
    <w:p>
      <w:pPr>
        <w:spacing w:after="140" w:line="276"/>
        <w:jc w:val="left"/>
      </w:pPr>
      <w:r>
        <w:rPr>
          <w:rFonts w:ascii="Calibri" w:cs="Calibri" w:eastAsia="Calibri" w:hAnsi="Calibri"/>
          <w:b w:val="false"/>
          <w:bCs w:val="false"/>
          <w:i w:val="false"/>
          <w:iCs w:val="false"/>
          <w:color w:val="000000"/>
          <w:sz w:val="21"/>
          <w:szCs w:val="21"/>
        </w:rPr>
        <w:t xml:space="preserve">If backside power is not available on N2P at the required maturity, the fallback is N2 with front-side delivery, a 12% reduction in array density, and a nominal voltage of 0.68 V — which costs approximately 21% more dynamic power in the arrays, or 31 W across the package. This is carried as risk R-01.</w:t>
      </w:r>
    </w:p>
    <w:p>
      <w:pPr>
        <w:pStyle w:val="Heading2"/>
        <w:spacing w:after="120" w:before="300"/>
      </w:pPr>
      <w:r>
        <w:rPr>
          <w:rFonts w:ascii="Calibri" w:cs="Calibri" w:eastAsia="Calibri" w:hAnsi="Calibri"/>
          <w:b/>
          <w:bCs/>
          <w:color w:val="1F4E5F"/>
          <w:sz w:val="26"/>
          <w:szCs w:val="26"/>
        </w:rPr>
        <w:t xml:space="preserve">14.2  Partition fallback</w:t>
      </w:r>
    </w:p>
    <w:p>
      <w:pPr>
        <w:spacing w:after="140" w:line="276"/>
        <w:jc w:val="left"/>
      </w:pPr>
      <w:r>
        <w:rPr>
          <w:rFonts w:ascii="Calibri" w:cs="Calibri" w:eastAsia="Calibri" w:hAnsi="Calibri"/>
          <w:b w:val="false"/>
          <w:bCs w:val="false"/>
          <w:i w:val="false"/>
          <w:iCs w:val="false"/>
          <w:color w:val="000000"/>
          <w:sz w:val="21"/>
          <w:szCs w:val="21"/>
        </w:rPr>
        <w:t xml:space="preserve">If SoIC hybrid bonding is unavailable, uneconomic, or fails qualification, the design falls back to a 2.5D-only partition: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3557"/>
        <w:gridCol w:w="3557"/>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
            </w:r>
          </w:p>
        </w:tc>
        <w:tc>
          <w:tcPr>
            <w:tcW w:type="dxa" w:w="355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Baseline (SoIC 3D)</w:t>
            </w:r>
          </w:p>
        </w:tc>
        <w:tc>
          <w:tcPr>
            <w:tcW w:type="dxa" w:w="355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Fallback (2.5D only)</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CTC area</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210 mm²</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268 mm² (adds 128 MB SRAM)</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 area</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 mm²</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318 mm² (SRAM reduced to 128 MB)</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D2D interface</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SoIC, 0.06 pJ/bit, 6.0 TB/s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UCIe-A on CoWoS-L bridge, 0.4 pJ/bit, 4.2 TB/s</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D2D power</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11.6 W total</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39.7 W total</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D2D latency</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 ns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 ns</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silicon cost</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$774</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$961</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Package power</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850 W</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878 W</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Modelled throughput impact</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baseline</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−6.5% (attention prefetch depth limited)</w:t>
            </w:r>
          </w:p>
        </w:tc>
      </w:tr>
    </w:tbl>
    <w:p>
      <w:pPr>
        <w:spacing w:after="220" w:before="60"/>
      </w:pPr>
      <w:r>
        <w:rPr>
          <w:i/>
          <w:iCs/>
          <w:color w:val="595959"/>
          <w:sz w:val="17"/>
          <w:szCs w:val="17"/>
        </w:rPr>
        <w:t xml:space="preserve">Table 14-2. Baseline partition and its fallback. The fallback is viable; it costs $187 per package and 28 W.</w:t>
      </w:r>
    </w:p>
    <w:p>
      <w:pPr>
        <w:pStyle w:val="Heading2"/>
        <w:spacing w:after="120" w:before="300"/>
      </w:pPr>
      <w:r>
        <w:rPr>
          <w:rFonts w:ascii="Calibri" w:cs="Calibri" w:eastAsia="Calibri" w:hAnsi="Calibri"/>
          <w:b/>
          <w:bCs/>
          <w:color w:val="1F4E5F"/>
          <w:sz w:val="26"/>
          <w:szCs w:val="26"/>
        </w:rPr>
        <w:t xml:space="preserve">14.3  Floorplan</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CTC FLOORPLAN  14.0 × 15.0 mm                    MHC FLOORPLAN  19.0 × 20.0 mm</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            │            │ HBM4 PHY 0      │  HBM4 PHY 1      │</w:t>
      </w:r>
    </w:p>
    <w:p>
      <w:pPr>
        <w:shd w:fill="EEF3F6" w:val="clear"/>
        <w:spacing w:after="0" w:line="216"/>
        <w:ind w:left="120" w:right="120"/>
      </w:pPr>
      <w:r>
        <w:rPr>
          <w:rFonts w:ascii="Consolas" w:cs="Consolas" w:eastAsia="Consolas" w:hAnsi="Consolas"/>
          <w:sz w:val="15"/>
          <w:szCs w:val="15"/>
        </w:rPr>
        <w:t xml:space="preserve">  │ │TT0 │TT1 │TT2 │TT3 │   VECTOR   │            │ 19 × 1.8 mm     │  19 × 1.8 mm     │</w:t>
      </w:r>
    </w:p>
    <w:p>
      <w:pPr>
        <w:shd w:fill="EEF3F6" w:val="clear"/>
        <w:spacing w:after="0" w:line="216"/>
        <w:ind w:left="120" w:right="120"/>
      </w:pPr>
      <w:r>
        <w:rPr>
          <w:rFonts w:ascii="Consolas" w:cs="Consolas" w:eastAsia="Consolas" w:hAnsi="Consolas"/>
          <w:sz w:val="15"/>
          <w:szCs w:val="15"/>
        </w:rPr>
        <w:t xml:space="preserve">  │ │    │    │    │    │  COMPLEX   │            ├─────────────────┴──────────────────┤</w:t>
      </w:r>
    </w:p>
    <w:p>
      <w:pPr>
        <w:shd w:fill="EEF3F6" w:val="clear"/>
        <w:spacing w:after="0" w:line="216"/>
        <w:ind w:left="120" w:right="120"/>
      </w:pPr>
      <w:r>
        <w:rPr>
          <w:rFonts w:ascii="Consolas" w:cs="Consolas" w:eastAsia="Consolas" w:hAnsi="Consolas"/>
          <w:sz w:val="15"/>
          <w:szCs w:val="15"/>
        </w:rPr>
        <w:t xml:space="preserve">  │ │3.0 │3.0 │3.0 │3.0 │  18 mm²    │            │  RTS BANKS  B0..B15   54 mm²       │</w:t>
      </w:r>
    </w:p>
    <w:p>
      <w:pPr>
        <w:shd w:fill="EEF3F6" w:val="clear"/>
        <w:spacing w:after="0" w:line="216"/>
        <w:ind w:left="120" w:right="120"/>
      </w:pPr>
      <w:r>
        <w:rPr>
          <w:rFonts w:ascii="Consolas" w:cs="Consolas" w:eastAsia="Consolas" w:hAnsi="Consolas"/>
          <w:sz w:val="15"/>
          <w:szCs w:val="15"/>
        </w:rPr>
        <w:t xml:space="preserve">  │ │ ×  │ ×  │ ×  │ ×  │            │            │  ┌──┬──┬──┬──┬──┬──┬──┬──┐         │</w:t>
      </w:r>
    </w:p>
    <w:p>
      <w:pPr>
        <w:shd w:fill="EEF3F6" w:val="clear"/>
        <w:spacing w:after="0" w:line="216"/>
        <w:ind w:left="120" w:right="120"/>
      </w:pPr>
      <w:r>
        <w:rPr>
          <w:rFonts w:ascii="Consolas" w:cs="Consolas" w:eastAsia="Consolas" w:hAnsi="Consolas"/>
          <w:sz w:val="15"/>
          <w:szCs w:val="15"/>
        </w:rPr>
        <w:t xml:space="preserve">  │ │3.6 │3.6 │3.6 │3.6 │            │            │  └──┴──┴──┴──┴──┴──┴──┴──┘         │</w:t>
      </w:r>
    </w:p>
    <w:p>
      <w:pPr>
        <w:shd w:fill="EEF3F6" w:val="clear"/>
        <w:spacing w:after="0" w:line="216"/>
        <w:ind w:left="120" w:right="120"/>
      </w:pPr>
      <w:r>
        <w:rPr>
          <w:rFonts w:ascii="Consolas" w:cs="Consolas" w:eastAsia="Consolas" w:hAnsi="Consolas"/>
          <w:sz w:val="15"/>
          <w:szCs w:val="15"/>
        </w:rPr>
        <w:t xml:space="preserve">  │ ├────┼────┼────┼────┤────────────│            ├────────────────────────────────────┤</w:t>
      </w:r>
    </w:p>
    <w:p>
      <w:pPr>
        <w:shd w:fill="EEF3F6" w:val="clear"/>
        <w:spacing w:after="0" w:line="216"/>
        <w:ind w:left="120" w:right="120"/>
      </w:pPr>
      <w:r>
        <w:rPr>
          <w:rFonts w:ascii="Consolas" w:cs="Consolas" w:eastAsia="Consolas" w:hAnsi="Consolas"/>
          <w:sz w:val="15"/>
          <w:szCs w:val="15"/>
        </w:rPr>
        <w:t xml:space="preserve">  │ │TT4 │TT5 │TT6 │TT7 │ ATTENTION  │            │        MESH NoC  6×5   38 mm²      │</w:t>
      </w:r>
    </w:p>
    <w:p>
      <w:pPr>
        <w:shd w:fill="EEF3F6" w:val="clear"/>
        <w:spacing w:after="0" w:line="216"/>
        <w:ind w:left="120" w:right="120"/>
      </w:pPr>
      <w:r>
        <w:rPr>
          <w:rFonts w:ascii="Consolas" w:cs="Consolas" w:eastAsia="Consolas" w:hAnsi="Consolas"/>
          <w:sz w:val="15"/>
          <w:szCs w:val="15"/>
        </w:rPr>
        <w:t xml:space="preserve">  │ │    │    │    │    │  ENGINE    │            │  ┌─┬─┬─┬─┬─┬─┐                     │</w:t>
      </w:r>
    </w:p>
    <w:p>
      <w:pPr>
        <w:shd w:fill="EEF3F6" w:val="clear"/>
        <w:spacing w:after="0" w:line="216"/>
        <w:ind w:left="120" w:right="120"/>
      </w:pPr>
      <w:r>
        <w:rPr>
          <w:rFonts w:ascii="Consolas" w:cs="Consolas" w:eastAsia="Consolas" w:hAnsi="Consolas"/>
          <w:sz w:val="15"/>
          <w:szCs w:val="15"/>
        </w:rPr>
        <w:t xml:space="preserve">  │ │    │    │    │    │  22 mm²    │            │  └─┴─┴─┴─┴─┴─┘                     │</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            │   CTM    │   PCE    │  CODEC + TRU │</w:t>
      </w:r>
    </w:p>
    <w:p>
      <w:pPr>
        <w:shd w:fill="EEF3F6" w:val="clear"/>
        <w:spacing w:after="0" w:line="216"/>
        <w:ind w:left="120" w:right="120"/>
      </w:pPr>
      <w:r>
        <w:rPr>
          <w:rFonts w:ascii="Consolas" w:cs="Consolas" w:eastAsia="Consolas" w:hAnsi="Consolas"/>
          <w:sz w:val="15"/>
          <w:szCs w:val="15"/>
        </w:rPr>
        <w:t xml:space="preserve">  │ SEQ + RV64 CTRL  9 mm² │ I-TAP   │            │  14 mm²  │  16 mm²  │    22 mm²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 SoIC BOND ARRAY  2 × 18 mm² ═│            │  RTS BANKS  B16..B31   54 mm²      │</w:t>
      </w:r>
    </w:p>
    <w:p>
      <w:pPr>
        <w:shd w:fill="EEF3F6" w:val="clear"/>
        <w:spacing w:after="0" w:line="216"/>
        <w:ind w:left="120" w:right="120"/>
      </w:pPr>
      <w:r>
        <w:rPr>
          <w:rFonts w:ascii="Consolas" w:cs="Consolas" w:eastAsia="Consolas" w:hAnsi="Consolas"/>
          <w:sz w:val="15"/>
          <w:szCs w:val="15"/>
        </w:rPr>
        <w:t xml:space="preserve">  └──────────────────────────────────┘            ├────────────────────────────────────┤</w:t>
      </w:r>
    </w:p>
    <w:p>
      <w:pPr>
        <w:shd w:fill="EEF3F6" w:val="clear"/>
        <w:spacing w:after="0" w:line="216"/>
        <w:ind w:left="120" w:right="120"/>
      </w:pPr>
      <w:r>
        <w:rPr>
          <w:rFonts w:ascii="Consolas" w:cs="Consolas" w:eastAsia="Consolas" w:hAnsi="Consolas"/>
          <w:sz w:val="15"/>
          <w:szCs w:val="15"/>
        </w:rPr>
        <w:t xml:space="preserve">                                                  │ SENTINEL │ SERDES 32 × 224G  46 mm² │</w:t>
      </w:r>
    </w:p>
    <w:p>
      <w:pPr>
        <w:shd w:fill="EEF3F6" w:val="clear"/>
        <w:spacing w:after="0" w:line="216"/>
        <w:ind w:left="120" w:right="120"/>
      </w:pPr>
      <w:r>
        <w:rPr>
          <w:rFonts w:ascii="Consolas" w:cs="Consolas" w:eastAsia="Consolas" w:hAnsi="Consolas"/>
          <w:sz w:val="15"/>
          <w:szCs w:val="15"/>
        </w:rPr>
        <w:t xml:space="preserve">  Area accounting, CTC:                           │  11 mm²  │                          │</w:t>
      </w:r>
    </w:p>
    <w:p>
      <w:pPr>
        <w:shd w:fill="EEF3F6" w:val="clear"/>
        <w:spacing w:after="0" w:line="216"/>
        <w:ind w:left="120" w:right="120"/>
      </w:pPr>
      <w:r>
        <w:rPr>
          <w:rFonts w:ascii="Consolas" w:cs="Consolas" w:eastAsia="Consolas" w:hAnsi="Consolas"/>
          <w:sz w:val="15"/>
          <w:szCs w:val="15"/>
        </w:rPr>
        <w:t xml:space="preserve">    8 tiles × 10.8 mm²        = 86.4              ├──────────┴──────────────────────────┤</w:t>
      </w:r>
    </w:p>
    <w:p>
      <w:pPr>
        <w:shd w:fill="EEF3F6" w:val="clear"/>
        <w:spacing w:after="0" w:line="216"/>
        <w:ind w:left="120" w:right="120"/>
      </w:pPr>
      <w:r>
        <w:rPr>
          <w:rFonts w:ascii="Consolas" w:cs="Consolas" w:eastAsia="Consolas" w:hAnsi="Consolas"/>
          <w:sz w:val="15"/>
          <w:szCs w:val="15"/>
        </w:rPr>
        <w:t xml:space="preserve">    attention engine          = 22.0              │ LPDDR6 PHY 512-bit   │ 800GbE │PCIe │</w:t>
      </w:r>
    </w:p>
    <w:p>
      <w:pPr>
        <w:shd w:fill="EEF3F6" w:val="clear"/>
        <w:spacing w:after="0" w:line="216"/>
        <w:ind w:left="120" w:right="120"/>
      </w:pPr>
      <w:r>
        <w:rPr>
          <w:rFonts w:ascii="Consolas" w:cs="Consolas" w:eastAsia="Consolas" w:hAnsi="Consolas"/>
          <w:sz w:val="15"/>
          <w:szCs w:val="15"/>
        </w:rPr>
        <w:t xml:space="preserve">    vector complex            = 18.0              │ 41 mm²               │ 14 mm² │13mm²│</w:t>
      </w:r>
    </w:p>
    <w:p>
      <w:pPr>
        <w:shd w:fill="EEF3F6" w:val="clear"/>
        <w:spacing w:after="0" w:line="216"/>
        <w:ind w:left="120" w:right="120"/>
      </w:pPr>
      <w:r>
        <w:rPr>
          <w:rFonts w:ascii="Consolas" w:cs="Consolas" w:eastAsia="Consolas" w:hAnsi="Consolas"/>
          <w:sz w:val="15"/>
          <w:szCs w:val="15"/>
        </w:rPr>
        <w:t xml:space="preserve">    sequencer + control       =  9.0              └────────────────────────────────────┘</w:t>
      </w:r>
    </w:p>
    <w:p>
      <w:pPr>
        <w:shd w:fill="EEF3F6" w:val="clear"/>
        <w:spacing w:after="0" w:line="216"/>
        <w:ind w:left="120" w:right="120"/>
      </w:pPr>
      <w:r>
        <w:rPr>
          <w:rFonts w:ascii="Consolas" w:cs="Consolas" w:eastAsia="Consolas" w:hAnsi="Consolas"/>
          <w:sz w:val="15"/>
          <w:szCs w:val="15"/>
        </w:rPr>
        <w:t xml:space="preserve">    interpretability tap      =  3.1</w:t>
      </w:r>
    </w:p>
    <w:p>
      <w:pPr>
        <w:shd w:fill="EEF3F6" w:val="clear"/>
        <w:spacing w:after="0" w:line="216"/>
        <w:ind w:left="120" w:right="120"/>
      </w:pPr>
      <w:r>
        <w:rPr>
          <w:rFonts w:ascii="Consolas" w:cs="Consolas" w:eastAsia="Consolas" w:hAnsi="Consolas"/>
          <w:sz w:val="15"/>
          <w:szCs w:val="15"/>
        </w:rPr>
        <w:t xml:space="preserve">    SoIC bond arrays          = 36.0              Area accounting, MHC:</w:t>
      </w:r>
    </w:p>
    <w:p>
      <w:pPr>
        <w:shd w:fill="EEF3F6" w:val="clear"/>
        <w:spacing w:after="0" w:line="216"/>
        <w:ind w:left="120" w:right="120"/>
      </w:pPr>
      <w:r>
        <w:rPr>
          <w:rFonts w:ascii="Consolas" w:cs="Consolas" w:eastAsia="Consolas" w:hAnsi="Consolas"/>
          <w:sz w:val="15"/>
          <w:szCs w:val="15"/>
        </w:rPr>
        <w:t xml:space="preserve">    operand buses + shared    = 14.5                RTS 32 banks           = 108.0</w:t>
      </w:r>
    </w:p>
    <w:p>
      <w:pPr>
        <w:shd w:fill="EEF3F6" w:val="clear"/>
        <w:spacing w:after="0" w:line="216"/>
        <w:ind w:left="120" w:right="120"/>
      </w:pPr>
      <w:r>
        <w:rPr>
          <w:rFonts w:ascii="Consolas" w:cs="Consolas" w:eastAsia="Consolas" w:hAnsi="Consolas"/>
          <w:sz w:val="15"/>
          <w:szCs w:val="15"/>
        </w:rPr>
        <w:t xml:space="preserve">    PDN, clock, seal ring     = 18.0                HBM4 PHY + ctrl ×2     =  68.0</w:t>
      </w:r>
    </w:p>
    <w:p>
      <w:pPr>
        <w:shd w:fill="EEF3F6" w:val="clear"/>
        <w:spacing w:after="0" w:line="216"/>
        <w:ind w:left="120" w:right="120"/>
      </w:pPr>
      <w:r>
        <w:rPr>
          <w:rFonts w:ascii="Consolas" w:cs="Consolas" w:eastAsia="Consolas" w:hAnsi="Consolas"/>
          <w:sz w:val="15"/>
          <w:szCs w:val="15"/>
        </w:rPr>
        <w:t xml:space="preserve">                        ────────────                LPDDR6 PHY + ctrl      =  41.0</w:t>
      </w:r>
    </w:p>
    <w:p>
      <w:pPr>
        <w:shd w:fill="EEF3F6" w:val="clear"/>
        <w:spacing w:after="0" w:line="216"/>
        <w:ind w:left="120" w:right="120"/>
      </w:pPr>
      <w:r>
        <w:rPr>
          <w:rFonts w:ascii="Consolas" w:cs="Consolas" w:eastAsia="Consolas" w:hAnsi="Consolas"/>
          <w:sz w:val="15"/>
          <w:szCs w:val="15"/>
        </w:rPr>
        <w:t xml:space="preserve">    total                      207.0 mm²            SerDes                 =  46.0</w:t>
      </w:r>
    </w:p>
    <w:p>
      <w:pPr>
        <w:shd w:fill="EEF3F6" w:val="clear"/>
        <w:spacing w:after="0" w:line="216"/>
        <w:ind w:left="120" w:right="120"/>
      </w:pPr>
      <w:r>
        <w:rPr>
          <w:rFonts w:ascii="Consolas" w:cs="Consolas" w:eastAsia="Consolas" w:hAnsi="Consolas"/>
          <w:sz w:val="15"/>
          <w:szCs w:val="15"/>
        </w:rPr>
        <w:t xml:space="preserve">    die                        210.0 mm²            NoC                    =  38.0</w:t>
      </w:r>
    </w:p>
    <w:p>
      <w:pPr>
        <w:shd w:fill="EEF3F6" w:val="clear"/>
        <w:spacing w:after="0" w:line="216"/>
        <w:ind w:left="120" w:right="120"/>
      </w:pPr>
      <w:r>
        <w:rPr>
          <w:rFonts w:ascii="Consolas" w:cs="Consolas" w:eastAsia="Consolas" w:hAnsi="Consolas"/>
          <w:sz w:val="15"/>
          <w:szCs w:val="15"/>
        </w:rPr>
        <w:t xml:space="preserve">    margin                       3.0 mm²            CTM+PCE+CODEC+TRU+Sent =  63.0</w:t>
      </w:r>
    </w:p>
    <w:p>
      <w:pPr>
        <w:shd w:fill="EEF3F6" w:val="clear"/>
        <w:spacing w:after="0" w:line="216"/>
        <w:ind w:left="120" w:right="120"/>
      </w:pPr>
      <w:r>
        <w:rPr>
          <w:rFonts w:ascii="Consolas" w:cs="Consolas" w:eastAsia="Consolas" w:hAnsi="Consolas"/>
          <w:sz w:val="15"/>
          <w:szCs w:val="15"/>
        </w:rPr>
        <w:t xml:space="preserve">                                                    GbE + PCIe             =  27.0</w:t>
      </w:r>
    </w:p>
    <w:p>
      <w:pPr>
        <w:shd w:fill="EEF3F6" w:val="clear"/>
        <w:spacing w:after="0" w:line="216"/>
        <w:ind w:left="120" w:right="120"/>
      </w:pPr>
      <w:r>
        <w:rPr>
          <w:rFonts w:ascii="Consolas" w:cs="Consolas" w:eastAsia="Consolas" w:hAnsi="Consolas"/>
          <w:sz w:val="15"/>
          <w:szCs w:val="15"/>
        </w:rPr>
        <w:t xml:space="preserve">                                                    PDN, clock, seal       =  21.0</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total                   412.0 mm²</w:t>
      </w:r>
    </w:p>
    <w:p>
      <w:pPr>
        <w:shd w:fill="EEF3F6" w:val="clear"/>
        <w:spacing w:after="0" w:line="216"/>
        <w:ind w:left="120" w:right="120"/>
      </w:pPr>
      <w:r>
        <w:rPr>
          <w:rFonts w:ascii="Consolas" w:cs="Consolas" w:eastAsia="Consolas" w:hAnsi="Consolas"/>
          <w:sz w:val="15"/>
          <w:szCs w:val="15"/>
        </w:rPr>
        <w:t xml:space="preserve">                                                    die                     380.0 mm²</w:t>
      </w:r>
    </w:p>
    <w:p>
      <w:pPr>
        <w:shd w:fill="EEF3F6" w:val="clear"/>
        <w:spacing w:after="0" w:line="216"/>
        <w:ind w:left="120" w:right="120"/>
      </w:pPr>
      <w:r>
        <w:rPr>
          <w:rFonts w:ascii="Consolas" w:cs="Consolas" w:eastAsia="Consolas" w:hAnsi="Consolas"/>
          <w:sz w:val="15"/>
          <w:szCs w:val="15"/>
        </w:rPr>
        <w:t xml:space="preserve">                                                    OVER BY                  32.0 mm²</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14-1. Die floorplans, with area accounting.</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The MHC floorplan does not close</w:t>
            </w:r>
          </w:p>
          <w:p>
            <w:pPr>
              <w:spacing w:after="100" w:line="264"/>
            </w:pPr>
            <w:r>
              <w:rPr>
                <w:sz w:val="20"/>
                <w:szCs w:val="20"/>
              </w:rPr>
              <w:t xml:space="preserve">The block areas in Table 7-1 and Figure 14-1 sum to 412 mm² against a 380 mm² die. The MHC is over budget by 32 mm², or 8.4%.</w:t>
            </w:r>
          </w:p>
          <w:p>
            <w:pPr>
              <w:spacing w:after="100" w:line="264"/>
            </w:pPr>
            <w:r>
              <w:rPr>
                <w:sz w:val="20"/>
                <w:szCs w:val="20"/>
              </w:rPr>
              <w:t xml:space="preserve">This is left in the document rather than being resolved by quietly enlarging the die, because how it is resolved is a real design decision that a human should make. Three options, in the author's order of preference:</w:t>
            </w:r>
          </w:p>
          <w:p>
            <w:pPr>
              <w:spacing w:after="100" w:line="264"/>
            </w:pPr>
            <w:r>
              <w:rPr>
                <w:sz w:val="20"/>
                <w:szCs w:val="20"/>
              </w:rPr>
              <w:t xml:space="preserve">(a) Reduce RTS from 256 MB to 224 MB per MHC, recovering 13.5 mm², and reclaim the remaining 18.5 mm² by moving the PCIe complex and one Ethernet MAC to a single MHC rather than duplicating them. Cost: 448 MB total SRAM instead of 512 MB, and an asymmetry between the two MHC instances that complicates the design of a single mask set.</w:t>
            </w:r>
          </w:p>
          <w:p>
            <w:pPr>
              <w:spacing w:after="100" w:line="264"/>
            </w:pPr>
            <w:r>
              <w:rPr>
                <w:sz w:val="20"/>
                <w:szCs w:val="20"/>
              </w:rPr>
              <w:t xml:space="preserve">(b) Grow the MHC to 412 mm² (19.6 × 21.0 mm). Cost: approximately $8 per die at N6 yields, and a larger CoWoS field. This is cheap and is probably the right answer, but it pushes the package toward the 5.5-reticle CoWoS-L limit and needs an interposer-area check first.</w:t>
            </w:r>
          </w:p>
          <w:p>
            <w:pPr>
              <w:spacing w:after="100" w:line="264"/>
            </w:pPr>
            <w:r>
              <w:rPr>
                <w:sz w:val="20"/>
                <w:szCs w:val="20"/>
              </w:rPr>
              <w:t xml:space="preserve">(c) Move the SerDes to a separate small chiplet on N6, freeing 46 mm² and allowing the SerDes count to be a SKU option. Cost: a third die type, two more D2D interfaces, and assembly complexity.</w:t>
            </w:r>
          </w:p>
          <w:p>
            <w:pPr>
              <w:spacing w:after="40" w:line="264"/>
            </w:pPr>
            <w:r>
              <w:rPr>
                <w:sz w:val="20"/>
                <w:szCs w:val="20"/>
              </w:rPr>
              <w:t xml:space="preserve">The author's recommendation is (b), with (c) as the answer if the package proves interposer-limited. Work package WP-09 in Section 23 resolves it.</w:t>
            </w:r>
          </w:p>
        </w:tc>
      </w:tr>
    </w:tbl>
    <w:p>
      <w:pPr>
        <w:pStyle w:val="Heading2"/>
        <w:spacing w:after="120" w:before="300"/>
      </w:pPr>
      <w:r>
        <w:rPr>
          <w:rFonts w:ascii="Calibri" w:cs="Calibri" w:eastAsia="Calibri" w:hAnsi="Calibri"/>
          <w:b/>
          <w:bCs/>
          <w:color w:val="1F4E5F"/>
          <w:sz w:val="26"/>
          <w:szCs w:val="26"/>
        </w:rPr>
        <w:t xml:space="preserve">14.4  Power budget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3"/>
        <w:gridCol w:w="1310"/>
        <w:gridCol w:w="1123"/>
        <w:gridCol w:w="3744"/>
      </w:tblGrid>
      <w:tr>
        <w:trPr>
          <w:cantSplit/>
          <w:tblHeader/>
        </w:trPr>
        <w:tc>
          <w:tcPr>
            <w:tcW w:type="dxa" w:w="318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Domain</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Power</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Share</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Basis</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arrays (4 × 78 W)</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312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36.7%</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Activity factor 0.62 at 1.5 GHz, 0.62 V; Tier C</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attention engines (4 × 14 W)</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56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6.6%</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vector + sequencer + tap (4 × 15 W)</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60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7.1%</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leakage (4 × 3 W)</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At 85 °C junction</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SoIC interfaces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0.06 pJ/bit at 6 TB/s × 4</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 RTS SRAM (2 × 19 W)</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38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4.5%</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Dynamic plus retention</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 NoC + logic (2 × 16 W)</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32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3.8%</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HBM4 controllers + PHY (4 × 9 W)</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36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HBM4 stacks (4 × 35 W)</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140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16.5%</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C/D; the least certain line</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LPDDR6 PHY + devices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50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5.9%</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At 60% utilisation</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SerDes + Ethernet</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60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7.1%</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3.9 pJ/bit at full fabric rate</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Sentinel + always-on</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0.5%</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PCIe + miscellaneous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On-module regulation loss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30 W</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3.5%</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96.5% VRM efficiency</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Total</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850 W</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100%</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bl>
    <w:p>
      <w:pPr>
        <w:spacing w:after="220" w:before="60"/>
      </w:pPr>
      <w:r>
        <w:rPr>
          <w:i/>
          <w:iCs/>
          <w:color w:val="595959"/>
          <w:sz w:val="17"/>
          <w:szCs w:val="17"/>
        </w:rPr>
        <w:t xml:space="preserve">Table 14-3. Package power budget at the sustained operating point of Section 20.2.</w:t>
      </w:r>
    </w:p>
    <w:p>
      <w:pPr>
        <w:spacing w:after="140" w:line="276"/>
        <w:jc w:val="left"/>
      </w:pPr>
      <w:r>
        <w:rPr>
          <w:rFonts w:ascii="Calibri" w:cs="Calibri" w:eastAsia="Calibri" w:hAnsi="Calibri"/>
          <w:b w:val="false"/>
          <w:bCs w:val="false"/>
          <w:i w:val="false"/>
          <w:iCs w:val="false"/>
          <w:color w:val="000000"/>
          <w:sz w:val="21"/>
          <w:szCs w:val="21"/>
        </w:rPr>
        <w:t xml:space="preserve">Two observations. First, the compute arrays are only 37% of package power — memory and interfaces together are 44%. This is characteristic of a bandwidth-bound machine and it is why the design spends area on reducing bytes moved rather than on more arithmetic. Second, the HBM4 stack figure of 35 W each is the least reliable number in the table; published HBM3E figures run 25–35 W at lower bandwidth, and HBM4 at 9.6 GT/s will be higher. If it is 45 W, the package is at 890 W and the 950 W configurable ceiling absorbs it.</w:t>
      </w:r>
    </w:p>
    <w:p>
      <w:pPr>
        <w:pStyle w:val="Heading2"/>
        <w:spacing w:after="120" w:before="300"/>
      </w:pPr>
      <w:r>
        <w:rPr>
          <w:rFonts w:ascii="Calibri" w:cs="Calibri" w:eastAsia="Calibri" w:hAnsi="Calibri"/>
          <w:b/>
          <w:bCs/>
          <w:color w:val="1F4E5F"/>
          <w:sz w:val="26"/>
          <w:szCs w:val="26"/>
        </w:rPr>
        <w:t xml:space="preserve">14.5  Package construction</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COLD PLATE  (Cu, direct liquid, 45 °C in)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TIM1  indium-based solder TIM, 4.2 W/m·K effective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│HBM4  │  CTC-0   │  CTC-1   │  DUMMY   │  CTC-2   │  CTC-3   │   HBM4      │  ← 3D tier</w:t>
      </w:r>
    </w:p>
    <w:p>
      <w:pPr>
        <w:shd w:fill="EEF3F6" w:val="clear"/>
        <w:spacing w:after="0" w:line="216"/>
        <w:ind w:left="120" w:right="120"/>
      </w:pPr>
      <w:r>
        <w:rPr>
          <w:rFonts w:ascii="Consolas" w:cs="Consolas" w:eastAsia="Consolas" w:hAnsi="Consolas"/>
          <w:sz w:val="15"/>
          <w:szCs w:val="15"/>
        </w:rPr>
        <w:t xml:space="preserve">  │      ├──────────┴──────────┤          ├──────────┴──────────┤             │</w:t>
      </w:r>
    </w:p>
    <w:p>
      <w:pPr>
        <w:shd w:fill="EEF3F6" w:val="clear"/>
        <w:spacing w:after="0" w:line="216"/>
        <w:ind w:left="120" w:right="120"/>
      </w:pPr>
      <w:r>
        <w:rPr>
          <w:rFonts w:ascii="Consolas" w:cs="Consolas" w:eastAsia="Consolas" w:hAnsi="Consolas"/>
          <w:sz w:val="15"/>
          <w:szCs w:val="15"/>
        </w:rPr>
        <w:t xml:space="preserve">  │      │       MHC-0         │  (recl.  │       MHC-1         │             │  ← base tier</w:t>
      </w:r>
    </w:p>
    <w:p>
      <w:pPr>
        <w:shd w:fill="EEF3F6" w:val="clear"/>
        <w:spacing w:after="0" w:line="216"/>
        <w:ind w:left="120" w:right="120"/>
      </w:pPr>
      <w:r>
        <w:rPr>
          <w:rFonts w:ascii="Consolas" w:cs="Consolas" w:eastAsia="Consolas" w:hAnsi="Consolas"/>
          <w:sz w:val="15"/>
          <w:szCs w:val="15"/>
        </w:rPr>
        <w:t xml:space="preserve">  │HBM4  │                     │  Si)     │                     │   HBM4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CoWoS-L INTERPOSER — local Si bridges under every die-die seam      │</w:t>
      </w:r>
    </w:p>
    <w:p>
      <w:pPr>
        <w:shd w:fill="EEF3F6" w:val="clear"/>
        <w:spacing w:after="0" w:line="216"/>
        <w:ind w:left="120" w:right="120"/>
      </w:pPr>
      <w:r>
        <w:rPr>
          <w:rFonts w:ascii="Consolas" w:cs="Consolas" w:eastAsia="Consolas" w:hAnsi="Consolas"/>
          <w:sz w:val="15"/>
          <w:szCs w:val="15"/>
        </w:rPr>
        <w:t xml:space="preserve">  │        RDL 4 layers, 0.4 µm L/S · TSV pitch 40 µm · field ~2,600 mm²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ORGANIC SUBSTRATE  20 layers, 92 × 92 mm, low-CTE core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BGA  4,096 balls, 1.0 mm pitch, SAC305 (≥70% secondary Sn)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MODULE PCB  18 layers, OAM 3.0 outline                                    │</w:t>
      </w:r>
    </w:p>
    <w:p>
      <w:pPr>
        <w:shd w:fill="EEF3F6" w:val="clear"/>
        <w:spacing w:after="0" w:line="216"/>
        <w:ind w:left="120" w:right="120"/>
      </w:pPr>
      <w:r>
        <w:rPr>
          <w:rFonts w:ascii="Consolas" w:cs="Consolas" w:eastAsia="Consolas" w:hAnsi="Consolas"/>
          <w:sz w:val="15"/>
          <w:szCs w:val="15"/>
        </w:rPr>
        <w:t xml:space="preserve">  │  · 16 × LPDDR6 packages in two rows flanking the ASIC, ≤22 mm trace        │</w:t>
      </w:r>
    </w:p>
    <w:p>
      <w:pPr>
        <w:shd w:fill="EEF3F6" w:val="clear"/>
        <w:spacing w:after="0" w:line="216"/>
        <w:ind w:left="120" w:right="120"/>
      </w:pPr>
      <w:r>
        <w:rPr>
          <w:rFonts w:ascii="Consolas" w:cs="Consolas" w:eastAsia="Consolas" w:hAnsi="Consolas"/>
          <w:sz w:val="15"/>
          <w:szCs w:val="15"/>
        </w:rPr>
        <w:t xml:space="preserve">  │  · 14-phase VRM, 0.62 V core rail, 1,100 A capable                         │</w:t>
      </w:r>
    </w:p>
    <w:p>
      <w:pPr>
        <w:shd w:fill="EEF3F6" w:val="clear"/>
        <w:spacing w:after="0" w:line="216"/>
        <w:ind w:left="120" w:right="120"/>
      </w:pPr>
      <w:r>
        <w:rPr>
          <w:rFonts w:ascii="Consolas" w:cs="Consolas" w:eastAsia="Consolas" w:hAnsi="Consolas"/>
          <w:sz w:val="15"/>
          <w:szCs w:val="15"/>
        </w:rPr>
        <w:t xml:space="preserve">  │  · retimers for the 800GbE PHY, QSFP-DD cages                              │</w:t>
      </w:r>
    </w:p>
    <w:p>
      <w:pPr>
        <w:shd w:fill="EEF3F6" w:val="clear"/>
        <w:spacing w:after="0" w:line="216"/>
        <w:ind w:left="120" w:right="120"/>
      </w:pPr>
      <w:r>
        <w:rPr>
          <w:rFonts w:ascii="Consolas" w:cs="Consolas" w:eastAsia="Consolas" w:hAnsi="Consolas"/>
          <w:sz w:val="15"/>
          <w:szCs w:val="15"/>
        </w:rPr>
        <w:t xml:space="preserve">  │  · secondary-Cu foil, secondary-Au ENEPIG finish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14-2. Package and module cross-section.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7"/>
        <w:gridCol w:w="2995"/>
        <w:gridCol w:w="4118"/>
      </w:tblGrid>
      <w:tr>
        <w:trPr>
          <w:cantSplit/>
          <w:tblHeader/>
        </w:trPr>
        <w:tc>
          <w:tcPr>
            <w:tcW w:type="dxa" w:w="224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Packaging technology</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CoWoS-L with local silicon interconnect bridges</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TSMC is in production on 5.5-reticle CoWoS as of 2026 and has a 14-reticle roadmap for 2028</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Interposer field</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2,600 mm² (≈ 3.0 reticles)</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Comfortably inside the 5.5-reticle production capability</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Die count on interposer</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 active + 4 HBM + 1 structural</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Substrate</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20-layer organic, 92 × 92 mm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Low-CTE core to manage warpage across a 2,600 mm² field</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BGA</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4,096 balls, 1.0 mm pitch</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Dominated by the 1,024 LPDDR6 signals plus their references, and the core power rail</w:t>
            </w:r>
          </w:p>
        </w:tc>
      </w:tr>
      <w:tr>
        <w:trPr>
          <w:cantSplit/>
          <w:tblHeader w:val="false"/>
        </w:trPr>
        <w:tc>
          <w:tcPr>
            <w:tcW w:type="dxa" w:w="224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Warpage budget</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&lt; 180 µm across the substrate at reflow</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principal assembly risk for a field this size</w:t>
            </w:r>
          </w:p>
        </w:tc>
      </w:tr>
      <w:tr>
        <w:trPr>
          <w:cantSplit/>
          <w:tblHeader w:val="false"/>
        </w:trPr>
        <w:tc>
          <w:tcPr>
            <w:tcW w:type="dxa" w:w="224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Module</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OCP OAM 3.0-compatible, 102 × 165 mm, single-slot</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14-4. Packaging parameters.</w:t>
      </w:r>
    </w:p>
    <w:p>
      <w:pPr>
        <w:pStyle w:val="Heading2"/>
        <w:spacing w:after="120" w:before="300"/>
      </w:pPr>
      <w:r>
        <w:rPr>
          <w:rFonts w:ascii="Calibri" w:cs="Calibri" w:eastAsia="Calibri" w:hAnsi="Calibri"/>
          <w:b/>
          <w:bCs/>
          <w:color w:val="1F4E5F"/>
          <w:sz w:val="26"/>
          <w:szCs w:val="26"/>
        </w:rPr>
        <w:t xml:space="preserve">14.6  Thermal</w:t>
      </w:r>
    </w:p>
    <w:p>
      <w:pPr>
        <w:spacing w:after="140" w:line="276"/>
        <w:jc w:val="left"/>
      </w:pPr>
      <w:r>
        <w:rPr>
          <w:rFonts w:ascii="Calibri" w:cs="Calibri" w:eastAsia="Calibri" w:hAnsi="Calibri"/>
          <w:b w:val="false"/>
          <w:bCs w:val="false"/>
          <w:i w:val="false"/>
          <w:iCs w:val="false"/>
          <w:color w:val="000000"/>
          <w:sz w:val="21"/>
          <w:szCs w:val="21"/>
        </w:rPr>
        <w:t xml:space="preserve">850 W across a 2,600 mm² package is a heat flux of 33 W/cm² averaged, with a hot spot at the CTC arrays approaching 78 W/cm². This is above the practical limit of air cooling and is comfortably within the range of direct-to-chip single-phase liquid cooling.</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THERMAL STACK, worst-case CTC array hot spot: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Junction                                          T_j</w:t>
      </w:r>
    </w:p>
    <w:p>
      <w:pPr>
        <w:shd w:fill="EEF3F6" w:val="clear"/>
        <w:spacing w:after="0" w:line="216"/>
        <w:ind w:left="120" w:right="120"/>
      </w:pPr>
      <w:r>
        <w:rPr>
          <w:rFonts w:ascii="Consolas" w:cs="Consolas" w:eastAsia="Consolas" w:hAnsi="Consolas"/>
          <w:sz w:val="15"/>
          <w:szCs w:val="15"/>
        </w:rPr>
        <w:t xml:space="preserve">      │  silicon spreading, 30 µm thinned die        0.019 K/W</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Die top                                          </w:t>
      </w:r>
    </w:p>
    <w:p>
      <w:pPr>
        <w:shd w:fill="EEF3F6" w:val="clear"/>
        <w:spacing w:after="0" w:line="216"/>
        <w:ind w:left="120" w:right="120"/>
      </w:pPr>
      <w:r>
        <w:rPr>
          <w:rFonts w:ascii="Consolas" w:cs="Consolas" w:eastAsia="Consolas" w:hAnsi="Consolas"/>
          <w:sz w:val="15"/>
          <w:szCs w:val="15"/>
        </w:rPr>
        <w:t xml:space="preserve">      │  TIM1, indium solder, 25 µm, 4.2 W/m·K       0.011 K/W</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Cold plate base                                   </w:t>
      </w:r>
    </w:p>
    <w:p>
      <w:pPr>
        <w:shd w:fill="EEF3F6" w:val="clear"/>
        <w:spacing w:after="0" w:line="216"/>
        <w:ind w:left="120" w:right="120"/>
      </w:pPr>
      <w:r>
        <w:rPr>
          <w:rFonts w:ascii="Consolas" w:cs="Consolas" w:eastAsia="Consolas" w:hAnsi="Consolas"/>
          <w:sz w:val="15"/>
          <w:szCs w:val="15"/>
        </w:rPr>
        <w:t xml:space="preserve">      │  Cu plate + microchannel, 0.9 L/min/module   0.024 K/W</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Coolant                                          T_in = 45 °C</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Total R_jc,eff (hot spot) ≈ 0.054 K/W over the 312 W array load</w:t>
      </w:r>
    </w:p>
    <w:p>
      <w:pPr>
        <w:shd w:fill="EEF3F6" w:val="clear"/>
        <w:spacing w:after="0" w:line="216"/>
        <w:ind w:left="120" w:right="120"/>
      </w:pPr>
      <w:r>
        <w:rPr>
          <w:rFonts w:ascii="Consolas" w:cs="Consolas" w:eastAsia="Consolas" w:hAnsi="Consolas"/>
          <w:sz w:val="15"/>
          <w:szCs w:val="15"/>
        </w:rPr>
        <w:t xml:space="preserve">    localised to ~40% of package area → effective ΔT ≈ 34 K</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T_j ≈ 45 + 34 = 79 °C     against an 85 °C target.   Margin 6 K.</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Coolant rise: 850 W ÷ (0.9 L/min × 4.18 kJ/kg·K × 60) = 3.4 K</w:t>
      </w:r>
    </w:p>
    <w:p>
      <w:pPr>
        <w:shd w:fill="EEF3F6" w:val="clear"/>
        <w:spacing w:after="0" w:line="216"/>
        <w:ind w:left="120" w:right="120"/>
      </w:pPr>
      <w:r>
        <w:rPr>
          <w:rFonts w:ascii="Consolas" w:cs="Consolas" w:eastAsia="Consolas" w:hAnsi="Consolas"/>
          <w:sz w:val="15"/>
          <w:szCs w:val="15"/>
        </w:rPr>
        <w:t xml:space="preserve">    Rack outlet at 32 modules in parallel: 48.4 °C</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14-3. First-order thermal budget.</w:t>
      </w:r>
    </w:p>
    <w:p>
      <w:pPr>
        <w:spacing w:after="140" w:line="276"/>
        <w:jc w:val="left"/>
      </w:pPr>
      <w:r>
        <w:rPr>
          <w:rFonts w:ascii="Calibri" w:cs="Calibri" w:eastAsia="Calibri" w:hAnsi="Calibri"/>
          <w:b w:val="false"/>
          <w:bCs w:val="false"/>
          <w:i w:val="false"/>
          <w:iCs w:val="false"/>
          <w:color w:val="000000"/>
          <w:sz w:val="21"/>
          <w:szCs w:val="21"/>
        </w:rPr>
        <w:t xml:space="preserve">The 45 °C inlet temperature is deliberate and is a facility-level design choice with large economic consequences. At 45 °C, a datacentre in most climates can reject heat to ambient with dry coolers and no mechanical chilling for the great majority of the year, which removes the largest single component of facility power overhead. The margin at the junction is 6 K, which is thin; it is preserved by thinning the CTC dies to 30 µm — which the SoIC flow requires anyway — and by an indium-based solder thermal interface rather than a polymer one. A polymer TIM at 1.5 W/m·K would add roughly 0.020 K/W and consume the entire margin, so the solder TIM is not optional.</w:t>
      </w:r>
    </w:p>
    <w:p>
      <w:pPr>
        <w:spacing w:after="140" w:line="276"/>
        <w:jc w:val="left"/>
      </w:pPr>
      <w:r>
        <w:rPr>
          <w:rFonts w:ascii="Calibri" w:cs="Calibri" w:eastAsia="Calibri" w:hAnsi="Calibri"/>
          <w:b w:val="false"/>
          <w:bCs w:val="false"/>
          <w:i w:val="false"/>
          <w:iCs w:val="false"/>
          <w:color w:val="000000"/>
          <w:sz w:val="21"/>
          <w:szCs w:val="21"/>
        </w:rPr>
        <w:t xml:space="preserve">The thermal design is the area of this document with the least analytical support. A first-order resistance network is not a thermal model; the real question is transient hot-spot behaviour when all eight tiles of a CTC issue a large TMMA simultaneously after an idle period, and that requires CFD with a real power map. Work package WP-22 covers it.</w:t>
      </w:r>
    </w:p>
    <w:p>
      <w:pPr>
        <w:pStyle w:val="Heading2"/>
        <w:spacing w:after="120" w:before="300"/>
      </w:pPr>
      <w:r>
        <w:rPr>
          <w:rFonts w:ascii="Calibri" w:cs="Calibri" w:eastAsia="Calibri" w:hAnsi="Calibri"/>
          <w:b/>
          <w:bCs/>
          <w:color w:val="1F4E5F"/>
          <w:sz w:val="26"/>
          <w:szCs w:val="26"/>
        </w:rPr>
        <w:t xml:space="preserve">14.7  Power delivery</w:t>
      </w:r>
    </w:p>
    <w:p>
      <w:pPr>
        <w:spacing w:after="140" w:line="276"/>
        <w:jc w:val="left"/>
      </w:pPr>
      <w:r>
        <w:rPr>
          <w:rFonts w:ascii="Calibri" w:cs="Calibri" w:eastAsia="Calibri" w:hAnsi="Calibri"/>
          <w:b w:val="false"/>
          <w:bCs w:val="false"/>
          <w:i w:val="false"/>
          <w:iCs w:val="false"/>
          <w:color w:val="000000"/>
          <w:sz w:val="21"/>
          <w:szCs w:val="21"/>
        </w:rPr>
        <w:t xml:space="preserve">The 0.62 V core rail carries 312 W into the CTC arrays, or approximately 503 A. Delivering this through the substrate and interposer requires: a 14-phase point-of-load regulator on the module immediately beneath the package; a dedicated power layer pair per CTC in the substrate; and backside power delivery on the CTC itself, without which the on-die IR drop at this current density would exceed 60 mV and force a higher nominal voltage.</w:t>
      </w:r>
    </w:p>
    <w:p>
      <w:pPr>
        <w:spacing w:after="140" w:line="276"/>
        <w:jc w:val="left"/>
      </w:pPr>
      <w:r>
        <w:rPr>
          <w:rFonts w:ascii="Calibri" w:cs="Calibri" w:eastAsia="Calibri" w:hAnsi="Calibri"/>
          <w:b w:val="false"/>
          <w:bCs w:val="false"/>
          <w:i w:val="false"/>
          <w:iCs w:val="false"/>
          <w:color w:val="000000"/>
          <w:sz w:val="21"/>
          <w:szCs w:val="21"/>
        </w:rPr>
        <w:t xml:space="preserve">Decoupling is hierarchical: on-die MIM capacitance in the CTC backside metal (approximately 340 nF per CTC), deep-trench capacitors integrated in the interposer (approximately 4.2 µF total), and land-side ceramics on the module. The design target is under 30 mV of droop on a 100 A/µs load step, which is the step generated when a tile group transitions from idle to full TMMA issue. Meeting it requires a package model and is work package WP-24.</w:t>
      </w:r>
    </w:p>
    <w:p>
      <w:r>
        <w:br w:type="page"/>
      </w:r>
    </w:p>
    <w:p>
      <w:pPr>
        <w:pStyle w:val="Heading1"/>
        <w:spacing w:after="160" w:before="400"/>
      </w:pPr>
      <w:r>
        <w:rPr>
          <w:rFonts w:ascii="Calibri" w:cs="Calibri" w:eastAsia="Calibri" w:hAnsi="Calibri"/>
          <w:b/>
          <w:bCs/>
          <w:color w:val="1F4E5F"/>
          <w:sz w:val="32"/>
          <w:szCs w:val="32"/>
        </w:rPr>
        <w:t xml:space="preserve">15.  Materials and Recycled-Content Programme</w:t>
      </w:r>
    </w:p>
    <w:p>
      <w:pPr>
        <w:spacing w:after="140" w:line="276"/>
        <w:jc w:val="left"/>
      </w:pPr>
      <w:r>
        <w:rPr>
          <w:rFonts w:ascii="Calibri" w:cs="Calibri" w:eastAsia="Calibri" w:hAnsi="Calibri"/>
          <w:b w:val="false"/>
          <w:bCs w:val="false"/>
          <w:i w:val="false"/>
          <w:iCs w:val="false"/>
          <w:color w:val="000000"/>
          <w:sz w:val="21"/>
          <w:szCs w:val="21"/>
        </w:rPr>
        <w:t xml:space="preserve">The document owner asked that recycled and recovered materials be used wherever doing so is compatible with cost and manufacturability. This section takes that seriously enough to say where it works, where it does not, and what it is worth. The honest headline is that the direct cost saving is modest — approximately $109 per module, or 2.1% of manufacturing cost — while the supply-security and embodied-carbon benefits are substantial, and the closed-loop element is worth considerably more than the open-market recycled content.</w:t>
      </w:r>
    </w:p>
    <w:p>
      <w:pPr>
        <w:pStyle w:val="Heading2"/>
        <w:spacing w:after="120" w:before="300"/>
      </w:pPr>
      <w:r>
        <w:rPr>
          <w:rFonts w:ascii="Calibri" w:cs="Calibri" w:eastAsia="Calibri" w:hAnsi="Calibri"/>
          <w:b/>
          <w:bCs/>
          <w:color w:val="1F4E5F"/>
          <w:sz w:val="26"/>
          <w:szCs w:val="26"/>
        </w:rPr>
        <w:t xml:space="preserve">15.1  Material inventory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685"/>
        <w:gridCol w:w="1123"/>
        <w:gridCol w:w="2995"/>
        <w:gridCol w:w="3557"/>
      </w:tblGrid>
      <w:tr>
        <w:trPr>
          <w:cantSplit/>
          <w:tblHeader/>
        </w:trPr>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Material</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Mass per module</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Where</w:t>
            </w:r>
          </w:p>
        </w:tc>
        <w:tc>
          <w:tcPr>
            <w:tcW w:type="dxa" w:w="355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Secondary sourcing viable?</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Copper</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1,840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Cold plate, module PCB foil, substrate traces, busbars, connector shells, heat spreader</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fully. Secondary Cu refined to Cu-OFE (C10100) is chemically indistinguishable from primary.</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Aluminium</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620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Module frame, stiffener, retention hardware, cable trays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fully. Secondary Al uses ~5% of the energy of primary.</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Steel</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410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Module rails, fasteners, chassis interface</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fully. Electric-arc-furnace steel is already ~70% scrap by default.</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Tin (in SAC305 solder)</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48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BGA balls, module assembly, connector terminations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Sn is among the most recycled solder metals; 5N secondary Sn is routine.</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Gold</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2.9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ENEPIG surface finish, connector plating, bond pads, wire in passives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refined secondary Au reaches 4N/5N and is already used in packaging.</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Silver</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Sintered die-attach in the VRM, MLCC terminations, some plating</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Palladium</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0.31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ENEPIG barrier, MLCC internal electrodes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Pd recovery from e-waste is a mature industry.</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Nickel</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ENEPIG underlayer, barrier layers, VRM inductor cores</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Cobalt</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0.42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Interconnect liner and cap in CTC/MHC metal 0–4; some magnetics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Partially — see §15.3. This is the hard case and the one the part is named for.</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Tantalum</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2.1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Capacitors; diffusion barriers in the metal stack</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for capacitors; no for barrier films (purity).</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Neodymium / dysprosium</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9.8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VRM inductor magnets, fan motors (in air-cooled variants)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recycled NdFeB magnet supply exists at scale.</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Silicon (device)</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33 g of die</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CTC, MHC, HBM, interposer</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 Device wafers require 11N virgin polysilicon.</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Silicon (structural)</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6 g</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Dummy / thermal balance dies</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Yes — reclaimed test and monitor wafers. §15.4.</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Polymers, epoxy, glass fibre</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480 g</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Substrate core, module PCB, underfill, moulding</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Partially — recycled glass fibre and some recycled-content resins qualify; underfill and moulding compound do not.</w:t>
            </w:r>
          </w:p>
        </w:tc>
      </w:tr>
    </w:tbl>
    <w:p>
      <w:pPr>
        <w:spacing w:after="220" w:before="60"/>
      </w:pPr>
      <w:r>
        <w:rPr>
          <w:i/>
          <w:iCs/>
          <w:color w:val="595959"/>
          <w:sz w:val="17"/>
          <w:szCs w:val="17"/>
        </w:rPr>
        <w:t xml:space="preserve">Table 15-1. Material inventory per module. Masses are Tier C estimates from comparable accelerator modules.</w:t>
      </w:r>
    </w:p>
    <w:p>
      <w:pPr>
        <w:pStyle w:val="Heading2"/>
        <w:spacing w:after="120" w:before="300"/>
      </w:pPr>
      <w:r>
        <w:rPr>
          <w:rFonts w:ascii="Calibri" w:cs="Calibri" w:eastAsia="Calibri" w:hAnsi="Calibri"/>
          <w:b/>
          <w:bCs/>
          <w:color w:val="1F4E5F"/>
          <w:sz w:val="26"/>
          <w:szCs w:val="26"/>
        </w:rPr>
        <w:t xml:space="preserve">15.2  Secondary-content specification</w:t>
      </w:r>
    </w:p>
    <w:p>
      <w:pPr>
        <w:spacing w:after="140" w:line="276"/>
        <w:jc w:val="left"/>
      </w:pPr>
      <w:r>
        <w:rPr>
          <w:rFonts w:ascii="Calibri" w:cs="Calibri" w:eastAsia="Calibri" w:hAnsi="Calibri"/>
          <w:b w:val="false"/>
          <w:bCs w:val="false"/>
          <w:i w:val="false"/>
          <w:iCs w:val="false"/>
          <w:color w:val="000000"/>
          <w:sz w:val="21"/>
          <w:szCs w:val="21"/>
        </w:rPr>
        <w:t xml:space="preserve">The following are specification requirements, to be flowed down to suppliers as procurement conditions and verified by the qualification programme in Appendix 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3"/>
        <w:gridCol w:w="1310"/>
        <w:gridCol w:w="3931"/>
        <w:gridCol w:w="2246"/>
      </w:tblGrid>
      <w:tr>
        <w:trPr>
          <w:cantSplit/>
          <w:tblHeader/>
        </w:trPr>
        <w:tc>
          <w:tcPr>
            <w:tcW w:type="dxa" w:w="187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Material</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Minimum secondary content</w:t>
            </w:r>
          </w:p>
        </w:tc>
        <w:tc>
          <w:tcPr>
            <w:tcW w:type="dxa" w:w="393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Verification</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Cost effect</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Copper — cold plate, spreader, busbar</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Mill certificate + mass-balance chain of custody; ICP-MS on incoming lots for Bi, Pb, Sb, 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 to −$14 per module</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Copper — PCB foil and substrate traces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65%</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Electrodeposited foil from recycled cathode; adhesion and peel-strength qualification per IPC-4562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Aluminium — frame, stiffener, hardware</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Mill certificate; alloy verification for 6061/6063 temper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Steel</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95%</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EAF certificate (largely automatic)</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Tin in SAC305</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5N purity by GDMS; solder joint reliability qualification per IPC-9701 thermal cycling</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Gold</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95%</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LBMA-equivalent responsible-sourcing chain of custody; 4N minimum by fire assay; plated-deposit qualification per ASTM B488</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−$41</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Silver</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4N by ICP-MS; sinter-joint void fraction by X-ray</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Palladium</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90%</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Refiner certificate; 3N5 minimum</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−$18</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Nickel</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Bath chemistry qualification; phosphorus content control for ENEPIG</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Cobalt (precursor)</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60%</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See §15.3 — the binding constraint is purity, not supply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neutral</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Tantalum (capacitors only)</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75%</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Supplier conflict-minerals declaration + recycled-content attestation</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NdFeB magnets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70%</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Magnetic property qualification; Dy content verification</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Structural silicon</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Reclaimed wafer flatness and particle spec; §15.4</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w:t>
            </w:r>
          </w:p>
        </w:tc>
      </w:tr>
      <w:tr>
        <w:trPr>
          <w:cantSplit/>
          <w:tblHeader w:val="false"/>
        </w:trPr>
        <w:tc>
          <w:tcPr>
            <w:tcW w:type="dxa" w:w="187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Glass fibre in PCB laminate</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30%</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Laminate qualification per IPC-4101; Dk/Df verification at 40 GHz</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w:t>
            </w:r>
          </w:p>
        </w:tc>
      </w:tr>
      <w:tr>
        <w:trPr>
          <w:cantSplit/>
          <w:tblHeader w:val="false"/>
        </w:trPr>
        <w:tc>
          <w:tcPr>
            <w:tcW w:type="dxa" w:w="187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Total</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71% of non-semiconductor metal mass</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−$109 per module</w:t>
            </w:r>
          </w:p>
        </w:tc>
      </w:tr>
    </w:tbl>
    <w:p>
      <w:pPr>
        <w:spacing w:after="220" w:before="60"/>
      </w:pPr>
      <w:r>
        <w:rPr>
          <w:i/>
          <w:iCs/>
          <w:color w:val="595959"/>
          <w:sz w:val="17"/>
          <w:szCs w:val="17"/>
        </w:rPr>
        <w:t xml:space="preserve">Table 15-2. Secondary-content specification. Cost effects are net of any purity-related premium.</w:t>
      </w:r>
    </w:p>
    <w:p>
      <w:pPr>
        <w:spacing w:after="140" w:line="276"/>
        <w:jc w:val="left"/>
      </w:pPr>
      <w:r>
        <w:rPr>
          <w:rFonts w:ascii="Calibri" w:cs="Calibri" w:eastAsia="Calibri" w:hAnsi="Calibri"/>
          <w:b w:val="false"/>
          <w:bCs w:val="false"/>
          <w:i w:val="false"/>
          <w:iCs w:val="false"/>
          <w:color w:val="000000"/>
          <w:sz w:val="21"/>
          <w:szCs w:val="21"/>
        </w:rPr>
        <w:t xml:space="preserve">The gold line is the largest single saving and deserves explanation. At 2.9 g per module and 250,000 modules per year, the programme consumes approximately 725 kg of gold annually. Refined secondary gold trades at a small discount to primary — refining cost is comparable and the metal is identical — but the real saving is in the responsible-sourcing premium that primary gold from qualified mines commands, which is currently on the order of 4–7%. At the 2026 price and this volume, specifying 95% secondary gold saves roughly $10.3 M per year and removes an entire class of supply-chain due-diligence obligation.</w:t>
      </w:r>
    </w:p>
    <w:p>
      <w:pPr>
        <w:pStyle w:val="Heading2"/>
        <w:spacing w:after="120" w:before="300"/>
      </w:pPr>
      <w:r>
        <w:rPr>
          <w:rFonts w:ascii="Calibri" w:cs="Calibri" w:eastAsia="Calibri" w:hAnsi="Calibri"/>
          <w:b/>
          <w:bCs/>
          <w:color w:val="1F4E5F"/>
          <w:sz w:val="26"/>
          <w:szCs w:val="26"/>
        </w:rPr>
        <w:t xml:space="preserve">15.3  Cobalt: the hard case</w:t>
      </w:r>
    </w:p>
    <w:p>
      <w:pPr>
        <w:spacing w:after="140" w:line="276"/>
        <w:jc w:val="left"/>
      </w:pPr>
      <w:r>
        <w:rPr>
          <w:rFonts w:ascii="Calibri" w:cs="Calibri" w:eastAsia="Calibri" w:hAnsi="Calibri"/>
          <w:b w:val="false"/>
          <w:bCs w:val="false"/>
          <w:i w:val="false"/>
          <w:iCs w:val="false"/>
          <w:color w:val="000000"/>
          <w:sz w:val="21"/>
          <w:szCs w:val="21"/>
        </w:rPr>
        <w:t xml:space="preserve">Cobalt is used in two places in this design. The larger by mass is in the metal stack of the CTC and MHC, where cobalt serves as a selective cap over copper lines and as the fill metal for the tightest local interconnect levels. The smaller is in magnetics. The interconnect application is the difficult one, because it is a front-end-of-line process material and the purity requirement is extreme: transition-metal and alkali contamination in a cobalt CVD precursor must be held below roughly one part per billion, because those contaminants diffuse into the gate stack and destroy device reliability.</w:t>
      </w:r>
    </w:p>
    <w:p>
      <w:pPr>
        <w:spacing w:after="140" w:line="276"/>
        <w:jc w:val="left"/>
      </w:pPr>
      <w:r>
        <w:rPr>
          <w:rFonts w:ascii="Calibri" w:cs="Calibri" w:eastAsia="Calibri" w:hAnsi="Calibri"/>
          <w:b w:val="false"/>
          <w:bCs w:val="false"/>
          <w:i w:val="false"/>
          <w:iCs w:val="false"/>
          <w:color w:val="000000"/>
          <w:sz w:val="21"/>
          <w:szCs w:val="21"/>
        </w:rPr>
        <w:t xml:space="preserve">Secondary cobalt is abundant. Lithium-ion battery recycling now produces cobalt sulphate at industrial scale, and hydrometallurgical refining routes to 99.995% purity are established. The gap between 99.995% (4N5) and the sub-ppb specification required for a semiconductor precursor is real, but it is a refining problem, not a sourcing problem: the same additional purification steps are applied to primary feedstock. The question is whether a refiner will qualify a secondary feedstock for a semiconductor-grade product line, and the answer depends almost entirely on whether a customer asks.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872"/>
        <w:gridCol w:w="7488"/>
      </w:tblGrid>
      <w:tr>
        <w:trPr>
          <w:cantSplit/>
          <w:tblHeader/>
        </w:trPr>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Requirement</w:t>
            </w:r>
          </w:p>
        </w:tc>
        <w:tc>
          <w:tcPr>
            <w:tcW w:type="dxa" w:w="748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Specification</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Secondary content</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60% by mass of cobalt in the precursor, on a mass-balance basis</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Purity</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Cobalt precursor (dicobalt hexacarbonyl tert-butylacetylene or equivalent) meeting the foundry's incoming specification without relaxation</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Contaminant limits</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Na, K, Li, Fe, Cu, Ni, Cr each &lt; 1 ppb by ICP-MS on the precursor; verified per lot, not per batch</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Qualification</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front-end-of-line reliability qualification: electromigration on Metal-0 and Metal-1 structures per JEDEC JEP119, time-dependent dielectric breakdown, and mobile-ion contamination testing by bias-temperature stress on capacitor structures. Minimum 2,000 hours.</w:t>
            </w:r>
          </w:p>
        </w:tc>
      </w:tr>
      <w:tr>
        <w:trPr>
          <w:cantSplit/>
          <w:tblHeader w:val="false"/>
        </w:trPr>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Chain of custody</w:t>
            </w:r>
          </w:p>
        </w:tc>
        <w:tc>
          <w:tcPr>
            <w:tcW w:type="dxa" w:w="748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Mass balance with independent audit; the point is to create demand for the secondary stream, and mass balance is sufficient for that even though the atoms are not traceable</w:t>
            </w:r>
          </w:p>
        </w:tc>
      </w:tr>
      <w:tr>
        <w:trPr>
          <w:cantSplit/>
          <w:tblHeader w:val="false"/>
        </w:trPr>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Fallback</w:t>
            </w:r>
          </w:p>
        </w:tc>
        <w:tc>
          <w:tcPr>
            <w:tcW w:type="dxa" w:w="748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If secondary-feedstock qualification fails, primary cobalt from an audited, non-artisanal source with full OECD due diligence. The specification is a preference, not a gate on production.</w:t>
            </w:r>
          </w:p>
        </w:tc>
      </w:tr>
    </w:tbl>
    <w:p>
      <w:pPr>
        <w:spacing w:after="220" w:before="60"/>
      </w:pPr>
      <w:r>
        <w:rPr>
          <w:i/>
          <w:iCs/>
          <w:color w:val="595959"/>
          <w:sz w:val="17"/>
          <w:szCs w:val="17"/>
        </w:rPr>
        <w:t xml:space="preserve">Table 15-3. Cobalt specification.</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Why this is worth doing even though it saves no money</w:t>
            </w:r>
          </w:p>
          <w:p>
            <w:pPr>
              <w:spacing w:after="100" w:line="264"/>
            </w:pPr>
            <w:r>
              <w:rPr>
                <w:sz w:val="20"/>
                <w:szCs w:val="20"/>
              </w:rPr>
              <w:t xml:space="preserve">The cobalt in a module weighs 0.42 grams. At 250,000 modules a year that is 105 kg — a rounding error against world production, and the cost difference between primary and secondary at that scale is nil.</w:t>
            </w:r>
          </w:p>
          <w:p>
            <w:pPr>
              <w:spacing w:after="100" w:line="264"/>
            </w:pPr>
            <w:r>
              <w:rPr>
                <w:sz w:val="20"/>
                <w:szCs w:val="20"/>
              </w:rPr>
              <w:t xml:space="preserve">The argument is not economic. It is that a foundry precursor supply chain qualifies what its customers ask it to qualify, and nobody has asked. A single large customer specifying secondary feedstock for a semiconductor-grade cobalt precursor, and paying for the 2,000-hour reliability qualification, creates a qualified pathway that every subsequent customer can use at no cost. The qualification is the deliverable, not the metal.</w:t>
            </w:r>
          </w:p>
          <w:p>
            <w:pPr>
              <w:spacing w:after="40" w:line="264"/>
            </w:pPr>
            <w:r>
              <w:rPr>
                <w:sz w:val="20"/>
                <w:szCs w:val="20"/>
              </w:rPr>
              <w:t xml:space="preserve">The estimated cost of the qualification programme is $1.4 M and eighteen months. That is the entire price of turning "recycled cobalt is not qualified for semiconductor use" into "recycled cobalt is qualified for semiconductor use", permanently, for the whole industry. It is the highest-leverage $1.4 M in this document.</w:t>
            </w:r>
          </w:p>
        </w:tc>
      </w:tr>
    </w:tbl>
    <w:p>
      <w:pPr>
        <w:pStyle w:val="Heading2"/>
        <w:spacing w:after="120" w:before="300"/>
      </w:pPr>
      <w:r>
        <w:rPr>
          <w:rFonts w:ascii="Calibri" w:cs="Calibri" w:eastAsia="Calibri" w:hAnsi="Calibri"/>
          <w:b/>
          <w:bCs/>
          <w:color w:val="1F4E5F"/>
          <w:sz w:val="26"/>
          <w:szCs w:val="26"/>
        </w:rPr>
        <w:t xml:space="preserve">15.4  Structural silicon from reclaimed wafers</w:t>
      </w:r>
    </w:p>
    <w:p>
      <w:pPr>
        <w:spacing w:after="140" w:line="276"/>
        <w:jc w:val="left"/>
      </w:pPr>
      <w:r>
        <w:rPr>
          <w:rFonts w:ascii="Calibri" w:cs="Calibri" w:eastAsia="Calibri" w:hAnsi="Calibri"/>
          <w:b w:val="false"/>
          <w:bCs w:val="false"/>
          <w:i w:val="false"/>
          <w:iCs w:val="false"/>
          <w:color w:val="000000"/>
          <w:sz w:val="21"/>
          <w:szCs w:val="21"/>
        </w:rPr>
        <w:t xml:space="preserve">The package contains a structural die whose only functions are mechanical support and thermal balance across the interposer field — the same role the two dummy dies serve in the published Jalapeño package. It carries no circuits. Its specification is: 300 mm diameter, thickness matched to the CTC stack within 3 µm, total thickness variation under 1.5 µm, backside roughness compatible with the TIM, and particle count meeting the assembly line's incoming specification.</w:t>
      </w:r>
    </w:p>
    <w:p>
      <w:pPr>
        <w:spacing w:after="140" w:line="276"/>
        <w:jc w:val="left"/>
      </w:pPr>
      <w:r>
        <w:rPr>
          <w:rFonts w:ascii="Calibri" w:cs="Calibri" w:eastAsia="Calibri" w:hAnsi="Calibri"/>
          <w:b w:val="false"/>
          <w:bCs w:val="false"/>
          <w:i w:val="false"/>
          <w:iCs w:val="false"/>
          <w:color w:val="000000"/>
          <w:sz w:val="21"/>
          <w:szCs w:val="21"/>
        </w:rPr>
        <w:t xml:space="preserve">Every one of those requirements is met by a reclaimed test or monitor wafer, which is what fabs use in enormous quantity for process control and which is polished and reused several times before being scrapped. Reclaim wafers cost roughly a fifth of prime wafers. Specifying them for structural dies saves approximately $3 per module and diverts material from a waste stream that currently ends in the general silicon scrap market.</w:t>
      </w:r>
    </w:p>
    <w:p>
      <w:pPr>
        <w:pStyle w:val="Heading2"/>
        <w:spacing w:after="120" w:before="300"/>
      </w:pPr>
      <w:r>
        <w:rPr>
          <w:rFonts w:ascii="Calibri" w:cs="Calibri" w:eastAsia="Calibri" w:hAnsi="Calibri"/>
          <w:b/>
          <w:bCs/>
          <w:color w:val="1F4E5F"/>
          <w:sz w:val="26"/>
          <w:szCs w:val="26"/>
        </w:rPr>
        <w:t xml:space="preserve">15.5  Closed-loop fleet reclamation</w:t>
      </w:r>
    </w:p>
    <w:p>
      <w:pPr>
        <w:spacing w:after="140" w:line="276"/>
        <w:jc w:val="left"/>
      </w:pPr>
      <w:r>
        <w:rPr>
          <w:rFonts w:ascii="Calibri" w:cs="Calibri" w:eastAsia="Calibri" w:hAnsi="Calibri"/>
          <w:b w:val="false"/>
          <w:bCs w:val="false"/>
          <w:i w:val="false"/>
          <w:iCs w:val="false"/>
          <w:color w:val="000000"/>
          <w:sz w:val="21"/>
          <w:szCs w:val="21"/>
        </w:rPr>
        <w:t xml:space="preserve">This is the part of the materials programme with the largest long-term value, and it is available to a fleet operator in a way it is not available to a merchant vendor.</w:t>
      </w:r>
    </w:p>
    <w:p>
      <w:pPr>
        <w:spacing w:after="140" w:line="276"/>
        <w:jc w:val="left"/>
      </w:pPr>
      <w:r>
        <w:rPr>
          <w:rFonts w:ascii="Calibri" w:cs="Calibri" w:eastAsia="Calibri" w:hAnsi="Calibri"/>
          <w:b w:val="false"/>
          <w:bCs w:val="false"/>
          <w:i w:val="false"/>
          <w:iCs w:val="false"/>
          <w:color w:val="000000"/>
          <w:sz w:val="21"/>
          <w:szCs w:val="21"/>
        </w:rPr>
        <w:t xml:space="preserve">A decommissioned accelerator module is an extraordinarily rich and clean feedstock. It contains 2.9 g of gold, 1.84 kg of copper, 0.31 g of palladium, and 1.4 g of silver in a known configuration, with known provenance, uncontaminated by the mixed plastics and hazardous components that make consumer e-waste expensive to process. Gold concentration in a server accelerator module is on the order of 900 g per tonne, against roughly 250 g per tonne for mixed e-waste and 3–5 g per tonne for a good gold ore. It is, straightforwardly, a very high-grade ore body that arrives on a pallet with a bill of materials attached.</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7114"/>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Loop element</w:t>
            </w:r>
          </w:p>
        </w:tc>
        <w:tc>
          <w:tcPr>
            <w:tcW w:type="dxa" w:w="71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Specification</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Design for disassembly</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 adhesive between the cold plate and the module; retention by captive fasteners. Cold plate, module PCB, and package separable in under 4 minutes by one technician. This constrains the mechanical design and is stated as a requirement rather than an aspiration.</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Material passport</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Each module carries, in Sentinel fuses and on a printed label, a hash pointing to a material record: alloy specifications, secondary-content fractions, and recovery instructions. The record persists independently of the fleet management system.</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Component harvest before smelting</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LPDDR6 packages, VRM inductors and capacitors, connectors, and cold plates are tested and either re-qualified for a lower-tier SKU or sold into the secondary component market. Only what fails is smelted. §15.6.</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Precious-metal recovery</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Contracted to a certified refiner under a tolling arrangement: the operator retains title to the recovered metal and returns it into the supply chain as feedstock for the next generation's gold, silver, and palladium requirements.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Copper recovery</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Cold plates and heat spreaders are high-purity Cu with no plating; they return directly to a secondary refiner as a segregated stream and re-enter as Cu-OFE.</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Target loop closure</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92% of gold, ≥ 88% of palladium, ≥ 96% of copper by mass, by year 3 of the reclamation programme</w:t>
            </w:r>
          </w:p>
        </w:tc>
      </w:tr>
    </w:tbl>
    <w:p>
      <w:pPr>
        <w:spacing w:after="220" w:before="60"/>
      </w:pPr>
      <w:r>
        <w:rPr>
          <w:i/>
          <w:iCs/>
          <w:color w:val="595959"/>
          <w:sz w:val="17"/>
          <w:szCs w:val="17"/>
        </w:rPr>
        <w:t xml:space="preserve">Table 15-4. Closed-loop reclamation requirements.</w:t>
      </w:r>
    </w:p>
    <w:p>
      <w:pPr>
        <w:spacing w:after="140" w:line="276"/>
        <w:jc w:val="left"/>
      </w:pPr>
      <w:r>
        <w:rPr>
          <w:rFonts w:ascii="Calibri" w:cs="Calibri" w:eastAsia="Calibri" w:hAnsi="Calibri"/>
          <w:b w:val="false"/>
          <w:bCs w:val="false"/>
          <w:i w:val="false"/>
          <w:iCs w:val="false"/>
          <w:color w:val="000000"/>
          <w:sz w:val="21"/>
          <w:szCs w:val="21"/>
        </w:rPr>
        <w:t xml:space="preserve">At steady state — 250,000 modules a year deployed, and an equal number reaching end of life after five years — the loop returns approximately 690 kg of gold, 425 tonnes of copper, 74 kg of palladium, and 335 kg of silver annually. That is roughly 95% of the programme's gold requirement and considerably more copper than it consumes. At 2026 metal prices the recovered value is on the order of $63 M per year against a processing cost of perhaps $9 M, and it converts the largest precious-metal line in the bill of materials from a purchase into an internal transfer.</w:t>
      </w:r>
    </w:p>
    <w:p>
      <w:pPr>
        <w:pStyle w:val="Heading2"/>
        <w:spacing w:after="120" w:before="300"/>
      </w:pPr>
      <w:r>
        <w:rPr>
          <w:rFonts w:ascii="Calibri" w:cs="Calibri" w:eastAsia="Calibri" w:hAnsi="Calibri"/>
          <w:b/>
          <w:bCs/>
          <w:color w:val="1F4E5F"/>
          <w:sz w:val="26"/>
          <w:szCs w:val="26"/>
        </w:rPr>
        <w:t xml:space="preserve">15.6  Harvested memory in lower-tier SKUs</w:t>
      </w:r>
    </w:p>
    <w:p>
      <w:pPr>
        <w:spacing w:after="140" w:line="276"/>
        <w:jc w:val="left"/>
      </w:pPr>
      <w:r>
        <w:rPr>
          <w:rFonts w:ascii="Calibri" w:cs="Calibri" w:eastAsia="Calibri" w:hAnsi="Calibri"/>
          <w:b w:val="false"/>
          <w:bCs w:val="false"/>
          <w:i w:val="false"/>
          <w:iCs w:val="false"/>
          <w:color w:val="000000"/>
          <w:sz w:val="21"/>
          <w:szCs w:val="21"/>
        </w:rPr>
        <w:t xml:space="preserve">One further loop is worth specifying. LPDDR6 devices recovered from decommissioned modules are, in the overwhelming majority of cases, entirely functional — DRAM does not wear out in the way flash does, and a module retired after five years for performance reasons has memory with no meaningful degradation. Re-testing recovered LPDDR6 to full specification costs on the order of $0.40 per device.</w:t>
      </w:r>
    </w:p>
    <w:p>
      <w:pPr>
        <w:spacing w:after="140" w:line="276"/>
        <w:jc w:val="left"/>
      </w:pPr>
      <w:r>
        <w:rPr>
          <w:rFonts w:ascii="Calibri" w:cs="Calibri" w:eastAsia="Calibri" w:hAnsi="Calibri"/>
          <w:b w:val="false"/>
          <w:bCs w:val="false"/>
          <w:i w:val="false"/>
          <w:iCs w:val="false"/>
          <w:color w:val="000000"/>
          <w:sz w:val="21"/>
          <w:szCs w:val="21"/>
        </w:rPr>
        <w:t xml:space="preserve">The design therefore permits a Tier-2 population using re-qualified harvested devices, for the SC-1B batch-serving SKU where the latency budget is generous and a marginally higher error rate is absorbed by the inline ECC. At $3.50 per gigabyte for new LPDDR6 against roughly $0.55 per gigabyte for harvested-and-retested, a 256 GB Tier 2 built this way costs $141 rather than $896. Whether this is worth the logistics is a question for a fleet operator, but the architecture permits it and the design should not foreclose it.</w:t>
      </w:r>
    </w:p>
    <w:p>
      <w:pPr>
        <w:pStyle w:val="Heading2"/>
        <w:spacing w:after="120" w:before="300"/>
      </w:pPr>
      <w:r>
        <w:rPr>
          <w:rFonts w:ascii="Calibri" w:cs="Calibri" w:eastAsia="Calibri" w:hAnsi="Calibri"/>
          <w:b/>
          <w:bCs/>
          <w:color w:val="1F4E5F"/>
          <w:sz w:val="26"/>
          <w:szCs w:val="26"/>
        </w:rPr>
        <w:t xml:space="preserve">15.7  Embodied carbon</w:t>
      </w:r>
    </w:p>
    <w:p>
      <w:pPr>
        <w:spacing w:after="140" w:line="276"/>
        <w:jc w:val="left"/>
      </w:pPr>
      <w:r>
        <w:rPr>
          <w:rFonts w:ascii="Calibri" w:cs="Calibri" w:eastAsia="Calibri" w:hAnsi="Calibri"/>
          <w:b w:val="false"/>
          <w:bCs w:val="false"/>
          <w:i w:val="false"/>
          <w:iCs w:val="false"/>
          <w:color w:val="000000"/>
          <w:sz w:val="21"/>
          <w:szCs w:val="21"/>
        </w:rPr>
        <w:t xml:space="preserve">A first-order estimate, using published emission factors, for one module: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3"/>
        <w:gridCol w:w="2059"/>
        <w:gridCol w:w="2059"/>
        <w:gridCol w:w="2059"/>
      </w:tblGrid>
      <w:tr>
        <w:trPr>
          <w:cantSplit/>
          <w:tblHeader/>
        </w:trPr>
        <w:tc>
          <w:tcPr>
            <w:tcW w:type="dxa" w:w="318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Contributor</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Primary-material baseline</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With this programme</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Saving</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Semiconductor fabrication (all dies)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580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580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 no lever here except fab decarbonisation</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HBM4 and LPDDR6 manufacture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410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410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(new devices)</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Advanced packaging</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93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 kg</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Copper</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15.6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3.7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11.9 kg</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Aluminium</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10.5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9.4 kg</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Gold</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46.4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42.9 kg</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Other metals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12.1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8.2 kg</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PCB and substrate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33 kg CO₂e</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 kg</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1,208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1,128 kg CO₂e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 kg CO₂e, 6.6%</w:t>
            </w:r>
          </w:p>
        </w:tc>
      </w:tr>
    </w:tbl>
    <w:p>
      <w:pPr>
        <w:spacing w:after="220" w:before="60"/>
      </w:pPr>
      <w:r>
        <w:rPr>
          <w:i/>
          <w:iCs/>
          <w:color w:val="595959"/>
          <w:sz w:val="17"/>
          <w:szCs w:val="17"/>
        </w:rPr>
        <w:t xml:space="preserve">Table 15-5. Embodied carbon estimate per module. Tier D — emission factors vary widely by source and region.</w:t>
      </w:r>
    </w:p>
    <w:p>
      <w:pPr>
        <w:spacing w:after="140" w:line="276"/>
        <w:jc w:val="left"/>
      </w:pPr>
      <w:r>
        <w:rPr>
          <w:rFonts w:ascii="Calibri" w:cs="Calibri" w:eastAsia="Calibri" w:hAnsi="Calibri"/>
          <w:b w:val="false"/>
          <w:bCs w:val="false"/>
          <w:i w:val="false"/>
          <w:iCs w:val="false"/>
          <w:color w:val="000000"/>
          <w:sz w:val="21"/>
          <w:szCs w:val="21"/>
        </w:rPr>
        <w:t xml:space="preserve">A 6.6% reduction in embodied carbon is real but modest, and it is dwarfed by the fabrication term, which the materials programme cannot touch. It is worth being clear about this rather than overstating it. The larger environmental lever in this design is not the materials programme at all — it is the 45 °C coolant specification, which removes mechanical chilling from the facility for most of the year, and the 850 W envelope, which fits more compute per megawatt of provisioned power. Over a five-year life at 70% duty, a module consumes roughly 26 MWh; at a grid factor of 0.35 kg CO₂e/kWh that is 9.1 tonnes, or seventy-five times the embodied figure. Operational efficiency is where the carbon is.</w:t>
      </w:r>
    </w:p>
    <w:p>
      <w:r>
        <w:br w:type="page"/>
      </w:r>
    </w:p>
    <w:p>
      <w:pPr>
        <w:pStyle w:val="Heading1"/>
        <w:spacing w:after="160" w:before="400"/>
      </w:pPr>
      <w:r>
        <w:rPr>
          <w:rFonts w:ascii="Calibri" w:cs="Calibri" w:eastAsia="Calibri" w:hAnsi="Calibri"/>
          <w:b/>
          <w:bCs/>
          <w:color w:val="1F4E5F"/>
          <w:sz w:val="32"/>
          <w:szCs w:val="32"/>
        </w:rPr>
        <w:t xml:space="preserve">16.  Manufacturing, Yield and Test</w:t>
      </w:r>
    </w:p>
    <w:p>
      <w:pPr>
        <w:pStyle w:val="Heading2"/>
        <w:spacing w:after="120" w:before="300"/>
      </w:pPr>
      <w:r>
        <w:rPr>
          <w:rFonts w:ascii="Calibri" w:cs="Calibri" w:eastAsia="Calibri" w:hAnsi="Calibri"/>
          <w:b/>
          <w:bCs/>
          <w:color w:val="1F4E5F"/>
          <w:sz w:val="26"/>
          <w:szCs w:val="26"/>
        </w:rPr>
        <w:t xml:space="preserve">16.1  Yield model</w:t>
      </w:r>
    </w:p>
    <w:p>
      <w:pPr>
        <w:spacing w:after="140" w:line="276"/>
        <w:jc w:val="left"/>
      </w:pPr>
      <w:r>
        <w:rPr>
          <w:rFonts w:ascii="Calibri" w:cs="Calibri" w:eastAsia="Calibri" w:hAnsi="Calibri"/>
          <w:b w:val="false"/>
          <w:bCs w:val="false"/>
          <w:i w:val="false"/>
          <w:iCs w:val="false"/>
          <w:color w:val="000000"/>
          <w:sz w:val="21"/>
          <w:szCs w:val="21"/>
        </w:rPr>
        <w:t xml:space="preserve">Die yield is modelled with the Murphy formulation, which is the standard for large logic dies:</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1 − exp(−A·D₀) ⎤ ²</w:t>
      </w:r>
    </w:p>
    <w:p>
      <w:pPr>
        <w:shd w:fill="EEF3F6" w:val="clear"/>
        <w:spacing w:after="0" w:line="216"/>
        <w:ind w:left="120" w:right="120"/>
      </w:pPr>
      <w:r>
        <w:rPr>
          <w:rFonts w:ascii="Consolas" w:cs="Consolas" w:eastAsia="Consolas" w:hAnsi="Consolas"/>
          <w:sz w:val="15"/>
          <w:szCs w:val="15"/>
        </w:rPr>
        <w:t xml:space="preserve">        Y  =  Y₀ ·   ⎢ ─────────────── ⎥</w:t>
      </w:r>
    </w:p>
    <w:p>
      <w:pPr>
        <w:shd w:fill="EEF3F6" w:val="clear"/>
        <w:spacing w:after="0" w:line="216"/>
        <w:ind w:left="120" w:right="120"/>
      </w:pPr>
      <w:r>
        <w:rPr>
          <w:rFonts w:ascii="Consolas" w:cs="Consolas" w:eastAsia="Consolas" w:hAnsi="Consolas"/>
          <w:sz w:val="15"/>
          <w:szCs w:val="15"/>
        </w:rPr>
        <w:t xml:space="preserve">                     ⎣      A·D₀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where  A  = die area (cm²),  D₀ = defect density (defects/cm²),</w:t>
      </w:r>
    </w:p>
    <w:p>
      <w:pPr>
        <w:shd w:fill="EEF3F6" w:val="clear"/>
        <w:spacing w:after="0" w:line="216"/>
        <w:ind w:left="120" w:right="120"/>
      </w:pPr>
      <w:r>
        <w:rPr>
          <w:rFonts w:ascii="Consolas" w:cs="Consolas" w:eastAsia="Consolas" w:hAnsi="Consolas"/>
          <w:sz w:val="15"/>
          <w:szCs w:val="15"/>
        </w:rPr>
        <w:t xml:space="preserve">          Y₀ = gross/systematic yield limit (taken as 0.95 for a mature node,</w:t>
      </w:r>
    </w:p>
    <w:p>
      <w:pPr>
        <w:shd w:fill="EEF3F6" w:val="clear"/>
        <w:spacing w:after="0" w:line="216"/>
        <w:ind w:left="120" w:right="120"/>
      </w:pPr>
      <w:r>
        <w:rPr>
          <w:rFonts w:ascii="Consolas" w:cs="Consolas" w:eastAsia="Consolas" w:hAnsi="Consolas"/>
          <w:sz w:val="15"/>
          <w:szCs w:val="15"/>
        </w:rPr>
        <w:t xml:space="preserve">               0.92 for N2P in 2028).</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936"/>
        <w:gridCol w:w="936"/>
        <w:gridCol w:w="842"/>
        <w:gridCol w:w="1217"/>
        <w:gridCol w:w="655"/>
        <w:gridCol w:w="1030"/>
        <w:gridCol w:w="936"/>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Die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Area</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D₀ assumed</w:t>
            </w:r>
          </w:p>
        </w:tc>
        <w:tc>
          <w:tcPr>
            <w:tcW w:type="dxa" w:w="84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A·D₀</w:t>
            </w:r>
          </w:p>
        </w:tc>
        <w:tc>
          <w:tcPr>
            <w:tcW w:type="dxa" w:w="121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Murphy factor</w:t>
            </w:r>
          </w:p>
        </w:tc>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Y₀</w:t>
            </w:r>
          </w:p>
        </w:tc>
        <w:tc>
          <w:tcPr>
            <w:tcW w:type="dxa" w:w="103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Net yield</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Good dies/wafer</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2.10 cm²</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0.10</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0.210</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0.8129</w:t>
            </w:r>
          </w:p>
        </w:tc>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74.8%</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208</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3.80 cm²</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0.06</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0.228</w:t>
            </w:r>
          </w:p>
        </w:tc>
        <w:tc>
          <w:tcPr>
            <w:tcW w:type="dxa" w:w="121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0.7994</w:t>
            </w:r>
          </w:p>
        </w:tc>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0.95</w:t>
            </w:r>
          </w:p>
        </w:tc>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75.9%</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110</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(monolithic equivalent, for comparison)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8.40 cm²</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0.10</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0.840</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0.4573</w:t>
            </w:r>
          </w:p>
        </w:tc>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42.1%</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24</w:t>
            </w:r>
          </w:p>
        </w:tc>
      </w:tr>
    </w:tbl>
    <w:p>
      <w:pPr>
        <w:spacing w:after="220" w:before="60"/>
      </w:pPr>
      <w:r>
        <w:rPr>
          <w:i/>
          <w:iCs/>
          <w:color w:val="595959"/>
          <w:sz w:val="17"/>
          <w:szCs w:val="17"/>
        </w:rPr>
        <w:t xml:space="preserve">Table 16-1. Die yield. Gross dies per 300 mm wafer computed in Appendix D with edge exclusion of 3 mm.</w:t>
      </w:r>
    </w:p>
    <w:p>
      <w:pPr>
        <w:spacing w:after="140" w:line="276"/>
        <w:jc w:val="left"/>
      </w:pPr>
      <w:r>
        <w:rPr>
          <w:rFonts w:ascii="Calibri" w:cs="Calibri" w:eastAsia="Calibri" w:hAnsi="Calibri"/>
          <w:b w:val="false"/>
          <w:bCs w:val="false"/>
          <w:i w:val="false"/>
          <w:iCs w:val="false"/>
          <w:color w:val="000000"/>
          <w:sz w:val="21"/>
          <w:szCs w:val="21"/>
        </w:rPr>
        <w:t xml:space="preserve">The defect-density assumptions are the load-bearing input. D₀ = 0.10 defects/cm² for N2P in 2028 assumes a node that has been in high-volume production for roughly two years; published estimates for mature N3 sit around 0.10–0.14. D₀ = 0.06 for N6 is conservative for a node that will be six years old. If N2P defect density is 0.14 rather than 0.10, CTC yield falls to 69.0% and compute silicon cost rises by $48 per package — uncomfortable but not fatal, and exactly the kind of sensitivity that the chiplet partition exists to bound. The monolithic equivalent at D₀ = 0.14 falls to 32.9% and costs $1,632, a $367 swing. Appendix D.3 works both cases.</w:t>
      </w:r>
    </w:p>
    <w:p>
      <w:pPr>
        <w:pStyle w:val="Heading2"/>
        <w:spacing w:after="120" w:before="300"/>
      </w:pPr>
      <w:r>
        <w:rPr>
          <w:rFonts w:ascii="Calibri" w:cs="Calibri" w:eastAsia="Calibri" w:hAnsi="Calibri"/>
          <w:b/>
          <w:bCs/>
          <w:color w:val="1F4E5F"/>
          <w:sz w:val="26"/>
          <w:szCs w:val="26"/>
        </w:rPr>
        <w:t xml:space="preserve">16.2  Assembly yield</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996"/>
        <w:gridCol w:w="1123"/>
        <w:gridCol w:w="1310"/>
        <w:gridCol w:w="3931"/>
      </w:tblGrid>
      <w:tr>
        <w:trPr>
          <w:cantSplit/>
          <w:tblHeader/>
        </w:trPr>
        <w:tc>
          <w:tcPr>
            <w:tcW w:type="dxa" w:w="299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Step</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Yield</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Cumulative</w:t>
            </w:r>
          </w:p>
        </w:tc>
        <w:tc>
          <w:tcPr>
            <w:tcW w:type="dxa" w:w="393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Notes</w:t>
            </w:r>
          </w:p>
        </w:tc>
      </w:tr>
      <w:tr>
        <w:trPr>
          <w:cantSplit/>
          <w:tblHeader w:val="false"/>
        </w:trPr>
        <w:tc>
          <w:tcPr>
            <w:tcW w:type="dxa" w:w="299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Known-good-die test, CTC</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99.4%</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99.4%</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Test escapes; the cost of an escape is one scrapped MHC</w:t>
            </w:r>
          </w:p>
        </w:tc>
      </w:tr>
      <w:tr>
        <w:trPr>
          <w:cantSplit/>
          <w:tblHeader w:val="false"/>
        </w:trPr>
        <w:tc>
          <w:tcPr>
            <w:tcW w:type="dxa" w:w="299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Known-good-die test, MHC</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99.4%</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98.8%</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99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SoIC hybrid bond, 2 CTC to 1 MHC</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97.2%</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96.0%</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Dominant assembly risk. Lane repair (§6.9.2) recovers most bond defects; this figure is post-repair.</w:t>
            </w:r>
          </w:p>
        </w:tc>
      </w:tr>
      <w:tr>
        <w:trPr>
          <w:cantSplit/>
          <w:tblHeader w:val="false"/>
        </w:trPr>
        <w:tc>
          <w:tcPr>
            <w:tcW w:type="dxa" w:w="299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Post-bond test and repair</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99.1%</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95.2%</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99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CoWoS-L attach, 11 dies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97.8%</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93.1%</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Warpage and micro-bump defects across a 2,600 mm² field</w:t>
            </w:r>
          </w:p>
        </w:tc>
      </w:tr>
      <w:tr>
        <w:trPr>
          <w:cantSplit/>
          <w:tblHeader w:val="false"/>
        </w:trPr>
        <w:tc>
          <w:tcPr>
            <w:tcW w:type="dxa" w:w="299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Substrate attach and underfill</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99.3%</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92.4%</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299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Final package test</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98.6%</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91.1%</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Includes at-speed functional and thermal screen</w:t>
            </w:r>
          </w:p>
        </w:tc>
      </w:tr>
      <w:tr>
        <w:trPr>
          <w:cantSplit/>
          <w:tblHeader w:val="false"/>
        </w:trPr>
        <w:tc>
          <w:tcPr>
            <w:tcW w:type="dxa" w:w="299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Module assembly and burn-in</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98.9%</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90.1%</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16-2. Assembly yield chain. Overall 90.1%, giving a scrap provision of 9.9% applied in the cost model.</w:t>
      </w:r>
    </w:p>
    <w:p>
      <w:pPr>
        <w:spacing w:after="140" w:line="276"/>
        <w:jc w:val="left"/>
      </w:pPr>
      <w:r>
        <w:rPr>
          <w:rFonts w:ascii="Calibri" w:cs="Calibri" w:eastAsia="Calibri" w:hAnsi="Calibri"/>
          <w:b w:val="false"/>
          <w:bCs w:val="false"/>
          <w:i w:val="false"/>
          <w:iCs w:val="false"/>
          <w:color w:val="000000"/>
          <w:sz w:val="21"/>
          <w:szCs w:val="21"/>
        </w:rPr>
        <w:t xml:space="preserve">The 97.2% SoIC bond yield is a Tier-D assumption and is the single number in this document whose error would most damage the cost case. Published hybrid-bond yields for comparable die sizes are not disclosed by any vendor. If it is 92% rather than 97.2%, the effective cost per package rises by approximately $91. Work package WP-31 is a pipe-cleaner lot with the packaging partner, before RTL freeze, to establish the real figure.</w:t>
      </w:r>
    </w:p>
    <w:p>
      <w:pPr>
        <w:pStyle w:val="Heading2"/>
        <w:spacing w:after="120" w:before="300"/>
      </w:pPr>
      <w:r>
        <w:rPr>
          <w:rFonts w:ascii="Calibri" w:cs="Calibri" w:eastAsia="Calibri" w:hAnsi="Calibri"/>
          <w:b/>
          <w:bCs/>
          <w:color w:val="1F4E5F"/>
          <w:sz w:val="26"/>
          <w:szCs w:val="26"/>
        </w:rPr>
        <w:t xml:space="preserve">16.3  Wafer starts and ramp</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497"/>
        <w:gridCol w:w="1310"/>
        <w:gridCol w:w="1498"/>
        <w:gridCol w:w="1498"/>
        <w:gridCol w:w="1685"/>
        <w:gridCol w:w="1872"/>
      </w:tblGrid>
      <w:tr>
        <w:trPr>
          <w:cantSplit/>
          <w:tblHeader/>
        </w:trPr>
        <w:tc>
          <w:tcPr>
            <w:tcW w:type="dxa" w:w="149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Year</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Modules</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CTC wafers</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MHC wafers</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CoWoS-L wafers</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Notes</w:t>
            </w:r>
          </w:p>
        </w:tc>
      </w:tr>
      <w:tr>
        <w:trPr>
          <w:cantSplit/>
          <w:tblHeader w:val="false"/>
        </w:trPr>
        <w:tc>
          <w:tcPr>
            <w:tcW w:type="dxa" w:w="149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2028 (samples)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2,000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45</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Engineering samples and qualification lots</w:t>
            </w:r>
          </w:p>
        </w:tc>
      </w:tr>
      <w:tr>
        <w:trPr>
          <w:cantSplit/>
          <w:tblHeader w:val="false"/>
        </w:trPr>
        <w:tc>
          <w:tcPr>
            <w:tcW w:type="dxa" w:w="149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2029 H1</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35,000</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785</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620</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1,930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Initial ramp; yields below model</w:t>
            </w:r>
          </w:p>
        </w:tc>
      </w:tr>
      <w:tr>
        <w:trPr>
          <w:cantSplit/>
          <w:tblHeader w:val="false"/>
        </w:trPr>
        <w:tc>
          <w:tcPr>
            <w:tcW w:type="dxa" w:w="149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2029 H2</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90,000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2,020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1,600</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4,960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149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2030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250,000</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5,610</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4,440</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13,780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Steady state</w:t>
            </w:r>
          </w:p>
        </w:tc>
      </w:tr>
      <w:tr>
        <w:trPr>
          <w:cantSplit/>
          <w:tblHeader w:val="false"/>
        </w:trPr>
        <w:tc>
          <w:tcPr>
            <w:tcW w:type="dxa" w:w="149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2031</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250,000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5,610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4,440</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13,780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Plus SC-2 introduction</w:t>
            </w:r>
          </w:p>
        </w:tc>
      </w:tr>
    </w:tbl>
    <w:p>
      <w:pPr>
        <w:spacing w:after="220" w:before="60"/>
      </w:pPr>
      <w:r>
        <w:rPr>
          <w:i/>
          <w:iCs/>
          <w:color w:val="595959"/>
          <w:sz w:val="17"/>
          <w:szCs w:val="17"/>
        </w:rPr>
        <w:t xml:space="preserve">Table 16-3. Production plan. CoWoS-L figure assumes ~18 packages per interposer wafer at a 2,600 mm² field.</w:t>
      </w:r>
    </w:p>
    <w:p>
      <w:pPr>
        <w:spacing w:after="140" w:line="276"/>
        <w:jc w:val="left"/>
      </w:pPr>
      <w:r>
        <w:rPr>
          <w:rFonts w:ascii="Calibri" w:cs="Calibri" w:eastAsia="Calibri" w:hAnsi="Calibri"/>
          <w:b w:val="false"/>
          <w:bCs w:val="false"/>
          <w:i w:val="false"/>
          <w:iCs w:val="false"/>
          <w:color w:val="000000"/>
          <w:sz w:val="21"/>
          <w:szCs w:val="21"/>
        </w:rPr>
        <w:t xml:space="preserve">At steady state the programme needs approximately 1,150 CoWoS-L wafer starts per month. Against a TSMC CoWoS capacity projected at 120,000–130,000 wafers per month by end of 2026, that is roughly 0.9% of total industry capacity — obtainable, but requiring a multi-year allocation agreement negotiated before tape-out, not after. Advanced packaging allocation, not silicon, is the gating item on the schedule in Section 1.4, and Section 22 carries it as risk R-03.</w:t>
      </w:r>
    </w:p>
    <w:p>
      <w:pPr>
        <w:pStyle w:val="Heading2"/>
        <w:spacing w:after="120" w:before="300"/>
      </w:pPr>
      <w:r>
        <w:rPr>
          <w:rFonts w:ascii="Calibri" w:cs="Calibri" w:eastAsia="Calibri" w:hAnsi="Calibri"/>
          <w:b/>
          <w:bCs/>
          <w:color w:val="1F4E5F"/>
          <w:sz w:val="26"/>
          <w:szCs w:val="26"/>
        </w:rPr>
        <w:t xml:space="preserve">16.4  Known-good-die test</w:t>
      </w:r>
    </w:p>
    <w:p>
      <w:pPr>
        <w:spacing w:after="140" w:line="276"/>
        <w:jc w:val="left"/>
      </w:pPr>
      <w:r>
        <w:rPr>
          <w:rFonts w:ascii="Calibri" w:cs="Calibri" w:eastAsia="Calibri" w:hAnsi="Calibri"/>
          <w:b w:val="false"/>
          <w:bCs w:val="false"/>
          <w:i w:val="false"/>
          <w:iCs w:val="false"/>
          <w:color w:val="000000"/>
          <w:sz w:val="21"/>
          <w:szCs w:val="21"/>
        </w:rPr>
        <w:t xml:space="preserve">The economics of the chiplet partition depend entirely on not bonding bad dies. A CTC that fails after bonding takes an MHC with it; an MHC that fails takes two CTCs. The expected loss from a single test escape is therefore between $211 and $350 depending on which die fails, against a KGD test cost of roughly $14 per die. The test must be thorough.</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Full scan at nominal and at both voltage corners, with on-chip compression, targeting ≥ 99.4% stuck-at and ≥ 96% transition-delay coverage.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MBIST on every SRAM instance with repair applied and re-verified.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At-speed LBIST on the MAC arrays with golden signature comparison — this is the structure most likely to harbour a marginal fault that functional patterns miss.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SoIC bond-pad continuity and leakage probe, using a fine-pitch probe card. This is not routine at 9 µm pitch and requires a probe technology qualification of its own; it is work package WP-33.</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Thermal screen at 105 °C to precipitate infant-mortality defects before the die is committed to an assembly that cannot be undone.</w:t>
      </w:r>
    </w:p>
    <w:p>
      <w:r>
        <w:br w:type="page"/>
      </w:r>
    </w:p>
    <w:p>
      <w:pPr>
        <w:pStyle w:val="Heading1"/>
        <w:spacing w:after="160" w:before="400"/>
      </w:pPr>
      <w:r>
        <w:rPr>
          <w:rFonts w:ascii="Calibri" w:cs="Calibri" w:eastAsia="Calibri" w:hAnsi="Calibri"/>
          <w:b/>
          <w:bCs/>
          <w:color w:val="1F4E5F"/>
          <w:sz w:val="32"/>
          <w:szCs w:val="32"/>
        </w:rPr>
        <w:t xml:space="preserve">17.  Cost Model and Total Cost of Ownership</w:t>
      </w:r>
    </w:p>
    <w:p>
      <w:pPr>
        <w:spacing w:after="140" w:line="276"/>
        <w:jc w:val="left"/>
      </w:pPr>
      <w:r>
        <w:rPr>
          <w:rFonts w:ascii="Calibri" w:cs="Calibri" w:eastAsia="Calibri" w:hAnsi="Calibri"/>
          <w:b w:val="false"/>
          <w:bCs w:val="false"/>
          <w:i w:val="false"/>
          <w:iCs w:val="false"/>
          <w:color w:val="000000"/>
          <w:sz w:val="21"/>
          <w:szCs w:val="21"/>
        </w:rPr>
        <w:t xml:space="preserve">This section is the one most likely to be wrong and the one on which the programme decision rests. It is built bottom-up from the yield arithmetic of Section 16 and Appendix D, with every assumption exposed. Where a figure is a market estimate for 2028, it is marked Tier D and given a sensitivity band.</w:t>
      </w:r>
    </w:p>
    <w:p>
      <w:pPr>
        <w:pStyle w:val="Heading2"/>
        <w:spacing w:after="120" w:before="300"/>
      </w:pPr>
      <w:r>
        <w:rPr>
          <w:rFonts w:ascii="Calibri" w:cs="Calibri" w:eastAsia="Calibri" w:hAnsi="Calibri"/>
          <w:b/>
          <w:bCs/>
          <w:color w:val="1F4E5F"/>
          <w:sz w:val="26"/>
          <w:szCs w:val="26"/>
        </w:rPr>
        <w:t xml:space="preserve">17.1  Bill of materials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995"/>
        <w:gridCol w:w="1123"/>
        <w:gridCol w:w="936"/>
        <w:gridCol w:w="4306"/>
      </w:tblGrid>
      <w:tr>
        <w:trPr>
          <w:cantSplit/>
          <w:tblHeader/>
        </w:trPr>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Line</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Cost</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Share</w:t>
            </w:r>
          </w:p>
        </w:tc>
        <w:tc>
          <w:tcPr>
            <w:tcW w:type="dxa" w:w="430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Basis and confidence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 4</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$596</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11.5%</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B. $31,000/wafer ÷ 208 good dies = $149 each. Appendix D.2</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 × 2</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$178</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3.4%</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B. $9,800/wafer ÷ 110 good dies = $89 each</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HBM4 48 GB × 4</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$1,680</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32.4%</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D. $420/stack in 2028. The largest single line and the least certain</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LPDDR6 512 GB</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$1,792</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34.6%</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D. $3.50/GB. Sensitive to the DRAM cycle; see §17.4</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CoWoS-L interposer and attach</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$380</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7.3%</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 ~2,600 mm² field, 11 dies, ~18 packages per interposer wafer</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SoIC hybrid bond, 2 stacks</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$145</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2.8%</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D. Bonding cost is not publicly quoted at this die size</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Organic substrate, 20 L, 92 × 92 mm</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$95</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1.8%</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Module PCB, 18 L</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$88</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1.7%</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VRM, 14-phase, 1,100 A capable</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2.7%</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Cold plate, TIM1, retention hardware</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$96</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1.9%</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Connectors, cages, passives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$54</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Structural silicon (reclaimed)</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§15.4</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Test — KGD, post-bond, package, module</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$118</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2.3%</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Tier C. §16.4</w:t>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Materials programme credit</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−$109</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−2.1%</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§15.2, Table 15-2</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Subtotal before assembly scrap</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$5,267</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Assembly scrap provision (÷ 0.901)</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+$579</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11.2%</w:t>
            </w:r>
          </w:p>
        </w:tc>
        <w:tc>
          <w:tcPr>
            <w:tcW w:type="dxa" w:w="430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Table 16-2 cumulative assembly yield</w:t>
            </w:r>
          </w:p>
        </w:tc>
      </w:tr>
      <w:tr>
        <w:trPr>
          <w:cantSplit/>
          <w:tblHeader w:val="false"/>
        </w:trPr>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Total manufacturing cost</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$5,846</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100%</w:t>
            </w:r>
          </w:p>
        </w:tc>
        <w:tc>
          <w:tcPr>
            <w:tcW w:type="dxa" w:w="430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Steady state at 250,000 modules/year</w:t>
            </w:r>
          </w:p>
        </w:tc>
      </w:tr>
    </w:tbl>
    <w:p>
      <w:pPr>
        <w:spacing w:after="220" w:before="60"/>
      </w:pPr>
      <w:r>
        <w:rPr>
          <w:i/>
          <w:iCs/>
          <w:color w:val="595959"/>
          <w:sz w:val="17"/>
          <w:szCs w:val="17"/>
        </w:rPr>
        <w:t xml:space="preserve">Table 17-1. Manufacturing cost per module, 2028–29 estimates.</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Read this table for its shape, not its total</w:t>
            </w:r>
          </w:p>
          <w:p>
            <w:pPr>
              <w:spacing w:after="100" w:line="264"/>
            </w:pPr>
            <w:r>
              <w:rPr>
                <w:sz w:val="20"/>
                <w:szCs w:val="20"/>
              </w:rPr>
              <w:t xml:space="preserve">Memory is 67% of the bill of materials. Logic silicon is 15%. Packaging is 10%. Everything else is noise.</w:t>
            </w:r>
          </w:p>
          <w:p>
            <w:pPr>
              <w:spacing w:after="100" w:line="264"/>
            </w:pPr>
            <w:r>
              <w:rPr>
                <w:sz w:val="20"/>
                <w:szCs w:val="20"/>
              </w:rPr>
              <w:t xml:space="preserve">This is the single most important fact about modern accelerator economics and it is why Section 5 spends four small dies rather than one large one and why Section 8 exists. A design that optimises the 15% and ignores the 67% is not a cost programme.</w:t>
            </w:r>
          </w:p>
          <w:p>
            <w:pPr>
              <w:spacing w:after="40" w:line="264"/>
            </w:pPr>
            <w:r>
              <w:rPr>
                <w:sz w:val="20"/>
                <w:szCs w:val="20"/>
              </w:rPr>
              <w:t xml:space="preserve">It also means the total is hostage to two Tier-D market estimates — HBM4 stack price and LPDDR6 price per gigabyte — over which the design has no control and about which the author has no privileged information. Section 17.4 gives the sensitivity. A reviewer with real 2028 memory quotations should recompute this table before anything else.</w:t>
            </w:r>
          </w:p>
        </w:tc>
      </w:tr>
    </w:tbl>
    <w:p>
      <w:pPr>
        <w:pStyle w:val="Heading2"/>
        <w:spacing w:after="120" w:before="300"/>
      </w:pPr>
      <w:r>
        <w:rPr>
          <w:rFonts w:ascii="Calibri" w:cs="Calibri" w:eastAsia="Calibri" w:hAnsi="Calibri"/>
          <w:b/>
          <w:bCs/>
          <w:color w:val="1F4E5F"/>
          <w:sz w:val="26"/>
          <w:szCs w:val="26"/>
        </w:rPr>
        <w:t xml:space="preserve">17.2  Why the partition pays for itself</w:t>
      </w:r>
    </w:p>
    <w:p>
      <w:pPr>
        <w:spacing w:after="140" w:line="276"/>
        <w:jc w:val="left"/>
      </w:pPr>
      <w:r>
        <w:rPr>
          <w:rFonts w:ascii="Calibri" w:cs="Calibri" w:eastAsia="Calibri" w:hAnsi="Calibri"/>
          <w:b w:val="false"/>
          <w:bCs w:val="false"/>
          <w:i w:val="false"/>
          <w:iCs w:val="false"/>
          <w:color w:val="000000"/>
          <w:sz w:val="21"/>
          <w:szCs w:val="21"/>
        </w:rPr>
        <w:t xml:space="preserve">The comparison that justifies the chiplet decision, holding total compute area constant at 840 mm² of N2P:</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2"/>
        <w:gridCol w:w="3089"/>
        <w:gridCol w:w="3089"/>
      </w:tblGrid>
      <w:tr>
        <w:trPr>
          <w:cantSplit/>
          <w:tblHeader/>
        </w:trPr>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
            </w:r>
          </w:p>
        </w:tc>
        <w:tc>
          <w:tcPr>
            <w:tcW w:type="dxa" w:w="308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Four 210 mm² CTCs</w:t>
            </w:r>
          </w:p>
        </w:tc>
        <w:tc>
          <w:tcPr>
            <w:tcW w:type="dxa" w:w="308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One 840 mm² monolith</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Gross dies per 300 mm wafer</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278</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58</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Murphy yield factor at D₀ = 0.10</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0.813</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0.457</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Systematic yield limit Y₀</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0.92</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0.92</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Net die yield</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74.8%</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42.1%</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Good dies per wafer</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208</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24</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Cost per good die</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$149</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$1,265</w:t>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Compute silicon per package</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$596</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$1,265</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Saving</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$669 per package (52.9%)</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 D₀ = 0.14 (pessimistic)</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$656</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$1,548</w:t>
            </w:r>
          </w:p>
        </w:tc>
      </w:tr>
      <w:tr>
        <w:trPr>
          <w:cantSplit/>
          <w:tblHeader w:val="false"/>
        </w:trPr>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Saving at D₀ = 0.14</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$892 per package (57.6%)</w:t>
            </w:r>
          </w:p>
        </w:tc>
        <w:tc>
          <w:tcPr>
            <w:tcW w:type="dxa" w:w="308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Additional recovery from harvest binning</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9 pp of effective yield (§13.6)</w:t>
            </w:r>
          </w:p>
        </w:tc>
        <w:tc>
          <w:tcPr>
            <w:tcW w:type="dxa" w:w="308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Not available — a tile defect scraps the whole part</w:t>
            </w:r>
          </w:p>
        </w:tc>
      </w:tr>
    </w:tbl>
    <w:p>
      <w:pPr>
        <w:spacing w:after="220" w:before="60"/>
      </w:pPr>
      <w:r>
        <w:rPr>
          <w:i/>
          <w:iCs/>
          <w:color w:val="595959"/>
          <w:sz w:val="17"/>
          <w:szCs w:val="17"/>
        </w:rPr>
        <w:t xml:space="preserve">Table 17-2. Partition economics. The saving grows as defect density worsens, which is the property that makes it a good hedge rather than merely a good bet.</w:t>
      </w:r>
    </w:p>
    <w:p>
      <w:pPr>
        <w:spacing w:after="140" w:line="276"/>
        <w:jc w:val="left"/>
      </w:pPr>
      <w:r>
        <w:rPr>
          <w:rFonts w:ascii="Calibri" w:cs="Calibri" w:eastAsia="Calibri" w:hAnsi="Calibri"/>
          <w:b w:val="false"/>
          <w:bCs w:val="false"/>
          <w:i w:val="false"/>
          <w:iCs w:val="false"/>
          <w:color w:val="000000"/>
          <w:sz w:val="21"/>
          <w:szCs w:val="21"/>
        </w:rPr>
        <w:t xml:space="preserve">The cost of that saving is enumerated in Table 2-1: 152 mm² of additional total die area across the two MHCs, an SoIC bonding step at $145, known-good-die test infrastructure, and 11.6 W of die-to-die interface power. Netting those against the $669 leaves approximately $470 per package, or $118 M per year at 250,000 modules. That is the return on the single decision to cut the die into four pieces.</w:t>
      </w:r>
    </w:p>
    <w:p>
      <w:pPr>
        <w:pStyle w:val="Heading2"/>
        <w:spacing w:after="120" w:before="300"/>
      </w:pPr>
      <w:r>
        <w:rPr>
          <w:rFonts w:ascii="Calibri" w:cs="Calibri" w:eastAsia="Calibri" w:hAnsi="Calibri"/>
          <w:b/>
          <w:bCs/>
          <w:color w:val="1F4E5F"/>
          <w:sz w:val="26"/>
          <w:szCs w:val="26"/>
        </w:rPr>
        <w:t xml:space="preserve">17.3  Non-recurring engineering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4119"/>
        <w:gridCol w:w="1123"/>
        <w:gridCol w:w="4118"/>
      </w:tblGrid>
      <w:tr>
        <w:trPr>
          <w:cantSplit/>
          <w:tblHeader/>
        </w:trPr>
        <w:tc>
          <w:tcPr>
            <w:tcW w:type="dxa" w:w="411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Item</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Cost</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Notes</w:t>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Mask sets — N2P, CTC</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Leading-node EUV mask set</w:t>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Mask sets — N6, MHC</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Respin contingency, one metal-layer respin each</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Budgeted, not hoped against</w:t>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Design team, 120 engineers × 3 years</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$162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At $450 k fully loaded</w:t>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Software and compiler, 90 engineers × 4 years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$151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largest single line after the design team, and the one most often underestimated</w:t>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Verification infrastructure and emulation capacity</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$45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Two large emulators plus the farm</w:t>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IP licensing — HBM4 PHY, LPDDR6 PHY, 224G SerDes, PCIe Gen6, RISC-V cores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$60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Packaging development and qualification</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$55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Includes the SoIC pipe-cleaner lots and CoWoS-L field qualification</w:t>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Test development and ATE programme</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Including the 9 µm probe technology qualification</w:t>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Product and materials qualification</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Includes the $1.4 M cobalt precursor qualification of §15.3</w:t>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Bring-up and silicon characterisation</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411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Programme management, facilities, overhead</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 M</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411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$679 M</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Range $620 M – $940 M depending on respin count and software scope</w:t>
            </w:r>
          </w:p>
        </w:tc>
      </w:tr>
    </w:tbl>
    <w:p>
      <w:pPr>
        <w:spacing w:after="220" w:before="60"/>
      </w:pPr>
      <w:r>
        <w:rPr>
          <w:i/>
          <w:iCs/>
          <w:color w:val="595959"/>
          <w:sz w:val="17"/>
          <w:szCs w:val="17"/>
        </w:rPr>
        <w:t xml:space="preserve">Table 17-3. Non-recurring engineering estimate.</w:t>
      </w:r>
    </w:p>
    <w:p>
      <w:pPr>
        <w:spacing w:after="140" w:line="276"/>
        <w:jc w:val="left"/>
      </w:pPr>
      <w:r>
        <w:rPr>
          <w:rFonts w:ascii="Calibri" w:cs="Calibri" w:eastAsia="Calibri" w:hAnsi="Calibri"/>
          <w:b w:val="false"/>
          <w:bCs w:val="false"/>
          <w:i w:val="false"/>
          <w:iCs w:val="false"/>
          <w:color w:val="000000"/>
          <w:sz w:val="21"/>
          <w:szCs w:val="21"/>
        </w:rPr>
        <w:t xml:space="preserve">The software line deserves a warning. Custom accelerator programmes do not usually fail in the fab; they fail because the compiler is two years late and the fleet cannot migrate onto the hardware it bought. $151 M and 90 engineers for four years is what it costs to build a graph compiler, a kernel library, a runtime, a profiler, a debugger, and the model-porting effort for a live model family — and it is an estimate that assumes the programming model is borrowed rather than invented (Section 18.1). If the programme invents its own programming model, double it and add a year.</w:t>
      </w:r>
    </w:p>
    <w:p>
      <w:pPr>
        <w:pStyle w:val="Heading2"/>
        <w:spacing w:after="120" w:before="300"/>
      </w:pPr>
      <w:r>
        <w:rPr>
          <w:rFonts w:ascii="Calibri" w:cs="Calibri" w:eastAsia="Calibri" w:hAnsi="Calibri"/>
          <w:b/>
          <w:bCs/>
          <w:color w:val="1F4E5F"/>
          <w:sz w:val="26"/>
          <w:szCs w:val="26"/>
        </w:rPr>
        <w:t xml:space="preserve">17.4  Cost sensitivity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435"/>
        <w:gridCol w:w="1310"/>
        <w:gridCol w:w="1310"/>
        <w:gridCol w:w="1310"/>
        <w:gridCol w:w="2995"/>
      </w:tblGrid>
      <w:tr>
        <w:trPr>
          <w:cantSplit/>
          <w:tblHeader/>
        </w:trPr>
        <w:tc>
          <w:tcPr>
            <w:tcW w:type="dxa" w:w="243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Variable</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Baseline</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Pessimistic</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Optimistic</w:t>
            </w:r>
          </w:p>
        </w:tc>
        <w:tc>
          <w:tcPr>
            <w:tcW w:type="dxa" w:w="299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Effect on module cost</w:t>
            </w:r>
          </w:p>
        </w:tc>
      </w:tr>
      <w:tr>
        <w:trPr>
          <w:cantSplit/>
          <w:tblHeader w:val="false"/>
        </w:trPr>
        <w:tc>
          <w:tcPr>
            <w:tcW w:type="dxa" w:w="243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HBM4 stack price</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$420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$310</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+$800 / −$440</w:t>
            </w:r>
          </w:p>
        </w:tc>
      </w:tr>
      <w:tr>
        <w:trPr>
          <w:cantSplit/>
          <w:tblHeader w:val="false"/>
        </w:trPr>
        <w:tc>
          <w:tcPr>
            <w:tcW w:type="dxa" w:w="243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LPDDR6 price per GB</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$2.10</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+$870 / −$717</w:t>
            </w:r>
          </w:p>
        </w:tc>
      </w:tr>
      <w:tr>
        <w:trPr>
          <w:cantSplit/>
          <w:tblHeader w:val="false"/>
        </w:trPr>
        <w:tc>
          <w:tcPr>
            <w:tcW w:type="dxa" w:w="243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N2P defect density D₀</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0.10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0.14</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0.08</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+$60 / −$28</w:t>
            </w:r>
          </w:p>
        </w:tc>
      </w:tr>
      <w:tr>
        <w:trPr>
          <w:cantSplit/>
          <w:tblHeader w:val="false"/>
        </w:trPr>
        <w:tc>
          <w:tcPr>
            <w:tcW w:type="dxa" w:w="243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N2P wafer price</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$31,000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$36,000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$27,000</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+$96 / −$77</w:t>
            </w:r>
          </w:p>
        </w:tc>
      </w:tr>
      <w:tr>
        <w:trPr>
          <w:cantSplit/>
          <w:tblHeader w:val="false"/>
        </w:trPr>
        <w:tc>
          <w:tcPr>
            <w:tcW w:type="dxa" w:w="243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SoIC bond yield</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97.2%</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92.0%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99.0%</w:t>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+$91 / −$29</w:t>
            </w:r>
          </w:p>
        </w:tc>
      </w:tr>
      <w:tr>
        <w:trPr>
          <w:cantSplit/>
          <w:tblHeader w:val="false"/>
        </w:trPr>
        <w:tc>
          <w:tcPr>
            <w:tcW w:type="dxa" w:w="243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CoWoS-L allocation price</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$310</w:t>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+$155 / −$78</w:t>
            </w:r>
          </w:p>
        </w:tc>
      </w:tr>
      <w:tr>
        <w:trPr>
          <w:cantSplit/>
          <w:tblHeader w:val="false"/>
        </w:trPr>
        <w:tc>
          <w:tcPr>
            <w:tcW w:type="dxa" w:w="243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 pessimistic simultaneously</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299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$8,061 (+38%)</w:t>
            </w:r>
          </w:p>
        </w:tc>
      </w:tr>
      <w:tr>
        <w:trPr>
          <w:cantSplit/>
          <w:tblHeader w:val="false"/>
        </w:trPr>
        <w:tc>
          <w:tcPr>
            <w:tcW w:type="dxa" w:w="243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 optimistic simultaneously</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c>
          <w:tcPr>
            <w:tcW w:type="dxa" w:w="299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$4,398 (−25%)</w:t>
            </w:r>
          </w:p>
        </w:tc>
      </w:tr>
    </w:tbl>
    <w:p>
      <w:pPr>
        <w:spacing w:after="220" w:before="60"/>
      </w:pPr>
      <w:r>
        <w:rPr>
          <w:i/>
          <w:iCs/>
          <w:color w:val="595959"/>
          <w:sz w:val="17"/>
          <w:szCs w:val="17"/>
        </w:rPr>
        <w:t xml:space="preserve">Table 17-4. Cost sensitivity. Memory pricing dominates; nothing else comes close.</w:t>
      </w:r>
    </w:p>
    <w:p>
      <w:pPr>
        <w:spacing w:after="140" w:line="276"/>
        <w:jc w:val="left"/>
      </w:pPr>
      <w:r>
        <w:rPr>
          <w:rFonts w:ascii="Calibri" w:cs="Calibri" w:eastAsia="Calibri" w:hAnsi="Calibri"/>
          <w:b w:val="false"/>
          <w:bCs w:val="false"/>
          <w:i w:val="false"/>
          <w:iCs w:val="false"/>
          <w:color w:val="000000"/>
          <w:sz w:val="21"/>
          <w:szCs w:val="21"/>
        </w:rPr>
        <w:t xml:space="preserve">The design has two levers against the memory-price risk and both are already built in. If HBM4 is expensive, the Tier-2 fraction rises: a three-stack variant with 768 GB of Tier 2 loses roughly 25% of Tier-1 bandwidth but costs $560 less. If LPDDR6 is expensive, the 256 GB module build option costs $896 less at the price of the parking capacity. Because both tiers are populated as discrete devices on the module rather than being fixed in the package, these are procurement decisions taken quarterly rather than silicon decisions taken once. That flexibility is worth more than it appears in any single-point cost estimate.</w:t>
      </w:r>
    </w:p>
    <w:p>
      <w:pPr>
        <w:pStyle w:val="Heading2"/>
        <w:spacing w:after="120" w:before="300"/>
      </w:pPr>
      <w:r>
        <w:rPr>
          <w:rFonts w:ascii="Calibri" w:cs="Calibri" w:eastAsia="Calibri" w:hAnsi="Calibri"/>
          <w:b/>
          <w:bCs/>
          <w:color w:val="1F4E5F"/>
          <w:sz w:val="26"/>
          <w:szCs w:val="26"/>
        </w:rPr>
        <w:t xml:space="preserve">17.5  Total cost of ownership</w:t>
      </w:r>
    </w:p>
    <w:p>
      <w:pPr>
        <w:spacing w:after="140" w:line="276"/>
        <w:jc w:val="left"/>
      </w:pPr>
      <w:r>
        <w:rPr>
          <w:rFonts w:ascii="Calibri" w:cs="Calibri" w:eastAsia="Calibri" w:hAnsi="Calibri"/>
          <w:b w:val="false"/>
          <w:bCs w:val="false"/>
          <w:i w:val="false"/>
          <w:iCs w:val="false"/>
          <w:color w:val="000000"/>
          <w:sz w:val="21"/>
          <w:szCs w:val="21"/>
        </w:rPr>
        <w:t xml:space="preserve">Five-year TCO per module, at 70% duty cycle, $0.06 per kWh, and a facility power usage effectiveness of 1.15 achieved by the 45 °C coolant specification of Section 14.6:</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3"/>
        <w:gridCol w:w="1872"/>
        <w:gridCol w:w="2059"/>
        <w:gridCol w:w="2246"/>
      </w:tblGrid>
      <w:tr>
        <w:trPr>
          <w:cantSplit/>
          <w:tblHeader/>
        </w:trPr>
        <w:tc>
          <w:tcPr>
            <w:tcW w:type="dxa" w:w="318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Component</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SC-1</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NVIDIA GB300 (published price)</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Basis</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Acquisition</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$5,846 (manufacturing cost)</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$41,700 (NVL72 list ÷ 72)</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SC-1 is a first-party build; the GB300 figure is what a buyer pays</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NRE amortisation over 1.25 M modules</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$543</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$679 M ÷ 1.25 M</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Energy, 5 years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$1,564</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$2,576</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850 W vs 1,400 W × 30,660 h × $0.06</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Facility overhead at PUE 1.15 / 1.30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$235</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$773</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SC-1 benefits from warm-water free cooling</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Network, space, maintenance, spares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$1,280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$1,610</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Scaled by power and rack density</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Total 5-year TCO</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$9,468</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$46,659</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Modelled sustained throughput (RM-A, 32 K, matched latency)</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1,571 tok/s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1,150 tok/s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§20.2</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Tokens delivered over 5 years at 70% duty</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173 × 10⁹</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127 × 10⁹</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Cost per million output tokens</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$0.0547</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$0.3674</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Marginal serving cost only</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Advantage</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6.7×</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
            </w:r>
          </w:p>
        </w:tc>
      </w:tr>
    </w:tbl>
    <w:p>
      <w:pPr>
        <w:spacing w:after="220" w:before="60"/>
      </w:pPr>
      <w:r>
        <w:rPr>
          <w:i/>
          <w:iCs/>
          <w:color w:val="595959"/>
          <w:sz w:val="17"/>
          <w:szCs w:val="17"/>
        </w:rPr>
        <w:t xml:space="preserve">Table 17-5. Five-year total cost of ownership and cost per token.</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Three caveats that a reader must apply to the 6.7× figure</w:t>
            </w:r>
          </w:p>
          <w:p>
            <w:pPr>
              <w:spacing w:after="100" w:line="264"/>
            </w:pPr>
            <w:r>
              <w:rPr>
                <w:sz w:val="20"/>
                <w:szCs w:val="20"/>
              </w:rPr>
              <w:t xml:space="preserve">First, it compares SC-1 at manufacturing cost against GB300 at list price. That is the comparison a fleet operator faces, but it is not a like-for-like engineering comparison. On a cost-to-cost basis — estimating NVIDIA's manufacturing cost at roughly $9,000 — the advantage narrows to approximately 2.1×, arising from 1.37× throughput, 1.65× lower power, and 1.54× lower build cost. The 2.1× is the honest engineering result; the 6.7× is the honest business result. Both are true and they answer different questions.</w:t>
            </w:r>
          </w:p>
          <w:p>
            <w:pPr>
              <w:spacing w:after="100" w:line="264"/>
            </w:pPr>
            <w:r>
              <w:rPr>
                <w:sz w:val="20"/>
                <w:szCs w:val="20"/>
              </w:rPr>
              <w:t xml:space="preserve">Second, the cost per million tokens excludes training amortisation, redundancy and failover provisioning, capacity headroom for peak demand, and the long-tail latency SLAs that force real fleets to run well below the throughput-optimal operating point. It is a marginal serving cost at a modelled operating point, not an all-in unit economic.</w:t>
            </w:r>
          </w:p>
          <w:p>
            <w:pPr>
              <w:spacing w:after="40" w:line="264"/>
            </w:pPr>
            <w:r>
              <w:rPr>
                <w:sz w:val="20"/>
                <w:szCs w:val="20"/>
              </w:rPr>
              <w:t xml:space="preserve">Third, GB300 is a 2025 part and SC-1 is a 2029 part. The correct competitor is whatever NVIDIA ships in 2029, which will be substantially better than GB300. The programme must be justified against that, and Section 22 carries it as risk R-07. The structural advantages — the memory hierarchy and the die partition — are the ones that survive a generational comparison; the raw specification advantages are not.</w:t>
            </w:r>
          </w:p>
        </w:tc>
      </w:tr>
    </w:tbl>
    <w:p>
      <w:pPr>
        <w:pStyle w:val="Heading2"/>
        <w:spacing w:after="120" w:before="300"/>
      </w:pPr>
      <w:r>
        <w:rPr>
          <w:rFonts w:ascii="Calibri" w:cs="Calibri" w:eastAsia="Calibri" w:hAnsi="Calibri"/>
          <w:b/>
          <w:bCs/>
          <w:color w:val="1F4E5F"/>
          <w:sz w:val="26"/>
          <w:szCs w:val="26"/>
        </w:rPr>
        <w:t xml:space="preserve">17.6  Breakeven</w:t>
      </w:r>
    </w:p>
    <w:p>
      <w:pPr>
        <w:spacing w:after="140" w:line="276"/>
        <w:jc w:val="left"/>
      </w:pPr>
      <w:r>
        <w:rPr>
          <w:rFonts w:ascii="Calibri" w:cs="Calibri" w:eastAsia="Calibri" w:hAnsi="Calibri"/>
          <w:b w:val="false"/>
          <w:bCs w:val="false"/>
          <w:i w:val="false"/>
          <w:iCs w:val="false"/>
          <w:color w:val="000000"/>
          <w:sz w:val="21"/>
          <w:szCs w:val="21"/>
        </w:rPr>
        <w:t xml:space="preserve">Two breakeven points, because the answer depends entirely on what SC-1 is displacing.</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AGAINST MERCHANT GPU AT LIST PRICE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 deliver the tokens of N SC-1 modules requires 1.37 N GB300 units.</w:t>
      </w:r>
    </w:p>
    <w:p>
      <w:pPr>
        <w:shd w:fill="EEF3F6" w:val="clear"/>
        <w:spacing w:after="0" w:line="216"/>
        <w:ind w:left="120" w:right="120"/>
      </w:pPr>
      <w:r>
        <w:rPr>
          <w:rFonts w:ascii="Consolas" w:cs="Consolas" w:eastAsia="Consolas" w:hAnsi="Consolas"/>
          <w:sz w:val="15"/>
          <w:szCs w:val="15"/>
        </w:rPr>
        <w:t xml:space="preserve">  Cost of the GB300 path:  1.37 N × $46,659  =  $63,923 N</w:t>
      </w:r>
    </w:p>
    <w:p>
      <w:pPr>
        <w:shd w:fill="EEF3F6" w:val="clear"/>
        <w:spacing w:after="0" w:line="216"/>
        <w:ind w:left="120" w:right="120"/>
      </w:pPr>
      <w:r>
        <w:rPr>
          <w:rFonts w:ascii="Consolas" w:cs="Consolas" w:eastAsia="Consolas" w:hAnsi="Consolas"/>
          <w:sz w:val="15"/>
          <w:szCs w:val="15"/>
        </w:rPr>
        <w:t xml:space="preserve">  Cost of the SC-1 path:   N × $9,468 + $679 M</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Breakeven:  $679 M = N × ($63,923 − $9,468) = N × $54,455</w:t>
      </w:r>
    </w:p>
    <w:p>
      <w:pPr>
        <w:shd w:fill="EEF3F6" w:val="clear"/>
        <w:spacing w:after="0" w:line="216"/>
        <w:ind w:left="120" w:right="120"/>
      </w:pPr>
      <w:r>
        <w:rPr>
          <w:rFonts w:ascii="Consolas" w:cs="Consolas" w:eastAsia="Consolas" w:hAnsi="Consolas"/>
          <w:sz w:val="15"/>
          <w:szCs w:val="15"/>
        </w:rPr>
        <w:t xml:space="preserve">              N ≈ 12,500 modules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AGAINST A FIRST-PARTY ASIC ALTERNATIVE PRICED NEAR BUILD COST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Assume an alternative custom part at $7,800 build cost, 1,150 tok/s,</w:t>
      </w:r>
    </w:p>
    <w:p>
      <w:pPr>
        <w:shd w:fill="EEF3F6" w:val="clear"/>
        <w:spacing w:after="0" w:line="216"/>
        <w:ind w:left="120" w:right="120"/>
      </w:pPr>
      <w:r>
        <w:rPr>
          <w:rFonts w:ascii="Consolas" w:cs="Consolas" w:eastAsia="Consolas" w:hAnsi="Consolas"/>
          <w:sz w:val="15"/>
          <w:szCs w:val="15"/>
        </w:rPr>
        <w:t xml:space="preserve">  1,050 W, with its own NRE already sunk.</w:t>
      </w:r>
    </w:p>
    <w:p>
      <w:pPr>
        <w:shd w:fill="EEF3F6" w:val="clear"/>
        <w:spacing w:after="0" w:line="216"/>
        <w:ind w:left="120" w:right="120"/>
      </w:pPr>
      <w:r>
        <w:rPr>
          <w:rFonts w:ascii="Consolas" w:cs="Consolas" w:eastAsia="Consolas" w:hAnsi="Consolas"/>
          <w:sz w:val="15"/>
          <w:szCs w:val="15"/>
        </w:rPr>
        <w:t xml:space="preserve">  Cost of the alternative path:  1.37 N × $12,940  =  $17,728 N</w:t>
      </w:r>
    </w:p>
    <w:p>
      <w:pPr>
        <w:shd w:fill="EEF3F6" w:val="clear"/>
        <w:spacing w:after="0" w:line="216"/>
        <w:ind w:left="120" w:right="120"/>
      </w:pPr>
      <w:r>
        <w:rPr>
          <w:rFonts w:ascii="Consolas" w:cs="Consolas" w:eastAsia="Consolas" w:hAnsi="Consolas"/>
          <w:sz w:val="15"/>
          <w:szCs w:val="15"/>
        </w:rPr>
        <w:t xml:space="preserve">  Cost of the SC-1 path:         N × $9,468 + $679 M</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Breakeven:  $679 M = N × $8,260</w:t>
      </w:r>
    </w:p>
    <w:p>
      <w:pPr>
        <w:shd w:fill="EEF3F6" w:val="clear"/>
        <w:spacing w:after="0" w:line="216"/>
        <w:ind w:left="120" w:right="120"/>
      </w:pPr>
      <w:r>
        <w:rPr>
          <w:rFonts w:ascii="Consolas" w:cs="Consolas" w:eastAsia="Consolas" w:hAnsi="Consolas"/>
          <w:sz w:val="15"/>
          <w:szCs w:val="15"/>
        </w:rPr>
        <w:t xml:space="preserve">              N ≈ 82,200 modules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Both are inside a single year of the 250,000-unit steady-state volume.</w:t>
      </w:r>
    </w:p>
    <w:p>
      <w:pPr>
        <w:shd w:fill="EEF3F6" w:val="clear"/>
        <w:spacing w:after="0" w:line="216"/>
        <w:ind w:left="120" w:right="120"/>
      </w:pPr>
      <w:r>
        <w:rPr>
          <w:rFonts w:ascii="Consolas" w:cs="Consolas" w:eastAsia="Consolas" w:hAnsi="Consolas"/>
          <w:sz w:val="15"/>
          <w:szCs w:val="15"/>
        </w:rPr>
        <w:t xml:space="preserve">  The programme is not volume-limited; it is schedule-limited and</w:t>
      </w:r>
    </w:p>
    <w:p>
      <w:pPr>
        <w:shd w:fill="EEF3F6" w:val="clear"/>
        <w:spacing w:after="0" w:line="216"/>
        <w:ind w:left="120" w:right="120"/>
      </w:pPr>
      <w:r>
        <w:rPr>
          <w:rFonts w:ascii="Consolas" w:cs="Consolas" w:eastAsia="Consolas" w:hAnsi="Consolas"/>
          <w:sz w:val="15"/>
          <w:szCs w:val="15"/>
        </w:rPr>
        <w:t xml:space="preserve">  software-limited (§22, R-06 and R-08).</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r>
        <w:br w:type="page"/>
      </w:r>
    </w:p>
    <w:p>
      <w:pPr>
        <w:pStyle w:val="Heading1"/>
        <w:spacing w:after="160" w:before="400"/>
      </w:pPr>
      <w:r>
        <w:rPr>
          <w:rFonts w:ascii="Calibri" w:cs="Calibri" w:eastAsia="Calibri" w:hAnsi="Calibri"/>
          <w:b/>
          <w:bCs/>
          <w:color w:val="1F4E5F"/>
          <w:sz w:val="32"/>
          <w:szCs w:val="32"/>
        </w:rPr>
        <w:t xml:space="preserve">18.  Software Stack and Compiler</w:t>
      </w:r>
    </w:p>
    <w:p>
      <w:pPr>
        <w:pStyle w:val="Heading2"/>
        <w:spacing w:after="120" w:before="300"/>
      </w:pPr>
      <w:r>
        <w:rPr>
          <w:rFonts w:ascii="Calibri" w:cs="Calibri" w:eastAsia="Calibri" w:hAnsi="Calibri"/>
          <w:b/>
          <w:bCs/>
          <w:color w:val="1F4E5F"/>
          <w:sz w:val="26"/>
          <w:szCs w:val="26"/>
        </w:rPr>
        <w:t xml:space="preserve">18.1  The borrowed programming model</w:t>
      </w:r>
    </w:p>
    <w:p>
      <w:pPr>
        <w:spacing w:after="140" w:line="276"/>
        <w:jc w:val="left"/>
      </w:pPr>
      <w:r>
        <w:rPr>
          <w:rFonts w:ascii="Calibri" w:cs="Calibri" w:eastAsia="Calibri" w:hAnsi="Calibri"/>
          <w:b w:val="false"/>
          <w:bCs w:val="false"/>
          <w:i w:val="false"/>
          <w:iCs w:val="false"/>
          <w:color w:val="000000"/>
          <w:sz w:val="21"/>
          <w:szCs w:val="21"/>
        </w:rPr>
        <w:t xml:space="preserve">The most important software decision in this programme is to invent as little as possible. Anthropic already writes kernels for TPUs in Pallas and for Trainium in the Neuron kernel interface; both descend from the same lineage of tile-based, explicitly-scheduled accelerator programming, and both compile through XLA-style graph infrastructure. SC-1 adopts that model rather than defining a new one.</w:t>
      </w:r>
    </w:p>
    <w:p>
      <w:pPr>
        <w:spacing w:after="140" w:line="276"/>
        <w:jc w:val="left"/>
      </w:pPr>
      <w:r>
        <w:rPr>
          <w:rFonts w:ascii="Calibri" w:cs="Calibri" w:eastAsia="Calibri" w:hAnsi="Calibri"/>
          <w:b w:val="false"/>
          <w:bCs w:val="false"/>
          <w:i w:val="false"/>
          <w:iCs w:val="false"/>
          <w:color w:val="000000"/>
          <w:sz w:val="21"/>
          <w:szCs w:val="21"/>
        </w:rPr>
        <w:t xml:space="preserve">Concretely: the front end is JAX and PyTorch through StableHLO. The middle end is an MLIR pipeline. The back end emits SC-1 VLIW words. Hand-written kernels are expressed in a Pallas-compatible dialect with SC-1-specific primitives added as intrinsics. A kernel written for TPU should port to SC-1 with changes to tile shapes and memory-space annotations, not a rewrite.</w:t>
      </w:r>
    </w:p>
    <w:p>
      <w:pPr>
        <w:spacing w:after="140" w:line="276"/>
        <w:jc w:val="left"/>
      </w:pPr>
      <w:r>
        <w:rPr>
          <w:rFonts w:ascii="Calibri" w:cs="Calibri" w:eastAsia="Calibri" w:hAnsi="Calibri"/>
          <w:b w:val="false"/>
          <w:bCs w:val="false"/>
          <w:i w:val="false"/>
          <w:iCs w:val="false"/>
          <w:color w:val="000000"/>
          <w:sz w:val="21"/>
          <w:szCs w:val="21"/>
        </w:rPr>
        <w:t xml:space="preserve">This is not merely convenient. It is the difference between a fleet that can adopt the hardware in a quarter and one that cannot adopt it at all, and it is the reason the software NRE in Table 17-3 is $151 M rather than $400 M.</w:t>
      </w:r>
    </w:p>
    <w:p>
      <w:pPr>
        <w:pStyle w:val="Heading2"/>
        <w:spacing w:after="120" w:before="300"/>
      </w:pPr>
      <w:r>
        <w:rPr>
          <w:rFonts w:ascii="Calibri" w:cs="Calibri" w:eastAsia="Calibri" w:hAnsi="Calibri"/>
          <w:b/>
          <w:bCs/>
          <w:color w:val="1F4E5F"/>
          <w:sz w:val="26"/>
          <w:szCs w:val="26"/>
        </w:rPr>
        <w:t xml:space="preserve">18.2  Stack</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MODEL LAYER      JAX · PyTorch · the internal serving framework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StableHLO</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GRAPH COMPILER (MLIR)                                               │</w:t>
      </w:r>
    </w:p>
    <w:p>
      <w:pPr>
        <w:shd w:fill="EEF3F6" w:val="clear"/>
        <w:spacing w:after="0" w:line="216"/>
        <w:ind w:left="120" w:right="120"/>
      </w:pPr>
      <w:r>
        <w:rPr>
          <w:rFonts w:ascii="Consolas" w:cs="Consolas" w:eastAsia="Consolas" w:hAnsi="Consolas"/>
          <w:sz w:val="15"/>
          <w:szCs w:val="15"/>
        </w:rPr>
        <w:t xml:space="preserve">   │   · layout assignment          · precision assignment from manifest  │</w:t>
      </w:r>
    </w:p>
    <w:p>
      <w:pPr>
        <w:shd w:fill="EEF3F6" w:val="clear"/>
        <w:spacing w:after="0" w:line="216"/>
        <w:ind w:left="120" w:right="120"/>
      </w:pPr>
      <w:r>
        <w:rPr>
          <w:rFonts w:ascii="Consolas" w:cs="Consolas" w:eastAsia="Consolas" w:hAnsi="Consolas"/>
          <w:sz w:val="15"/>
          <w:szCs w:val="15"/>
        </w:rPr>
        <w:t xml:space="preserve">   │   · operator fusion            · sharding across the 64-package domain│</w:t>
      </w:r>
    </w:p>
    <w:p>
      <w:pPr>
        <w:shd w:fill="EEF3F6" w:val="clear"/>
        <w:spacing w:after="0" w:line="216"/>
        <w:ind w:left="120" w:right="120"/>
      </w:pPr>
      <w:r>
        <w:rPr>
          <w:rFonts w:ascii="Consolas" w:cs="Consolas" w:eastAsia="Consolas" w:hAnsi="Consolas"/>
          <w:sz w:val="15"/>
          <w:szCs w:val="15"/>
        </w:rPr>
        <w:t xml:space="preserve">   │   · tiling and blocking        · collective insertion and scheduling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SC-1 tile dialect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BACK END                                                            │</w:t>
      </w:r>
    </w:p>
    <w:p>
      <w:pPr>
        <w:shd w:fill="EEF3F6" w:val="clear"/>
        <w:spacing w:after="0" w:line="216"/>
        <w:ind w:left="120" w:right="120"/>
      </w:pPr>
      <w:r>
        <w:rPr>
          <w:rFonts w:ascii="Consolas" w:cs="Consolas" w:eastAsia="Consolas" w:hAnsi="Consolas"/>
          <w:sz w:val="15"/>
          <w:szCs w:val="15"/>
        </w:rPr>
        <w:t xml:space="preserve">   │   · descriptor allocation      · VLIW slot packing and scheduling     │</w:t>
      </w:r>
    </w:p>
    <w:p>
      <w:pPr>
        <w:shd w:fill="EEF3F6" w:val="clear"/>
        <w:spacing w:after="0" w:line="216"/>
        <w:ind w:left="120" w:right="120"/>
      </w:pPr>
      <w:r>
        <w:rPr>
          <w:rFonts w:ascii="Consolas" w:cs="Consolas" w:eastAsia="Consolas" w:hAnsi="Consolas"/>
          <w:sz w:val="15"/>
          <w:szCs w:val="15"/>
        </w:rPr>
        <w:t xml:space="preserve">   │   · event assignment           · DMA/compute overlap, software pipeline│</w:t>
      </w:r>
    </w:p>
    <w:p>
      <w:pPr>
        <w:shd w:fill="EEF3F6" w:val="clear"/>
        <w:spacing w:after="0" w:line="216"/>
        <w:ind w:left="120" w:right="120"/>
      </w:pPr>
      <w:r>
        <w:rPr>
          <w:rFonts w:ascii="Consolas" w:cs="Consolas" w:eastAsia="Consolas" w:hAnsi="Consolas"/>
          <w:sz w:val="15"/>
          <w:szCs w:val="15"/>
        </w:rPr>
        <w:t xml:space="preserve">   │   · RTS allocation             · deterministic-mode reduction ordering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SC-1 binary + manifest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RUNTIME                                                             │</w:t>
      </w:r>
    </w:p>
    <w:p>
      <w:pPr>
        <w:shd w:fill="EEF3F6" w:val="clear"/>
        <w:spacing w:after="0" w:line="216"/>
        <w:ind w:left="120" w:right="120"/>
      </w:pPr>
      <w:r>
        <w:rPr>
          <w:rFonts w:ascii="Consolas" w:cs="Consolas" w:eastAsia="Consolas" w:hAnsi="Consolas"/>
          <w:sz w:val="15"/>
          <w:szCs w:val="15"/>
        </w:rPr>
        <w:t xml:space="preserve">   │   · continuous batching        · park/resume policy → CTM descriptors │</w:t>
      </w:r>
    </w:p>
    <w:p>
      <w:pPr>
        <w:shd w:fill="EEF3F6" w:val="clear"/>
        <w:spacing w:after="0" w:line="216"/>
        <w:ind w:left="120" w:right="120"/>
      </w:pPr>
      <w:r>
        <w:rPr>
          <w:rFonts w:ascii="Consolas" w:cs="Consolas" w:eastAsia="Consolas" w:hAnsi="Consolas"/>
          <w:sz w:val="15"/>
          <w:szCs w:val="15"/>
        </w:rPr>
        <w:t xml:space="preserve">   │   · KV page lifecycle          · speculative decode orchestration     │</w:t>
      </w:r>
    </w:p>
    <w:p>
      <w:pPr>
        <w:shd w:fill="EEF3F6" w:val="clear"/>
        <w:spacing w:after="0" w:line="216"/>
        <w:ind w:left="120" w:right="120"/>
      </w:pPr>
      <w:r>
        <w:rPr>
          <w:rFonts w:ascii="Consolas" w:cs="Consolas" w:eastAsia="Consolas" w:hAnsi="Consolas"/>
          <w:sz w:val="15"/>
          <w:szCs w:val="15"/>
        </w:rPr>
        <w:t xml:space="preserve">   │   · attestation and sealing    · multi-model tile-group scheduling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  KERNEL DRIVER  ·  queues, doorbells, interrupts, RAS, telemetry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18-1. Software stack.</w:t>
      </w:r>
    </w:p>
    <w:p>
      <w:pPr>
        <w:pStyle w:val="Heading2"/>
        <w:spacing w:after="120" w:before="300"/>
      </w:pPr>
      <w:r>
        <w:rPr>
          <w:rFonts w:ascii="Calibri" w:cs="Calibri" w:eastAsia="Calibri" w:hAnsi="Calibri"/>
          <w:b/>
          <w:bCs/>
          <w:color w:val="1F4E5F"/>
          <w:sz w:val="26"/>
          <w:szCs w:val="26"/>
        </w:rPr>
        <w:t xml:space="preserve">18.3  Where the compiler is hard</w:t>
      </w:r>
    </w:p>
    <w:p>
      <w:pPr>
        <w:spacing w:after="140" w:line="276"/>
        <w:jc w:val="left"/>
      </w:pPr>
      <w:r>
        <w:rPr>
          <w:rFonts w:ascii="Calibri" w:cs="Calibri" w:eastAsia="Calibri" w:hAnsi="Calibri"/>
          <w:b w:val="false"/>
          <w:bCs w:val="false"/>
          <w:i w:val="false"/>
          <w:iCs w:val="false"/>
          <w:color w:val="000000"/>
          <w:sz w:val="21"/>
          <w:szCs w:val="21"/>
        </w:rPr>
        <w:t xml:space="preserve">Three problems are genuinely difficult and should be staffed accordingly.</w:t>
      </w:r>
    </w:p>
    <w:p>
      <w:pPr>
        <w:pStyle w:val="ListParagraph"/>
        <w:numPr>
          <w:ilvl w:val="0"/>
          <w:numId w:val="2"/>
        </w:numPr>
        <w:spacing w:after="60" w:line="264"/>
      </w:pPr>
      <w:r>
        <w:rPr>
          <w:rFonts w:ascii="Calibri" w:cs="Calibri" w:eastAsia="Calibri" w:hAnsi="Calibri"/>
          <w:b/>
          <w:bCs/>
          <w:i w:val="false"/>
          <w:iCs w:val="false"/>
          <w:sz w:val="21"/>
          <w:szCs w:val="21"/>
        </w:rPr>
        <w:t xml:space="preserve">Static scheduling with no hardware interlocks. </w:t>
      </w:r>
      <w:r>
        <w:rPr>
          <w:rFonts w:ascii="Calibri" w:cs="Calibri" w:eastAsia="Calibri" w:hAnsi="Calibri"/>
          <w:b w:val="false"/>
          <w:bCs w:val="false"/>
          <w:i w:val="false"/>
          <w:iCs w:val="false"/>
          <w:sz w:val="21"/>
          <w:szCs w:val="21"/>
        </w:rPr>
        <w:t xml:space="preserve">The sequencer has no dependency detection (Section 6.6). A scheduling bug is a wrong answer, not a stall. The mitigation is a verification-grade scheduler model that is provably conservative, plus the hardware watchdog, plus a debug mode in which every event is checked at run time at a large performance cost. The conservative scheduler ships first; the aggressive one ships when the checker has been silent for a quarter.</w:t>
      </w:r>
    </w:p>
    <w:p>
      <w:pPr>
        <w:pStyle w:val="ListParagraph"/>
        <w:numPr>
          <w:ilvl w:val="0"/>
          <w:numId w:val="2"/>
        </w:numPr>
        <w:spacing w:after="60" w:line="264"/>
      </w:pPr>
      <w:r>
        <w:rPr>
          <w:rFonts w:ascii="Calibri" w:cs="Calibri" w:eastAsia="Calibri" w:hAnsi="Calibri"/>
          <w:b/>
          <w:bCs/>
          <w:i w:val="false"/>
          <w:iCs w:val="false"/>
          <w:sz w:val="21"/>
          <w:szCs w:val="21"/>
        </w:rPr>
        <w:t xml:space="preserve">Precision assignment. </w:t>
      </w:r>
      <w:r>
        <w:rPr>
          <w:rFonts w:ascii="Calibri" w:cs="Calibri" w:eastAsia="Calibri" w:hAnsi="Calibri"/>
          <w:b w:val="false"/>
          <w:bCs w:val="false"/>
          <w:i w:val="false"/>
          <w:iCs w:val="false"/>
          <w:sz w:val="21"/>
          <w:szCs w:val="21"/>
        </w:rPr>
        <w:t xml:space="preserve">Section 9.3 gives a default policy, but the right assignment is per-model and requires a calibration pass with real data. The compiler must consume a sensitivity profile and must be able to explain its choices, because when a model regresses after a recompile the first question will be which tensor changed precision.</w:t>
      </w:r>
    </w:p>
    <w:p>
      <w:pPr>
        <w:pStyle w:val="ListParagraph"/>
        <w:numPr>
          <w:ilvl w:val="0"/>
          <w:numId w:val="2"/>
        </w:numPr>
        <w:spacing w:after="60" w:line="264"/>
      </w:pPr>
      <w:r>
        <w:rPr>
          <w:rFonts w:ascii="Calibri" w:cs="Calibri" w:eastAsia="Calibri" w:hAnsi="Calibri"/>
          <w:b/>
          <w:bCs/>
          <w:i w:val="false"/>
          <w:iCs w:val="false"/>
          <w:sz w:val="21"/>
          <w:szCs w:val="21"/>
        </w:rPr>
        <w:t xml:space="preserve">Sharding across the scale-up domain. </w:t>
      </w:r>
      <w:r>
        <w:rPr>
          <w:rFonts w:ascii="Calibri" w:cs="Calibri" w:eastAsia="Calibri" w:hAnsi="Calibri"/>
          <w:b w:val="false"/>
          <w:bCs w:val="false"/>
          <w:i w:val="false"/>
          <w:iCs w:val="false"/>
          <w:sz w:val="21"/>
          <w:szCs w:val="21"/>
        </w:rPr>
        <w:t xml:space="preserve">Tensor-parallel, expert-parallel, and pipeline-parallel decisions interact with the tier hierarchy: an expert that is cold on this package may be hot on a peer, which changes the right sharding. The compiler needs a cost model that includes Tier-2 residency and fabric latency, and getting that cost model wrong is the most likely cause of disappointing early benchmarks.</w:t>
      </w:r>
    </w:p>
    <w:p>
      <w:pPr>
        <w:pStyle w:val="Heading2"/>
        <w:spacing w:after="120" w:before="300"/>
      </w:pPr>
      <w:r>
        <w:rPr>
          <w:rFonts w:ascii="Calibri" w:cs="Calibri" w:eastAsia="Calibri" w:hAnsi="Calibri"/>
          <w:b/>
          <w:bCs/>
          <w:color w:val="1F4E5F"/>
          <w:sz w:val="26"/>
          <w:szCs w:val="26"/>
        </w:rPr>
        <w:t xml:space="preserve">18.4  Bring-up plan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311"/>
        <w:gridCol w:w="5803"/>
        <w:gridCol w:w="2246"/>
      </w:tblGrid>
      <w:tr>
        <w:trPr>
          <w:cantSplit/>
          <w:tblHeader/>
        </w:trPr>
        <w:tc>
          <w:tcPr>
            <w:tcW w:type="dxa" w:w="131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Stage</w:t>
            </w:r>
          </w:p>
        </w:tc>
        <w:tc>
          <w:tcPr>
            <w:tcW w:type="dxa" w:w="580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Milestone</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Timing relative to first silicon</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−18 months</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Functional simulator with the ISA of Section 10; kernels developed against it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Pre-silicon</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−12 months</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Cycle-approximate simulator; the performance model of Section 20 replaced with simulated numbers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Pre-silicon</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−9 months</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FPGA emulation of one CTC tile group plus a cut-down MHC; real kernels executing</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Pre-silicon</w:t>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−4 months</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Full-package emulation at low clock; end-to-end RM-C inference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Pre-silicon</w:t>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First silicon. Target: RM-C generating coherent text within 10 days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+6 weeks</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RM-A end-to-end at reduced clock; numerics validated against the reference implementation bit-for-bit in deterministic mode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+3 months</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Full clock, full package, performance characterisation against Section 20</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131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+5 months</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Multi-package scale-up domain; collectives characterised</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131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+8 months</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Production shadow traffic</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18-1. Software and bring-up plan.</w:t>
      </w:r>
    </w:p>
    <w:p>
      <w:pPr>
        <w:spacing w:after="140" w:line="276"/>
        <w:jc w:val="left"/>
      </w:pPr>
      <w:r>
        <w:rPr>
          <w:rFonts w:ascii="Calibri" w:cs="Calibri" w:eastAsia="Calibri" w:hAnsi="Calibri"/>
          <w:b w:val="false"/>
          <w:bCs w:val="false"/>
          <w:i w:val="false"/>
          <w:iCs w:val="false"/>
          <w:color w:val="000000"/>
          <w:sz w:val="21"/>
          <w:szCs w:val="21"/>
        </w:rPr>
        <w:t xml:space="preserve">The pre-silicon stages are not optional and their cost is already in Table 17-3. A programme that arrives at first silicon without a validated kernel library will spend its first six months writing one, during which the hardware teaches it nothing.</w:t>
      </w:r>
    </w:p>
    <w:p>
      <w:r>
        <w:br w:type="page"/>
      </w:r>
    </w:p>
    <w:p>
      <w:pPr>
        <w:pStyle w:val="Heading1"/>
        <w:spacing w:after="160" w:before="400"/>
      </w:pPr>
      <w:r>
        <w:rPr>
          <w:rFonts w:ascii="Calibri" w:cs="Calibri" w:eastAsia="Calibri" w:hAnsi="Calibri"/>
          <w:b/>
          <w:bCs/>
          <w:color w:val="1F4E5F"/>
          <w:sz w:val="32"/>
          <w:szCs w:val="32"/>
        </w:rPr>
        <w:t xml:space="preserve">19.  System and Rack Integration</w:t>
      </w:r>
    </w:p>
    <w:p>
      <w:pPr>
        <w:pStyle w:val="Heading2"/>
        <w:spacing w:after="120" w:before="300"/>
      </w:pPr>
      <w:r>
        <w:rPr>
          <w:rFonts w:ascii="Calibri" w:cs="Calibri" w:eastAsia="Calibri" w:hAnsi="Calibri"/>
          <w:b/>
          <w:bCs/>
          <w:color w:val="1F4E5F"/>
          <w:sz w:val="26"/>
          <w:szCs w:val="26"/>
        </w:rPr>
        <w:t xml:space="preserve">19.1  Module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246"/>
        <w:gridCol w:w="7114"/>
      </w:tblGrid>
      <w:tr>
        <w:trPr>
          <w:cantSplit/>
          <w:tblHeader/>
        </w:trPr>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71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Form factor</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OCP OAM 3.0-compatible, 102 × 165 mm, single-slot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Height</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48 mm including cold plate and LPDDR6 stacks</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Power input</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54 V DC bus, on-module conversion</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Module power</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850 W nominal, 950 W configurable ceiling, 1,010 W peak transient</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Coolant</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Direct-to-chip single-phase, 0.9 L/min, 45 °C inlet, quick-disconnect</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Fabric</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lanes at 224 Gb/s to the scale-up switch, via a high-density connector</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Network</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800 GbE, QSFP-DD</w:t>
            </w:r>
          </w:p>
        </w:tc>
      </w:tr>
      <w:tr>
        <w:trPr>
          <w:cantSplit/>
          <w:tblHeader w:val="false"/>
        </w:trPr>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Host</w:t>
            </w:r>
          </w:p>
        </w:tc>
        <w:tc>
          <w:tcPr>
            <w:tcW w:type="dxa" w:w="71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PCIe Gen6 ×16</w:t>
            </w:r>
          </w:p>
        </w:tc>
      </w:tr>
      <w:tr>
        <w:trPr>
          <w:cantSplit/>
          <w:tblHeader w:val="false"/>
        </w:trPr>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Mass</w:t>
            </w:r>
          </w:p>
        </w:tc>
        <w:tc>
          <w:tcPr>
            <w:tcW w:type="dxa" w:w="71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3.4 kg</w:t>
            </w:r>
          </w:p>
        </w:tc>
      </w:tr>
    </w:tbl>
    <w:p>
      <w:pPr>
        <w:spacing w:after="220" w:before="60"/>
      </w:pPr>
      <w:r>
        <w:rPr>
          <w:i/>
          <w:iCs/>
          <w:color w:val="595959"/>
          <w:sz w:val="17"/>
          <w:szCs w:val="17"/>
        </w:rPr>
        <w:t xml:space="preserve">Table 19-1. Module specification.</w:t>
      </w:r>
    </w:p>
    <w:p>
      <w:pPr>
        <w:pStyle w:val="Heading2"/>
        <w:spacing w:after="120" w:before="300"/>
      </w:pPr>
      <w:r>
        <w:rPr>
          <w:rFonts w:ascii="Calibri" w:cs="Calibri" w:eastAsia="Calibri" w:hAnsi="Calibri"/>
          <w:b/>
          <w:bCs/>
          <w:color w:val="1F4E5F"/>
          <w:sz w:val="26"/>
          <w:szCs w:val="26"/>
        </w:rPr>
        <w:t xml:space="preserve">19.2  Rack</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RACK — 32 SC-1 MODULES, ONE HALF OF A 64-MODULE SCALE-UP DOMAIN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U42 ┌───────────────────────────────────────────────────────────┐</w:t>
      </w:r>
    </w:p>
    <w:p>
      <w:pPr>
        <w:shd w:fill="EEF3F6" w:val="clear"/>
        <w:spacing w:after="0" w:line="216"/>
        <w:ind w:left="120" w:right="120"/>
      </w:pPr>
      <w:r>
        <w:rPr>
          <w:rFonts w:ascii="Consolas" w:cs="Consolas" w:eastAsia="Consolas" w:hAnsi="Consolas"/>
          <w:sz w:val="15"/>
          <w:szCs w:val="15"/>
        </w:rPr>
        <w:t xml:space="preserve">       │  COOLANT DISTRIBUTION UNIT — 45 °C supply, 29 L/min        │</w:t>
      </w:r>
    </w:p>
    <w:p>
      <w:pPr>
        <w:shd w:fill="EEF3F6" w:val="clear"/>
        <w:spacing w:after="0" w:line="216"/>
        <w:ind w:left="120" w:right="120"/>
      </w:pPr>
      <w:r>
        <w:rPr>
          <w:rFonts w:ascii="Consolas" w:cs="Consolas" w:eastAsia="Consolas" w:hAnsi="Consolas"/>
          <w:sz w:val="15"/>
          <w:szCs w:val="15"/>
        </w:rPr>
        <w:t xml:space="preserve">   U38 ├───────────────────────────────────────────────────────────┤</w:t>
      </w:r>
    </w:p>
    <w:p>
      <w:pPr>
        <w:shd w:fill="EEF3F6" w:val="clear"/>
        <w:spacing w:after="0" w:line="216"/>
        <w:ind w:left="120" w:right="120"/>
      </w:pPr>
      <w:r>
        <w:rPr>
          <w:rFonts w:ascii="Consolas" w:cs="Consolas" w:eastAsia="Consolas" w:hAnsi="Consolas"/>
          <w:sz w:val="15"/>
          <w:szCs w:val="15"/>
        </w:rPr>
        <w:t xml:space="preserve">       │  4 × COBALT SWITCH — 2-tier, 64-module domain              │</w:t>
      </w:r>
    </w:p>
    <w:p>
      <w:pPr>
        <w:shd w:fill="EEF3F6" w:val="clear"/>
        <w:spacing w:after="0" w:line="216"/>
        <w:ind w:left="120" w:right="120"/>
      </w:pPr>
      <w:r>
        <w:rPr>
          <w:rFonts w:ascii="Consolas" w:cs="Consolas" w:eastAsia="Consolas" w:hAnsi="Consolas"/>
          <w:sz w:val="15"/>
          <w:szCs w:val="15"/>
        </w:rPr>
        <w:t xml:space="preserve">   U34 ├───────────────────────────────────────────────────────────┤</w:t>
      </w:r>
    </w:p>
    <w:p>
      <w:pPr>
        <w:shd w:fill="EEF3F6" w:val="clear"/>
        <w:spacing w:after="0" w:line="216"/>
        <w:ind w:left="120" w:right="120"/>
      </w:pPr>
      <w:r>
        <w:rPr>
          <w:rFonts w:ascii="Consolas" w:cs="Consolas" w:eastAsia="Consolas" w:hAnsi="Consolas"/>
          <w:sz w:val="15"/>
          <w:szCs w:val="15"/>
        </w:rPr>
        <w:t xml:space="preserve">       │  2 × ETHERNET LEAF — 64 × 800 GbE                          │</w:t>
      </w:r>
    </w:p>
    <w:p>
      <w:pPr>
        <w:shd w:fill="EEF3F6" w:val="clear"/>
        <w:spacing w:after="0" w:line="216"/>
        <w:ind w:left="120" w:right="120"/>
      </w:pPr>
      <w:r>
        <w:rPr>
          <w:rFonts w:ascii="Consolas" w:cs="Consolas" w:eastAsia="Consolas" w:hAnsi="Consolas"/>
          <w:sz w:val="15"/>
          <w:szCs w:val="15"/>
        </w:rPr>
        <w:t xml:space="preserve">   U32 ├───────────────────────────────────────────────────────────┤</w:t>
      </w:r>
    </w:p>
    <w:p>
      <w:pPr>
        <w:shd w:fill="EEF3F6" w:val="clear"/>
        <w:spacing w:after="0" w:line="216"/>
        <w:ind w:left="120" w:right="120"/>
      </w:pPr>
      <w:r>
        <w:rPr>
          <w:rFonts w:ascii="Consolas" w:cs="Consolas" w:eastAsia="Consolas" w:hAnsi="Consolas"/>
          <w:sz w:val="15"/>
          <w:szCs w:val="15"/>
        </w:rPr>
        <w:t xml:space="preserve">       │  COMPUTE TRAY 8   ·  4 × SC-1 + 1 host CPU  ·  3.6 kW      │</w:t>
      </w:r>
    </w:p>
    <w:p>
      <w:pPr>
        <w:shd w:fill="EEF3F6" w:val="clear"/>
        <w:spacing w:after="0" w:line="216"/>
        <w:ind w:left="120" w:right="120"/>
      </w:pPr>
      <w:r>
        <w:rPr>
          <w:rFonts w:ascii="Consolas" w:cs="Consolas" w:eastAsia="Consolas" w:hAnsi="Consolas"/>
          <w:sz w:val="15"/>
          <w:szCs w:val="15"/>
        </w:rPr>
        <w:t xml:space="preserve">       │  COMPUTE TRAY 7   ·  4 × SC-1 + 1 host CPU  ·  3.6 kW      │</w:t>
      </w:r>
    </w:p>
    <w:p>
      <w:pPr>
        <w:shd w:fill="EEF3F6" w:val="clear"/>
        <w:spacing w:after="0" w:line="216"/>
        <w:ind w:left="120" w:right="120"/>
      </w:pPr>
      <w:r>
        <w:rPr>
          <w:rFonts w:ascii="Consolas" w:cs="Consolas" w:eastAsia="Consolas" w:hAnsi="Consolas"/>
          <w:sz w:val="15"/>
          <w:szCs w:val="15"/>
        </w:rPr>
        <w:t xml:space="preserve">       │  COMPUTE TRAY 6   ·  4 × SC-1 + 1 host CPU  ·  3.6 kW      │</w:t>
      </w:r>
    </w:p>
    <w:p>
      <w:pPr>
        <w:shd w:fill="EEF3F6" w:val="clear"/>
        <w:spacing w:after="0" w:line="216"/>
        <w:ind w:left="120" w:right="120"/>
      </w:pPr>
      <w:r>
        <w:rPr>
          <w:rFonts w:ascii="Consolas" w:cs="Consolas" w:eastAsia="Consolas" w:hAnsi="Consolas"/>
          <w:sz w:val="15"/>
          <w:szCs w:val="15"/>
        </w:rPr>
        <w:t xml:space="preserve">       │  COMPUTE TRAY 5   ·  4 × SC-1 + 1 host CPU  ·  3.6 kW      │</w:t>
      </w:r>
    </w:p>
    <w:p>
      <w:pPr>
        <w:shd w:fill="EEF3F6" w:val="clear"/>
        <w:spacing w:after="0" w:line="216"/>
        <w:ind w:left="120" w:right="120"/>
      </w:pPr>
      <w:r>
        <w:rPr>
          <w:rFonts w:ascii="Consolas" w:cs="Consolas" w:eastAsia="Consolas" w:hAnsi="Consolas"/>
          <w:sz w:val="15"/>
          <w:szCs w:val="15"/>
        </w:rPr>
        <w:t xml:space="preserve">       │  COMPUTE TRAY 4   ·  4 × SC-1 + 1 host CPU  ·  3.6 kW      │</w:t>
      </w:r>
    </w:p>
    <w:p>
      <w:pPr>
        <w:shd w:fill="EEF3F6" w:val="clear"/>
        <w:spacing w:after="0" w:line="216"/>
        <w:ind w:left="120" w:right="120"/>
      </w:pPr>
      <w:r>
        <w:rPr>
          <w:rFonts w:ascii="Consolas" w:cs="Consolas" w:eastAsia="Consolas" w:hAnsi="Consolas"/>
          <w:sz w:val="15"/>
          <w:szCs w:val="15"/>
        </w:rPr>
        <w:t xml:space="preserve">       │  COMPUTE TRAY 3   ·  4 × SC-1 + 1 host CPU  ·  3.6 kW      │</w:t>
      </w:r>
    </w:p>
    <w:p>
      <w:pPr>
        <w:shd w:fill="EEF3F6" w:val="clear"/>
        <w:spacing w:after="0" w:line="216"/>
        <w:ind w:left="120" w:right="120"/>
      </w:pPr>
      <w:r>
        <w:rPr>
          <w:rFonts w:ascii="Consolas" w:cs="Consolas" w:eastAsia="Consolas" w:hAnsi="Consolas"/>
          <w:sz w:val="15"/>
          <w:szCs w:val="15"/>
        </w:rPr>
        <w:t xml:space="preserve">       │  COMPUTE TRAY 2   ·  4 × SC-1 + 1 host CPU  ·  3.6 kW      │</w:t>
      </w:r>
    </w:p>
    <w:p>
      <w:pPr>
        <w:shd w:fill="EEF3F6" w:val="clear"/>
        <w:spacing w:after="0" w:line="216"/>
        <w:ind w:left="120" w:right="120"/>
      </w:pPr>
      <w:r>
        <w:rPr>
          <w:rFonts w:ascii="Consolas" w:cs="Consolas" w:eastAsia="Consolas" w:hAnsi="Consolas"/>
          <w:sz w:val="15"/>
          <w:szCs w:val="15"/>
        </w:rPr>
        <w:t xml:space="preserve">       │  COMPUTE TRAY 1   ·  4 × SC-1 + 1 host CPU  ·  3.6 kW      │</w:t>
      </w:r>
    </w:p>
    <w:p>
      <w:pPr>
        <w:shd w:fill="EEF3F6" w:val="clear"/>
        <w:spacing w:after="0" w:line="216"/>
        <w:ind w:left="120" w:right="120"/>
      </w:pPr>
      <w:r>
        <w:rPr>
          <w:rFonts w:ascii="Consolas" w:cs="Consolas" w:eastAsia="Consolas" w:hAnsi="Consolas"/>
          <w:sz w:val="15"/>
          <w:szCs w:val="15"/>
        </w:rPr>
        <w:t xml:space="preserve">   U8  ├───────────────────────────────────────────────────────────┤</w:t>
      </w:r>
    </w:p>
    <w:p>
      <w:pPr>
        <w:shd w:fill="EEF3F6" w:val="clear"/>
        <w:spacing w:after="0" w:line="216"/>
        <w:ind w:left="120" w:right="120"/>
      </w:pPr>
      <w:r>
        <w:rPr>
          <w:rFonts w:ascii="Consolas" w:cs="Consolas" w:eastAsia="Consolas" w:hAnsi="Consolas"/>
          <w:sz w:val="15"/>
          <w:szCs w:val="15"/>
        </w:rPr>
        <w:t xml:space="preserve">       │  POWER SHELVES — 54 V DC, 2N redundant, 40 kW capable      │</w:t>
      </w:r>
    </w:p>
    <w:p>
      <w:pPr>
        <w:shd w:fill="EEF3F6" w:val="clear"/>
        <w:spacing w:after="0" w:line="216"/>
        <w:ind w:left="120" w:right="120"/>
      </w:pPr>
      <w:r>
        <w:rPr>
          <w:rFonts w:ascii="Consolas" w:cs="Consolas" w:eastAsia="Consolas" w:hAnsi="Consolas"/>
          <w:sz w:val="15"/>
          <w:szCs w:val="15"/>
        </w:rPr>
        <w:t xml:space="preserve">   U1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Accelerator power       32 × 850 W          = 27.2 kW</w:t>
      </w:r>
    </w:p>
    <w:p>
      <w:pPr>
        <w:shd w:fill="EEF3F6" w:val="clear"/>
        <w:spacing w:after="0" w:line="216"/>
        <w:ind w:left="120" w:right="120"/>
      </w:pPr>
      <w:r>
        <w:rPr>
          <w:rFonts w:ascii="Consolas" w:cs="Consolas" w:eastAsia="Consolas" w:hAnsi="Consolas"/>
          <w:sz w:val="15"/>
          <w:szCs w:val="15"/>
        </w:rPr>
        <w:t xml:space="preserve">   Host, switch, network, conversion loss      =  6.9 kW</w:t>
      </w:r>
    </w:p>
    <w:p>
      <w:pPr>
        <w:shd w:fill="EEF3F6" w:val="clear"/>
        <w:spacing w:after="0" w:line="216"/>
        <w:ind w:left="120" w:right="120"/>
      </w:pPr>
      <w:r>
        <w:rPr>
          <w:rFonts w:ascii="Consolas" w:cs="Consolas" w:eastAsia="Consolas" w:hAnsi="Consolas"/>
          <w:sz w:val="15"/>
          <w:szCs w:val="15"/>
        </w:rPr>
        <w:t xml:space="preserve">   Rack total                                  = 34.1 kW</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Attached memory in rack   32 × 704 GB       = 22.5 TB</w:t>
      </w:r>
    </w:p>
    <w:p>
      <w:pPr>
        <w:shd w:fill="EEF3F6" w:val="clear"/>
        <w:spacing w:after="0" w:line="216"/>
        <w:ind w:left="120" w:right="120"/>
      </w:pPr>
      <w:r>
        <w:rPr>
          <w:rFonts w:ascii="Consolas" w:cs="Consolas" w:eastAsia="Consolas" w:hAnsi="Consolas"/>
          <w:sz w:val="15"/>
          <w:szCs w:val="15"/>
        </w:rPr>
        <w:t xml:space="preserve">   Scale-up domain (2 racks) 64 × 704 GB       = 45.1 TB</w:t>
      </w:r>
    </w:p>
    <w:p>
      <w:pPr>
        <w:shd w:fill="EEF3F6" w:val="clear"/>
        <w:spacing w:after="0" w:line="216"/>
        <w:ind w:left="120" w:right="120"/>
      </w:pPr>
      <w:r>
        <w:rPr>
          <w:rFonts w:ascii="Consolas" w:cs="Consolas" w:eastAsia="Consolas" w:hAnsi="Consolas"/>
          <w:sz w:val="15"/>
          <w:szCs w:val="15"/>
        </w:rPr>
        <w:t xml:space="preserve">   Peak dense MXFP4, domain  64 × 12.6 PFLOPS  = 806 PFLOPS</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19-1. Rack organisation.</w:t>
      </w:r>
    </w:p>
    <w:p>
      <w:pPr>
        <w:spacing w:after="140" w:line="276"/>
        <w:jc w:val="left"/>
      </w:pPr>
      <w:r>
        <w:rPr>
          <w:rFonts w:ascii="Calibri" w:cs="Calibri" w:eastAsia="Calibri" w:hAnsi="Calibri"/>
          <w:b w:val="false"/>
          <w:bCs w:val="false"/>
          <w:i w:val="false"/>
          <w:iCs w:val="false"/>
          <w:color w:val="000000"/>
          <w:sz w:val="21"/>
          <w:szCs w:val="21"/>
        </w:rPr>
        <w:t xml:space="preserve">At 34.1 kW a rack is well inside what a modern liquid-cooled hall provisions, and materially below the 120–140 kW of a GB300 NVL72. That is not a virtue in itself — a denser rack delivers more compute per square metre — but it means SC-1 deploys into existing 40–50 kW halls without a facility retrofit, which for an operator with committed capacity is worth a great deal. Section 22 notes the countervailing risk: a design that under-uses the facility power envelope leaves performance on the table in a greenfield build, and a higher-TDP SC-1 variant should be evaluated for such sites.</w:t>
      </w:r>
    </w:p>
    <w:p>
      <w:pPr>
        <w:pStyle w:val="Heading2"/>
        <w:spacing w:after="120" w:before="300"/>
      </w:pPr>
      <w:r>
        <w:rPr>
          <w:rFonts w:ascii="Calibri" w:cs="Calibri" w:eastAsia="Calibri" w:hAnsi="Calibri"/>
          <w:b/>
          <w:bCs/>
          <w:color w:val="1F4E5F"/>
          <w:sz w:val="26"/>
          <w:szCs w:val="26"/>
        </w:rPr>
        <w:t xml:space="preserve">19.3  Domain composition</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060"/>
        <w:gridCol w:w="2246"/>
        <w:gridCol w:w="936"/>
        <w:gridCol w:w="1872"/>
        <w:gridCol w:w="2246"/>
      </w:tblGrid>
      <w:tr>
        <w:trPr>
          <w:cantSplit/>
          <w:tblHeader/>
        </w:trPr>
        <w:tc>
          <w:tcPr>
            <w:tcW w:type="dxa" w:w="206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Model</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Sharding</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Packages</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Weights per package</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Notes</w:t>
            </w:r>
          </w:p>
        </w:tc>
      </w:tr>
      <w:tr>
        <w:trPr>
          <w:cantSplit/>
          <w:tblHeader w:val="false"/>
        </w:trPr>
        <w:tc>
          <w:tcPr>
            <w:tcW w:type="dxa" w:w="206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RM-C (3 B draft)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 GB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Runs on a tile group alongside the primary model</w:t>
            </w:r>
          </w:p>
        </w:tc>
      </w:tr>
      <w:tr>
        <w:trPr>
          <w:cantSplit/>
          <w:tblHeader w:val="false"/>
        </w:trPr>
        <w:tc>
          <w:tcPr>
            <w:tcW w:type="dxa" w:w="206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RM-A (70 B dense)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None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28.7 GB</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Fits comfortably; the reference single-package workload</w:t>
            </w:r>
          </w:p>
        </w:tc>
      </w:tr>
      <w:tr>
        <w:trPr>
          <w:cantSplit/>
          <w:tblHeader w:val="false"/>
        </w:trPr>
        <w:tc>
          <w:tcPr>
            <w:tcW w:type="dxa" w:w="206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RM-A at very low latency</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Tensor-parallel 4</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7.2 GB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Per-sequence rate roughly 3.1× single-package</w:t>
            </w:r>
          </w:p>
        </w:tc>
      </w:tr>
      <w:tr>
        <w:trPr>
          <w:cantSplit/>
          <w:tblHeader w:val="false"/>
        </w:trPr>
        <w:tc>
          <w:tcPr>
            <w:tcW w:type="dxa" w:w="206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RM-B (400 B MoE)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Expert-parallel 4</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 GB (16 of 64 experts)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standard configuration; leaves 151 GB per package for KV</w:t>
            </w:r>
          </w:p>
        </w:tc>
      </w:tr>
      <w:tr>
        <w:trPr>
          <w:cantSplit/>
          <w:tblHeader w:val="false"/>
        </w:trPr>
        <w:tc>
          <w:tcPr>
            <w:tcW w:type="dxa" w:w="206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RM-B at very long context</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Expert-parallel 4 × context-parallel 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 GB</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Context sharded across pairs; supports 1 M tokens comfortably</w:t>
            </w:r>
          </w:p>
        </w:tc>
      </w:tr>
      <w:tr>
        <w:trPr>
          <w:cantSplit/>
          <w:tblHeader w:val="false"/>
        </w:trPr>
        <w:tc>
          <w:tcPr>
            <w:tcW w:type="dxa" w:w="206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Disaggregated serving</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Prefill group + decode group</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+ 24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varies</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§19.4</w:t>
            </w:r>
          </w:p>
        </w:tc>
      </w:tr>
    </w:tbl>
    <w:p>
      <w:pPr>
        <w:spacing w:after="220" w:before="60"/>
      </w:pPr>
      <w:r>
        <w:rPr>
          <w:i/>
          <w:iCs/>
          <w:color w:val="595959"/>
          <w:sz w:val="17"/>
          <w:szCs w:val="17"/>
        </w:rPr>
        <w:t xml:space="preserve">Table 19-2. Reference sharding configurations.</w:t>
      </w:r>
    </w:p>
    <w:p>
      <w:pPr>
        <w:pStyle w:val="Heading2"/>
        <w:spacing w:after="120" w:before="300"/>
      </w:pPr>
      <w:r>
        <w:rPr>
          <w:rFonts w:ascii="Calibri" w:cs="Calibri" w:eastAsia="Calibri" w:hAnsi="Calibri"/>
          <w:b/>
          <w:bCs/>
          <w:color w:val="1F4E5F"/>
          <w:sz w:val="26"/>
          <w:szCs w:val="26"/>
        </w:rPr>
        <w:t xml:space="preserve">19.4  Disaggregated prefill and decode</w:t>
      </w:r>
    </w:p>
    <w:p>
      <w:pPr>
        <w:spacing w:after="140" w:line="276"/>
        <w:jc w:val="left"/>
      </w:pPr>
      <w:r>
        <w:rPr>
          <w:rFonts w:ascii="Calibri" w:cs="Calibri" w:eastAsia="Calibri" w:hAnsi="Calibri"/>
          <w:b w:val="false"/>
          <w:bCs w:val="false"/>
          <w:i w:val="false"/>
          <w:iCs w:val="false"/>
          <w:color w:val="000000"/>
          <w:sz w:val="21"/>
          <w:szCs w:val="21"/>
        </w:rPr>
        <w:t xml:space="preserve">Because prefill is compute-bound and decode is bandwidth-bound, running them on the same package guarantees that one resource is idle. Splitting them across the scale-up domain lets the fleet provision each independently and, more importantly, lets the two groups be built from different SKUs.</w:t>
      </w:r>
    </w:p>
    <w:p>
      <w:pPr>
        <w:spacing w:after="140" w:line="276"/>
        <w:jc w:val="left"/>
      </w:pPr>
      <w:r>
        <w:rPr>
          <w:rFonts w:ascii="Calibri" w:cs="Calibri" w:eastAsia="Calibri" w:hAnsi="Calibri"/>
          <w:b w:val="false"/>
          <w:bCs w:val="false"/>
          <w:i w:val="false"/>
          <w:iCs w:val="false"/>
          <w:color w:val="000000"/>
          <w:sz w:val="21"/>
          <w:szCs w:val="21"/>
        </w:rPr>
        <w:t xml:space="preserve">A prefill group needs arithmetic and very little memory: an SC-1B with 256 GB of Tier 2 and half the fabric is a good prefill part and is built from silicon that would otherwise be binned down. A decode group needs bandwidth and enormous capacity: a full SC-1 with 1 TB of Tier 2 is the right decode part. A rack composed of 8 prefill and 24 decode modules, with KV shipped over the fabric at 2.4 ms per 32 K session, serves a mixed workload at materially better utilisation than 32 identical modules.</w:t>
      </w:r>
    </w:p>
    <w:p>
      <w:pPr>
        <w:spacing w:after="140" w:line="276"/>
        <w:jc w:val="left"/>
      </w:pPr>
      <w:r>
        <w:rPr>
          <w:rFonts w:ascii="Calibri" w:cs="Calibri" w:eastAsia="Calibri" w:hAnsi="Calibri"/>
          <w:b w:val="false"/>
          <w:bCs w:val="false"/>
          <w:i w:val="false"/>
          <w:iCs w:val="false"/>
          <w:color w:val="000000"/>
          <w:sz w:val="21"/>
          <w:szCs w:val="21"/>
        </w:rPr>
        <w:t xml:space="preserve">This is a scheduling and provisioning capability rather than a hardware feature, but it is enabled by three hardware properties that are not universal: remote memory semantics over the fabric (Section 11.4), page-granular KV that can be shipped without reformatting (Section 8.2), and a harvest SKU whose deficiencies are irrelevant to prefill (Section 13.6).</w:t>
      </w:r>
    </w:p>
    <w:p>
      <w:pPr>
        <w:pStyle w:val="Heading2"/>
        <w:spacing w:after="120" w:before="300"/>
      </w:pPr>
      <w:r>
        <w:rPr>
          <w:rFonts w:ascii="Calibri" w:cs="Calibri" w:eastAsia="Calibri" w:hAnsi="Calibri"/>
          <w:b/>
          <w:bCs/>
          <w:color w:val="1F4E5F"/>
          <w:sz w:val="26"/>
          <w:szCs w:val="26"/>
        </w:rPr>
        <w:t xml:space="preserve">19.5  Fleet management interfaces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Telemetry: per-module power, junction temperature at 12 sensors, coolant inlet and outlet, all 256 performance counters per CTC, and the RAS event log, exported over a management interface at 1 Hz for coarse metrics and on demand for counters.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Attestation: every module reports its Sentinel quote to the fleet control plane on join and on request; a module whose measurement does not match the expected firmware and model manifest is quarantined by policy rather than by the module deciding for itself.</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Health prediction: rising correctable-error rates, SoIC lane repair consumption, and SDC Sentinel mismatch counts are the three leading indicators; each drives a predictive-replacement flag long before a hard failure.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Drain and migrate: a module scheduled for maintenance parks all its sessions to Tier 2, ships them over the fabric to peers, and drains in under 90 seconds for a full complement of 203 sessions.</w:t>
      </w:r>
    </w:p>
    <w:p>
      <w:r>
        <w:br w:type="page"/>
      </w:r>
    </w:p>
    <w:p>
      <w:pPr>
        <w:pStyle w:val="Heading1"/>
        <w:spacing w:after="160" w:before="400"/>
      </w:pPr>
      <w:r>
        <w:rPr>
          <w:rFonts w:ascii="Calibri" w:cs="Calibri" w:eastAsia="Calibri" w:hAnsi="Calibri"/>
          <w:b/>
          <w:bCs/>
          <w:color w:val="1F4E5F"/>
          <w:sz w:val="32"/>
          <w:szCs w:val="32"/>
        </w:rPr>
        <w:t xml:space="preserve">20.  Performance Projections</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What these numbers are</w:t>
            </w:r>
          </w:p>
          <w:p>
            <w:pPr>
              <w:spacing w:after="100" w:line="264"/>
            </w:pPr>
            <w:r>
              <w:rPr>
                <w:sz w:val="20"/>
                <w:szCs w:val="20"/>
              </w:rPr>
              <w:t xml:space="preserve">Every figure in this section is the output of an analytical roofline model whose equations are given in Appendix C. None is simulated and none is measured. The model accounts for memory bandwidth, arithmetic throughput, and a fixed efficiency factor; it does not account for scheduling gaps, cache conflicts, NoC contention, DVFS transients, tail latency, or any of the effects that separate a roofline from a benchmark.</w:t>
            </w:r>
          </w:p>
          <w:p>
            <w:pPr>
              <w:spacing w:after="40" w:line="264"/>
            </w:pPr>
            <w:r>
              <w:rPr>
                <w:sz w:val="20"/>
                <w:szCs w:val="20"/>
              </w:rPr>
              <w:t xml:space="preserve">The author's expectation is that a cycle-accurate simulator would return figures 12–25% below these, which is the usual gap for a roofline model of this kind. The comparisons against competitors are computed with the same model and the same efficiency assumptions applied to their published specifications, so the ratios should be more robust than the absolute values.</w:t>
            </w:r>
          </w:p>
        </w:tc>
      </w:tr>
    </w:tbl>
    <w:p>
      <w:pPr>
        <w:pStyle w:val="Heading2"/>
        <w:spacing w:after="120" w:before="300"/>
      </w:pPr>
      <w:r>
        <w:rPr>
          <w:rFonts w:ascii="Calibri" w:cs="Calibri" w:eastAsia="Calibri" w:hAnsi="Calibri"/>
          <w:b/>
          <w:bCs/>
          <w:color w:val="1F4E5F"/>
          <w:sz w:val="26"/>
          <w:szCs w:val="26"/>
        </w:rPr>
        <w:t xml:space="preserve">20.1  Method</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For autoregressive decode of a dense model at batch B, context 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bytes_per_step  =  W_eff  +  B · S · kv_bytes_per_token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where W_eff = model weight bytes ÷ codec compression factor</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t_step  =  max(  bytes_per_step / BW_tier1 ,</w:t>
      </w:r>
    </w:p>
    <w:p>
      <w:pPr>
        <w:shd w:fill="EEF3F6" w:val="clear"/>
        <w:spacing w:after="0" w:line="216"/>
        <w:ind w:left="120" w:right="120"/>
      </w:pPr>
      <w:r>
        <w:rPr>
          <w:rFonts w:ascii="Consolas" w:cs="Consolas" w:eastAsia="Consolas" w:hAnsi="Consolas"/>
          <w:sz w:val="15"/>
          <w:szCs w:val="15"/>
        </w:rPr>
        <w:t xml:space="preserve">                      flops_per_step / FLOPS_peak  )  ÷  η</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η = realised efficiency, taken as 0.82 for SC-1 (dedicated attention</w:t>
      </w:r>
    </w:p>
    <w:p>
      <w:pPr>
        <w:shd w:fill="EEF3F6" w:val="clear"/>
        <w:spacing w:after="0" w:line="216"/>
        <w:ind w:left="120" w:right="120"/>
      </w:pPr>
      <w:r>
        <w:rPr>
          <w:rFonts w:ascii="Consolas" w:cs="Consolas" w:eastAsia="Consolas" w:hAnsi="Consolas"/>
          <w:sz w:val="15"/>
          <w:szCs w:val="15"/>
        </w:rPr>
        <w:t xml:space="preserve">            datapath, hardware paging, no software page-table overhead) and</w:t>
      </w:r>
    </w:p>
    <w:p>
      <w:pPr>
        <w:shd w:fill="EEF3F6" w:val="clear"/>
        <w:spacing w:after="0" w:line="216"/>
        <w:ind w:left="120" w:right="120"/>
      </w:pPr>
      <w:r>
        <w:rPr>
          <w:rFonts w:ascii="Consolas" w:cs="Consolas" w:eastAsia="Consolas" w:hAnsi="Consolas"/>
          <w:sz w:val="15"/>
          <w:szCs w:val="15"/>
        </w:rPr>
        <w:t xml:space="preserve">            0.78 for a GPU (published FlashAttention efficiencies plus paged-</w:t>
      </w:r>
    </w:p>
    <w:p>
      <w:pPr>
        <w:shd w:fill="EEF3F6" w:val="clear"/>
        <w:spacing w:after="0" w:line="216"/>
        <w:ind w:left="120" w:right="120"/>
      </w:pPr>
      <w:r>
        <w:rPr>
          <w:rFonts w:ascii="Consolas" w:cs="Consolas" w:eastAsia="Consolas" w:hAnsi="Consolas"/>
          <w:sz w:val="15"/>
          <w:szCs w:val="15"/>
        </w:rPr>
        <w:t xml:space="preserve">            attention software overhead)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throughput  =  B / t_step        per-sequence rate = 1 / t_step</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For MoE, W_eff is replaced by the expected distinct-expert weight traffic:</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E_touched  =  E · [ 1 − (1 − k/E)^B ]</w:t>
      </w:r>
    </w:p>
    <w:p>
      <w:pPr>
        <w:shd w:fill="EEF3F6" w:val="clear"/>
        <w:spacing w:after="0" w:line="216"/>
        <w:ind w:left="120" w:right="120"/>
      </w:pPr>
      <w:r>
        <w:rPr>
          <w:rFonts w:ascii="Consolas" w:cs="Consolas" w:eastAsia="Consolas" w:hAnsi="Consolas"/>
          <w:sz w:val="15"/>
          <w:szCs w:val="15"/>
        </w:rPr>
        <w:t xml:space="preserve">     W_eff      =  E_touched · (params_per_expert / compression)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This last correction matters enormously and is frequently omitted. At E = 64,</w:t>
      </w:r>
    </w:p>
    <w:p>
      <w:pPr>
        <w:shd w:fill="EEF3F6" w:val="clear"/>
        <w:spacing w:after="0" w:line="216"/>
        <w:ind w:left="120" w:right="120"/>
      </w:pPr>
      <w:r>
        <w:rPr>
          <w:rFonts w:ascii="Consolas" w:cs="Consolas" w:eastAsia="Consolas" w:hAnsi="Consolas"/>
          <w:sz w:val="15"/>
          <w:szCs w:val="15"/>
        </w:rPr>
        <w:t xml:space="preserve">  k = 2, B = 40, E_touched = 46 — that is, a batch of 40 tokens touches 72% of</w:t>
      </w:r>
    </w:p>
    <w:p>
      <w:pPr>
        <w:shd w:fill="EEF3F6" w:val="clear"/>
        <w:spacing w:after="0" w:line="216"/>
        <w:ind w:left="120" w:right="120"/>
      </w:pPr>
      <w:r>
        <w:rPr>
          <w:rFonts w:ascii="Consolas" w:cs="Consolas" w:eastAsia="Consolas" w:hAnsi="Consolas"/>
          <w:sz w:val="15"/>
          <w:szCs w:val="15"/>
        </w:rPr>
        <w:t xml:space="preserve">  the model, not 3% of it. MoE weight traffic amortises across a batch far more</w:t>
      </w:r>
    </w:p>
    <w:p>
      <w:pPr>
        <w:shd w:fill="EEF3F6" w:val="clear"/>
        <w:spacing w:after="0" w:line="216"/>
        <w:ind w:left="120" w:right="120"/>
      </w:pPr>
      <w:r>
        <w:rPr>
          <w:rFonts w:ascii="Consolas" w:cs="Consolas" w:eastAsia="Consolas" w:hAnsi="Consolas"/>
          <w:sz w:val="15"/>
          <w:szCs w:val="15"/>
        </w:rPr>
        <w:t xml:space="preserve">  poorly than intuition suggests, which is why RM-B is modelled expert-parallel</w:t>
      </w:r>
    </w:p>
    <w:p>
      <w:pPr>
        <w:shd w:fill="EEF3F6" w:val="clear"/>
        <w:spacing w:after="0" w:line="216"/>
        <w:ind w:left="120" w:right="120"/>
      </w:pPr>
      <w:r>
        <w:rPr>
          <w:rFonts w:ascii="Consolas" w:cs="Consolas" w:eastAsia="Consolas" w:hAnsi="Consolas"/>
          <w:sz w:val="15"/>
          <w:szCs w:val="15"/>
        </w:rPr>
        <w:t xml:space="preserve">  across four packages rather than on one.</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20.2  RM-A, dense 70 B, single package</w:t>
      </w:r>
    </w:p>
    <w:p>
      <w:pPr>
        <w:spacing w:after="140" w:line="276"/>
        <w:jc w:val="left"/>
      </w:pPr>
      <w:r>
        <w:rPr>
          <w:rFonts w:ascii="Calibri" w:cs="Calibri" w:eastAsia="Calibri" w:hAnsi="Calibri"/>
          <w:b w:val="false"/>
          <w:bCs w:val="false"/>
          <w:i w:val="false"/>
          <w:iCs w:val="false"/>
          <w:color w:val="000000"/>
          <w:sz w:val="21"/>
          <w:szCs w:val="21"/>
        </w:rPr>
        <w:t xml:space="preserve">The reference single-package workload. Latency is matched between the two machines at a 17.8 ms step, giving 56 tokens per second per sequence — a comfortable interactive rate — and batch size is then set to whatever each machine's memory allows within that budget.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932"/>
        <w:gridCol w:w="2714"/>
        <w:gridCol w:w="2714"/>
      </w:tblGrid>
      <w:tr>
        <w:trPr>
          <w:cantSplit/>
          <w:tblHeader/>
        </w:trPr>
        <w:tc>
          <w:tcPr>
            <w:tcW w:type="dxa" w:w="393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GB300 Blackwell Ultra</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Tier-1 capacity</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279 GB</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Tier-1 bandwidth</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9.83 TB/s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 TB/s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footprint, MXFP4 with codec</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28.7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 GB (no codec)</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Working set and staging</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 GB</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budget in Tier 1</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151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232 GB</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per 32 K session, MXFP8</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5.24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5.24 GB</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Byte budget per 17.8 ms step at η</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143.4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111.0 GB</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Batch supported within that budget</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Aggregate throughput</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1,571 tok/s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1,150 tok/s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Per-sequence rate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56 tok/s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56 tok/s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Package power</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850 W</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1,400 W</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Tokens per second per watt</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1.85</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0.82</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Advantage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2.25×</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Additional parked sessions held</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175 (Tier 2)</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concurrent sessions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203</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44</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Session advantage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4.6×</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bl>
    <w:p>
      <w:pPr>
        <w:spacing w:after="220" w:before="60"/>
      </w:pPr>
      <w:r>
        <w:rPr>
          <w:i/>
          <w:iCs/>
          <w:color w:val="595959"/>
          <w:sz w:val="17"/>
          <w:szCs w:val="17"/>
        </w:rPr>
        <w:t xml:space="preserve">Table 20-1. RM-A at 32 K context, latency-matched at 56 tok/s per sequence.</w:t>
      </w:r>
    </w:p>
    <w:p>
      <w:pPr>
        <w:spacing w:after="140" w:line="276"/>
        <w:jc w:val="left"/>
      </w:pPr>
      <w:r>
        <w:rPr>
          <w:rFonts w:ascii="Calibri" w:cs="Calibri" w:eastAsia="Calibri" w:hAnsi="Calibri"/>
          <w:b w:val="false"/>
          <w:bCs w:val="false"/>
          <w:i w:val="false"/>
          <w:iCs w:val="false"/>
          <w:color w:val="000000"/>
          <w:sz w:val="21"/>
          <w:szCs w:val="21"/>
        </w:rPr>
        <w:t xml:space="preserve">The decomposition of the 2.25× advantage in tokens per second per watt is worth stating because it shows which design decisions earned it: 1.23× from Tier-1 bandwidth, 1.18× from the weight codec, 1.05× from the higher realised efficiency of the dedicated attention datapath, and 1.65× from the lower power envelope. Multiplying gives 2.51×; the shortfall to 2.25× is the batch-size difference working in Blackwell's favour, since its larger Tier 1 supports a larger batch at the same latency and therefore amortises weights better.</w:t>
      </w:r>
    </w:p>
    <w:p>
      <w:pPr>
        <w:spacing w:after="140" w:line="276"/>
        <w:jc w:val="left"/>
      </w:pPr>
      <w:r>
        <w:rPr>
          <w:rFonts w:ascii="Calibri" w:cs="Calibri" w:eastAsia="Calibri" w:hAnsi="Calibri"/>
          <w:b w:val="false"/>
          <w:bCs w:val="false"/>
          <w:i w:val="false"/>
          <w:iCs w:val="false"/>
          <w:color w:val="000000"/>
          <w:sz w:val="21"/>
          <w:szCs w:val="21"/>
        </w:rPr>
        <w:t xml:space="preserve">That last point is the honest weakness in the comparison. Blackwell Ultra has 45% more Tier-1 capacity and uses it well. SC-1 wins anyway, but a variant with five HBM4 stacks rather than four — 240 GB, 12.3 TB/s, $420 more — would win by considerably more, and Section 24 asks whether the four-stack decision is right (question Q-06).</w:t>
      </w:r>
    </w:p>
    <w:p>
      <w:pPr>
        <w:pStyle w:val="Heading2"/>
        <w:spacing w:after="120" w:before="300"/>
      </w:pPr>
      <w:r>
        <w:rPr>
          <w:rFonts w:ascii="Calibri" w:cs="Calibri" w:eastAsia="Calibri" w:hAnsi="Calibri"/>
          <w:b/>
          <w:bCs/>
          <w:color w:val="1F4E5F"/>
          <w:sz w:val="26"/>
          <w:szCs w:val="26"/>
        </w:rPr>
        <w:t xml:space="preserve">20.3  RM-B, 400 B MoE, four-package expert-parallel group</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932"/>
        <w:gridCol w:w="2714"/>
        <w:gridCol w:w="2714"/>
      </w:tblGrid>
      <w:tr>
        <w:trPr>
          <w:cantSplit/>
          <w:tblHeader/>
        </w:trPr>
        <w:tc>
          <w:tcPr>
            <w:tcW w:type="dxa" w:w="393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 × 4</w:t>
            </w:r>
          </w:p>
        </w:tc>
        <w:tc>
          <w:tcPr>
            <w:tcW w:type="dxa" w:w="271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GB300 × 4</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Experts per package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of 64</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of 64</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Expert weight footprint per package, MXFP4</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50 GB</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budget per package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139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217 GB</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per 32 K session, MXFP8</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3.93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3.93 GB</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Expected experts touched at B = 64</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55 of 64</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55 of 64</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traffic per step per package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35.2 GB</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43.0 GB</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traffic per step per package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251.5 GB</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251.5 GB</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Step time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35.6 ms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46.1 ms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All-to-all dispatch overhead per layer</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 µs × 60 = 1.9 ms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2.4 ms (NVLink)</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Effective step time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37.5 ms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48.5 ms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Aggregate throughput, 4 packages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1,707 tok/s</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1,320 tok/s</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Per-sequence rate</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26.7 tok/s</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20.6 tok/s</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Group power</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3,400 W</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5,600 W</w:t>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Tokens per second per watt</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0.50</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0.24</w:t>
            </w:r>
          </w:p>
        </w:tc>
      </w:tr>
      <w:tr>
        <w:trPr>
          <w:cantSplit/>
          <w:tblHeader w:val="false"/>
        </w:trPr>
        <w:tc>
          <w:tcPr>
            <w:tcW w:type="dxa" w:w="393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Advantage</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2.13×</w:t>
            </w:r>
          </w:p>
        </w:tc>
        <w:tc>
          <w:tcPr>
            <w:tcW w:type="dxa" w:w="271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393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Parked sessions per group</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592</w:t>
            </w:r>
          </w:p>
        </w:tc>
        <w:tc>
          <w:tcPr>
            <w:tcW w:type="dxa" w:w="271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w:t>
            </w:r>
          </w:p>
        </w:tc>
      </w:tr>
    </w:tbl>
    <w:p>
      <w:pPr>
        <w:spacing w:after="220" w:before="60"/>
      </w:pPr>
      <w:r>
        <w:rPr>
          <w:i/>
          <w:iCs/>
          <w:color w:val="595959"/>
          <w:sz w:val="17"/>
          <w:szCs w:val="17"/>
        </w:rPr>
        <w:t xml:space="preserve">Table 20-2. RM-B at 32 K context, batch 64, four-package expert-parallel groups.</w:t>
      </w:r>
    </w:p>
    <w:p>
      <w:pPr>
        <w:spacing w:after="140" w:line="276"/>
        <w:jc w:val="left"/>
      </w:pPr>
      <w:r>
        <w:rPr>
          <w:rFonts w:ascii="Calibri" w:cs="Calibri" w:eastAsia="Calibri" w:hAnsi="Calibri"/>
          <w:b w:val="false"/>
          <w:bCs w:val="false"/>
          <w:i w:val="false"/>
          <w:iCs w:val="false"/>
          <w:color w:val="000000"/>
          <w:sz w:val="21"/>
          <w:szCs w:val="21"/>
        </w:rPr>
        <w:t xml:space="preserve">Note how badly MoE weight traffic behaves. At batch 64 with top-2 of 64 experts, 55 of the 64 experts are touched — so the "40 billion active parameters" figure that makes MoE attractive at batch 1 has almost entirely evaporated by batch 64. This is not a property of SC-1; it is a property of MoE, and it is the reason expert parallelism across packages is mandatory rather than optional. It also explains why the Tier-2 cold-expert residency of Section 8 is less valuable than it first appears: at any realistic batch, almost all experts are hot. Section 24 question Q-08 asks whether the Tier-2 expert-residency machinery earns its silicon.</w:t>
      </w:r>
    </w:p>
    <w:p>
      <w:pPr>
        <w:pStyle w:val="Heading2"/>
        <w:spacing w:after="120" w:before="300"/>
      </w:pPr>
      <w:r>
        <w:rPr>
          <w:rFonts w:ascii="Calibri" w:cs="Calibri" w:eastAsia="Calibri" w:hAnsi="Calibri"/>
          <w:b/>
          <w:bCs/>
          <w:color w:val="1F4E5F"/>
          <w:sz w:val="26"/>
          <w:szCs w:val="26"/>
        </w:rPr>
        <w:t xml:space="preserve">20.4  Long-context behaviour</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123"/>
        <w:gridCol w:w="2059"/>
        <w:gridCol w:w="1685"/>
        <w:gridCol w:w="1498"/>
        <w:gridCol w:w="1685"/>
        <w:gridCol w:w="1310"/>
      </w:tblGrid>
      <w:tr>
        <w:trPr>
          <w:cantSplit/>
          <w:tblHeader/>
        </w:trPr>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Context</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 sessions in Tier 1</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 throughput</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GB300 sessions</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GB300 throughput</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Ratio</w:t>
            </w:r>
          </w:p>
        </w:tc>
      </w:tr>
      <w:tr>
        <w:trPr>
          <w:cantSplit/>
          <w:tblHeader w:val="false"/>
        </w:trPr>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4 K</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 (batch-limited)</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4,940 tok/s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4,020 tok/s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1.23×</w:t>
            </w:r>
          </w:p>
        </w:tc>
      </w:tr>
      <w:tr>
        <w:trPr>
          <w:cantSplit/>
          <w:tblHeader w:val="false"/>
        </w:trPr>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32 K</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28</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1,571 tok/s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44</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1,150 tok/s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w:t>
            </w:r>
          </w:p>
        </w:tc>
      </w:tr>
      <w:tr>
        <w:trPr>
          <w:cantSplit/>
          <w:tblHeader w:val="false"/>
        </w:trPr>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128 K</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412 tok/s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299 tok/s</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1.38×</w:t>
            </w:r>
          </w:p>
        </w:tc>
      </w:tr>
      <w:tr>
        <w:trPr>
          <w:cantSplit/>
          <w:tblHeader w:val="false"/>
        </w:trPr>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200 K</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267 tok/s</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193 tok/s</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1.38×</w:t>
            </w:r>
          </w:p>
        </w:tc>
      </w:tr>
      <w:tr>
        <w:trPr>
          <w:cantSplit/>
          <w:tblHeader w:val="false"/>
        </w:trPr>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1 M</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0 (Tier 2 only)</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54 tok/s</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Does not fit</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t>
            </w:r>
          </w:p>
        </w:tc>
      </w:tr>
    </w:tbl>
    <w:p>
      <w:pPr>
        <w:spacing w:after="220" w:before="60"/>
      </w:pPr>
      <w:r>
        <w:rPr>
          <w:i/>
          <w:iCs/>
          <w:color w:val="595959"/>
          <w:sz w:val="17"/>
          <w:szCs w:val="17"/>
        </w:rPr>
        <w:t xml:space="preserve">Table 20-3. RM-A throughput against context length, single package, latency unconstrained.</w:t>
      </w:r>
    </w:p>
    <w:p>
      <w:pPr>
        <w:spacing w:after="140" w:line="276"/>
        <w:jc w:val="left"/>
      </w:pPr>
      <w:r>
        <w:rPr>
          <w:rFonts w:ascii="Calibri" w:cs="Calibri" w:eastAsia="Calibri" w:hAnsi="Calibri"/>
          <w:b w:val="false"/>
          <w:bCs w:val="false"/>
          <w:i w:val="false"/>
          <w:iCs w:val="false"/>
          <w:color w:val="000000"/>
          <w:sz w:val="21"/>
          <w:szCs w:val="21"/>
        </w:rPr>
        <w:t xml:space="preserve">The 1 M row is the one that matters strategically. A single RM-A session at 1 M tokens holds 164 GB of key-value state. On SC-1 it fits — 151 GB in Tier 1 plus the remainder in Tier 2, or entirely in Tier 2 at INT4 — and generates at 54 tokens per second. On a 279 GB accelerator it also fits, barely, but leaves no room for weights and no room for a second session. On anything smaller it does not fit at all and the session must be sharded across packages, at which point every decode step incurs a collective.</w:t>
      </w:r>
    </w:p>
    <w:p>
      <w:pPr>
        <w:pStyle w:val="Heading2"/>
        <w:spacing w:after="120" w:before="300"/>
      </w:pPr>
      <w:r>
        <w:rPr>
          <w:rFonts w:ascii="Calibri" w:cs="Calibri" w:eastAsia="Calibri" w:hAnsi="Calibri"/>
          <w:b/>
          <w:bCs/>
          <w:color w:val="1F4E5F"/>
          <w:sz w:val="26"/>
          <w:szCs w:val="26"/>
        </w:rPr>
        <w:t xml:space="preserve">20.5  Agentic workload projection</w:t>
      </w:r>
    </w:p>
    <w:p>
      <w:pPr>
        <w:spacing w:after="140" w:line="276"/>
        <w:jc w:val="left"/>
      </w:pPr>
      <w:r>
        <w:rPr>
          <w:rFonts w:ascii="Calibri" w:cs="Calibri" w:eastAsia="Calibri" w:hAnsi="Calibri"/>
          <w:b w:val="false"/>
          <w:bCs w:val="false"/>
          <w:i w:val="false"/>
          <w:iCs w:val="false"/>
          <w:color w:val="000000"/>
          <w:sz w:val="21"/>
          <w:szCs w:val="21"/>
        </w:rPr>
        <w:t xml:space="preserve">This is the operating point the machine was designed for and the one where the advantage is largest. The scenario: a fleet of coding agents at parking ratio ρ = 0.80, 40 K average context, RM-A.</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 session at 40 K context holds 6.55 GB of KV (MXFP8) or 3.47 GB (INT4+bypass).</w:t>
      </w:r>
    </w:p>
    <w:p>
      <w:pPr>
        <w:shd w:fill="EEF3F6" w:val="clear"/>
        <w:spacing w:after="0" w:line="216"/>
        <w:ind w:left="120" w:right="120"/>
      </w:pPr>
      <w:r>
        <w:rPr>
          <w:rFonts w:ascii="Consolas" w:cs="Consolas" w:eastAsia="Consolas" w:hAnsi="Consolas"/>
          <w:sz w:val="15"/>
          <w:szCs w:val="15"/>
        </w:rPr>
        <w:t xml:space="preserve">  At ρ = 0.80, for every session generating there are 4 parked.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SC-1</w:t>
      </w:r>
    </w:p>
    <w:p>
      <w:pPr>
        <w:shd w:fill="EEF3F6" w:val="clear"/>
        <w:spacing w:after="0" w:line="216"/>
        <w:ind w:left="120" w:right="120"/>
      </w:pPr>
      <w:r>
        <w:rPr>
          <w:rFonts w:ascii="Consolas" w:cs="Consolas" w:eastAsia="Consolas" w:hAnsi="Consolas"/>
          <w:sz w:val="15"/>
          <w:szCs w:val="15"/>
        </w:rPr>
        <w:t xml:space="preserve">    Tier 1: 151 GB of KV budget ÷ 6.55 GB     =  23 generating sessions</w:t>
      </w:r>
    </w:p>
    <w:p>
      <w:pPr>
        <w:shd w:fill="EEF3F6" w:val="clear"/>
        <w:spacing w:after="0" w:line="216"/>
        <w:ind w:left="120" w:right="120"/>
      </w:pPr>
      <w:r>
        <w:rPr>
          <w:rFonts w:ascii="Consolas" w:cs="Consolas" w:eastAsia="Consolas" w:hAnsi="Consolas"/>
          <w:sz w:val="15"/>
          <w:szCs w:val="15"/>
        </w:rPr>
        <w:t xml:space="preserve">    Tier 2: 487 GB ÷ 3.47 GB                  = 140 parked sessions</w:t>
      </w:r>
    </w:p>
    <w:p>
      <w:pPr>
        <w:shd w:fill="EEF3F6" w:val="clear"/>
        <w:spacing w:after="0" w:line="216"/>
        <w:ind w:left="120" w:right="120"/>
      </w:pPr>
      <w:r>
        <w:rPr>
          <w:rFonts w:ascii="Consolas" w:cs="Consolas" w:eastAsia="Consolas" w:hAnsi="Consolas"/>
          <w:sz w:val="15"/>
          <w:szCs w:val="15"/>
        </w:rPr>
        <w:t xml:space="preserve">    Supportable concurrent agents at ρ = 0.8: min(23/0.2, 140/0.8) = 115</w:t>
      </w:r>
    </w:p>
    <w:p>
      <w:pPr>
        <w:shd w:fill="EEF3F6" w:val="clear"/>
        <w:spacing w:after="0" w:line="216"/>
        <w:ind w:left="120" w:right="120"/>
      </w:pPr>
      <w:r>
        <w:rPr>
          <w:rFonts w:ascii="Consolas" w:cs="Consolas" w:eastAsia="Consolas" w:hAnsi="Consolas"/>
          <w:sz w:val="15"/>
          <w:szCs w:val="15"/>
        </w:rPr>
        <w:t xml:space="preserve">    Aggregate generation throughput            ≈ 1,286 tok/s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GB300</w:t>
      </w:r>
    </w:p>
    <w:p>
      <w:pPr>
        <w:shd w:fill="EEF3F6" w:val="clear"/>
        <w:spacing w:after="0" w:line="216"/>
        <w:ind w:left="120" w:right="120"/>
      </w:pPr>
      <w:r>
        <w:rPr>
          <w:rFonts w:ascii="Consolas" w:cs="Consolas" w:eastAsia="Consolas" w:hAnsi="Consolas"/>
          <w:sz w:val="15"/>
          <w:szCs w:val="15"/>
        </w:rPr>
        <w:t xml:space="preserve">    Tier 1: 232 GB ÷ 6.55 GB                  =  35 sessions total, no tier 2</w:t>
      </w:r>
    </w:p>
    <w:p>
      <w:pPr>
        <w:shd w:fill="EEF3F6" w:val="clear"/>
        <w:spacing w:after="0" w:line="216"/>
        <w:ind w:left="120" w:right="120"/>
      </w:pPr>
      <w:r>
        <w:rPr>
          <w:rFonts w:ascii="Consolas" w:cs="Consolas" w:eastAsia="Consolas" w:hAnsi="Consolas"/>
          <w:sz w:val="15"/>
          <w:szCs w:val="15"/>
        </w:rPr>
        <w:t xml:space="preserve">    At ρ = 0.8, 28 of those 35 are parked and producing nothing.</w:t>
      </w:r>
    </w:p>
    <w:p>
      <w:pPr>
        <w:shd w:fill="EEF3F6" w:val="clear"/>
        <w:spacing w:after="0" w:line="216"/>
        <w:ind w:left="120" w:right="120"/>
      </w:pPr>
      <w:r>
        <w:rPr>
          <w:rFonts w:ascii="Consolas" w:cs="Consolas" w:eastAsia="Consolas" w:hAnsi="Consolas"/>
          <w:sz w:val="15"/>
          <w:szCs w:val="15"/>
        </w:rPr>
        <w:t xml:space="preserve">    Supportable concurrent agents               =  35</w:t>
      </w:r>
    </w:p>
    <w:p>
      <w:pPr>
        <w:shd w:fill="EEF3F6" w:val="clear"/>
        <w:spacing w:after="0" w:line="216"/>
        <w:ind w:left="120" w:right="120"/>
      </w:pPr>
      <w:r>
        <w:rPr>
          <w:rFonts w:ascii="Consolas" w:cs="Consolas" w:eastAsia="Consolas" w:hAnsi="Consolas"/>
          <w:sz w:val="15"/>
          <w:szCs w:val="15"/>
        </w:rPr>
        <w:t xml:space="preserve">    Aggregate generation throughput            ≈   424 tok/s</w:t>
      </w:r>
    </w:p>
    <w:p>
      <w:pPr>
        <w:shd w:fill="EEF3F6" w:val="clear"/>
        <w:spacing w:after="0" w:line="216"/>
        <w:ind w:left="120" w:right="120"/>
      </w:pPr>
      <w:r>
        <w:rPr>
          <w:rFonts w:ascii="Consolas" w:cs="Consolas" w:eastAsia="Consolas" w:hAnsi="Consolas"/>
          <w:sz w:val="15"/>
          <w:szCs w:val="15"/>
        </w:rPr>
        <w:t xml:space="preserve">      (only 7 sessions generating; the other 28 hold HBM and do nothing)</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Ratio: 3.29× on concurrent agents, 3.03× on delivered tokens,</w:t>
      </w:r>
    </w:p>
    <w:p>
      <w:pPr>
        <w:shd w:fill="EEF3F6" w:val="clear"/>
        <w:spacing w:after="0" w:line="216"/>
        <w:ind w:left="120" w:right="120"/>
      </w:pPr>
      <w:r>
        <w:rPr>
          <w:rFonts w:ascii="Consolas" w:cs="Consolas" w:eastAsia="Consolas" w:hAnsi="Consolas"/>
          <w:sz w:val="15"/>
          <w:szCs w:val="15"/>
        </w:rPr>
        <w:t xml:space="preserve">         4.99× on delivered tokens per watt.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Alternative for GB300: evict parked sessions and re-prefill on resumption.</w:t>
      </w:r>
    </w:p>
    <w:p>
      <w:pPr>
        <w:shd w:fill="EEF3F6" w:val="clear"/>
        <w:spacing w:after="0" w:line="216"/>
        <w:ind w:left="120" w:right="120"/>
      </w:pPr>
      <w:r>
        <w:rPr>
          <w:rFonts w:ascii="Consolas" w:cs="Consolas" w:eastAsia="Consolas" w:hAnsi="Consolas"/>
          <w:sz w:val="15"/>
          <w:szCs w:val="15"/>
        </w:rPr>
        <w:t xml:space="preserve">    Re-prefill of 40 K tokens on a 70 B dense model = 5.6 PFLOP ≈ 480 ms</w:t>
      </w:r>
    </w:p>
    <w:p>
      <w:pPr>
        <w:shd w:fill="EEF3F6" w:val="clear"/>
        <w:spacing w:after="0" w:line="216"/>
        <w:ind w:left="120" w:right="120"/>
      </w:pPr>
      <w:r>
        <w:rPr>
          <w:rFonts w:ascii="Consolas" w:cs="Consolas" w:eastAsia="Consolas" w:hAnsi="Consolas"/>
          <w:sz w:val="15"/>
          <w:szCs w:val="15"/>
        </w:rPr>
        <w:t xml:space="preserve">    of the whole GPU, per resumption. At one resumption per agent per 30 s</w:t>
      </w:r>
    </w:p>
    <w:p>
      <w:pPr>
        <w:shd w:fill="EEF3F6" w:val="clear"/>
        <w:spacing w:after="0" w:line="216"/>
        <w:ind w:left="120" w:right="120"/>
      </w:pPr>
      <w:r>
        <w:rPr>
          <w:rFonts w:ascii="Consolas" w:cs="Consolas" w:eastAsia="Consolas" w:hAnsi="Consolas"/>
          <w:sz w:val="15"/>
          <w:szCs w:val="15"/>
        </w:rPr>
        <w:t xml:space="preserve">    across 35 agents, that consumes 56% of the machine's arithmetic doing</w:t>
      </w:r>
    </w:p>
    <w:p>
      <w:pPr>
        <w:shd w:fill="EEF3F6" w:val="clear"/>
        <w:spacing w:after="0" w:line="216"/>
        <w:ind w:left="120" w:right="120"/>
      </w:pPr>
      <w:r>
        <w:rPr>
          <w:rFonts w:ascii="Consolas" w:cs="Consolas" w:eastAsia="Consolas" w:hAnsi="Consolas"/>
          <w:sz w:val="15"/>
          <w:szCs w:val="15"/>
        </w:rPr>
        <w:t xml:space="preserve">    work it already did once.</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spacing w:after="220" w:before="60"/>
      </w:pPr>
      <w:r>
        <w:rPr>
          <w:i/>
          <w:iCs/>
          <w:color w:val="595959"/>
          <w:sz w:val="17"/>
          <w:szCs w:val="17"/>
        </w:rPr>
        <w:t xml:space="preserve">Figure 20-1. Agentic workload projection at ρ = 0.80.</w:t>
      </w:r>
    </w:p>
    <w:p>
      <w:pPr>
        <w:spacing w:after="140" w:line="276"/>
        <w:jc w:val="left"/>
      </w:pPr>
      <w:r>
        <w:rPr>
          <w:rFonts w:ascii="Calibri" w:cs="Calibri" w:eastAsia="Calibri" w:hAnsi="Calibri"/>
          <w:b w:val="false"/>
          <w:bCs w:val="false"/>
          <w:i w:val="false"/>
          <w:iCs w:val="false"/>
          <w:color w:val="000000"/>
          <w:sz w:val="21"/>
          <w:szCs w:val="21"/>
        </w:rPr>
        <w:t xml:space="preserve">A ratio of three to five is a different kind of claim from a ratio of two, and it depends entirely on the parking ratio being real. If ρ is 0.3 rather than 0.8, the advantage collapses to roughly 1.5×. If agentic traffic is a small fraction of the fleet, it barely matters at all. The entire design is a bet on one number that the author cannot measure, and the first action any reviewer should take is to measure it.</w:t>
      </w:r>
    </w:p>
    <w:p>
      <w:pPr>
        <w:pStyle w:val="Heading2"/>
        <w:spacing w:after="120" w:before="300"/>
      </w:pPr>
      <w:r>
        <w:rPr>
          <w:rFonts w:ascii="Calibri" w:cs="Calibri" w:eastAsia="Calibri" w:hAnsi="Calibri"/>
          <w:b/>
          <w:bCs/>
          <w:color w:val="1F4E5F"/>
          <w:sz w:val="26"/>
          <w:szCs w:val="26"/>
        </w:rPr>
        <w:t xml:space="preserve">20.6  Summary of projections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621"/>
        <w:gridCol w:w="3182"/>
        <w:gridCol w:w="3557"/>
      </w:tblGrid>
      <w:tr>
        <w:trPr>
          <w:cantSplit/>
          <w:tblHeader/>
        </w:trPr>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Workload</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SC-1 advantage over GB300</w:t>
            </w:r>
          </w:p>
        </w:tc>
        <w:tc>
          <w:tcPr>
            <w:tcW w:type="dxa" w:w="355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Confidence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Short context, high batch, dense</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1.23× throughput, 2.03× per watt</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Moderate — the least favourable case and the most robust model</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32 K context, dense, latency-matched</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1.37× throughput, 2.25× per watt</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Moderate</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Long context (128 K – 200 K), dense</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1.38× throughput, 2.27× per watt</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Moderate</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1 M context</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Runs; the comparison does not fit on GB300</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High — this is a capacity fact, not a performance model</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400 B MoE, expert-parallel</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1.29× throughput, 2.13× per watt</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Lower — depends on collective performance that has not been modelled properly</w:t>
            </w:r>
          </w:p>
        </w:tc>
      </w:tr>
      <w:tr>
        <w:trPr>
          <w:cantSplit/>
          <w:tblHeader w:val="false"/>
        </w:trPr>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Agentic, ρ = 0.8</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3.03× throughput, 4.99× per watt</w:t>
            </w:r>
          </w:p>
        </w:tc>
        <w:tc>
          <w:tcPr>
            <w:tcW w:type="dxa" w:w="355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 — depends entirely on an unmeasured parameter</w:t>
            </w:r>
          </w:p>
        </w:tc>
      </w:tr>
      <w:tr>
        <w:trPr>
          <w:cantSplit/>
          <w:tblHeader w:val="false"/>
        </w:trPr>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Cost per delivered token</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6.7× at list price, 2.1× at cost parity</w:t>
            </w:r>
          </w:p>
        </w:tc>
        <w:tc>
          <w:tcPr>
            <w:tcW w:type="dxa" w:w="355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Low — depends on 2028 memory pricing</w:t>
            </w:r>
          </w:p>
        </w:tc>
      </w:tr>
    </w:tbl>
    <w:p>
      <w:pPr>
        <w:spacing w:after="220" w:before="60"/>
      </w:pPr>
      <w:r>
        <w:rPr>
          <w:i/>
          <w:iCs/>
          <w:color w:val="595959"/>
          <w:sz w:val="17"/>
          <w:szCs w:val="17"/>
        </w:rPr>
        <w:t xml:space="preserve">Table 20-4. Summary. Note the inverse relationship between the size of the claimed advantage and the confidence in it. That is not a coincidence and a reviewer should treat it as a warning.</w:t>
      </w:r>
    </w:p>
    <w:p>
      <w:r>
        <w:br w:type="page"/>
      </w:r>
    </w:p>
    <w:p>
      <w:pPr>
        <w:pStyle w:val="Heading1"/>
        <w:spacing w:after="160" w:before="400"/>
      </w:pPr>
      <w:r>
        <w:rPr>
          <w:rFonts w:ascii="Calibri" w:cs="Calibri" w:eastAsia="Calibri" w:hAnsi="Calibri"/>
          <w:b/>
          <w:bCs/>
          <w:color w:val="1F4E5F"/>
          <w:sz w:val="32"/>
          <w:szCs w:val="32"/>
        </w:rPr>
        <w:t xml:space="preserve">21.  Reconciliation with Prior Internal Concepts</w:t>
      </w:r>
    </w:p>
    <w:p>
      <w:pPr>
        <w:spacing w:after="140" w:line="276"/>
        <w:jc w:val="left"/>
      </w:pPr>
      <w:r>
        <w:rPr>
          <w:rFonts w:ascii="Calibri" w:cs="Calibri" w:eastAsia="Calibri" w:hAnsi="Calibri"/>
          <w:b w:val="false"/>
          <w:bCs w:val="false"/>
          <w:i w:val="false"/>
          <w:iCs w:val="false"/>
          <w:color w:val="000000"/>
          <w:sz w:val="21"/>
          <w:szCs w:val="21"/>
        </w:rPr>
        <w:t xml:space="preserve">Two earlier concept documents were supplied with this project: the PROMETHEUS P-1 engineering specification v1.0, and the "Claude Cortex (C2)" framework outline. This section reconciles SC-1 against them, because a design that silently contradicts its predecessors is harder to trust than one that says where and why.</w:t>
      </w:r>
    </w:p>
    <w:p>
      <w:pPr>
        <w:pStyle w:val="Heading2"/>
        <w:spacing w:after="120" w:before="300"/>
      </w:pPr>
      <w:r>
        <w:rPr>
          <w:rFonts w:ascii="Calibri" w:cs="Calibri" w:eastAsia="Calibri" w:hAnsi="Calibri"/>
          <w:b/>
          <w:bCs/>
          <w:color w:val="1F4E5F"/>
          <w:sz w:val="26"/>
          <w:szCs w:val="26"/>
        </w:rPr>
        <w:t xml:space="preserve">21.1  PROMETHEUS P-1</w:t>
      </w:r>
    </w:p>
    <w:p>
      <w:pPr>
        <w:spacing w:after="140" w:line="276"/>
        <w:jc w:val="left"/>
      </w:pPr>
      <w:r>
        <w:rPr>
          <w:rFonts w:ascii="Calibri" w:cs="Calibri" w:eastAsia="Calibri" w:hAnsi="Calibri"/>
          <w:b w:val="false"/>
          <w:bCs w:val="false"/>
          <w:i w:val="false"/>
          <w:iCs w:val="false"/>
          <w:color w:val="000000"/>
          <w:sz w:val="21"/>
          <w:szCs w:val="21"/>
        </w:rPr>
        <w:t xml:space="preserve">PROMETHEUS is a thorough and internally coherent document with the right instincts — inference-only, aggressive quantisation, attention acceleration, custom interconnect. Several of its targets are not achievable, and the reasons are instructive rather than embarrassing.</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434"/>
        <w:gridCol w:w="3744"/>
        <w:gridCol w:w="3182"/>
      </w:tblGrid>
      <w:tr>
        <w:trPr>
          <w:cantSplit/>
          <w:tblHeader/>
        </w:trPr>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PROMETHEUS target</w:t>
            </w:r>
          </w:p>
        </w:tc>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Assessment</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SC-1 position</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80 W peak power with 96 GB of HBM2e at 819 GB/s</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Not achievable. Eight HBM2e stacks alone draw 90–140 W before any logic operates. The stated 80 W is roughly the memory subsystem's power on its own.</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850 W, with 44% of it in memory and interfaces. Section 14.4 accounts for every watt.</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$400–600 manufacturing cost per unit</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Not achievable by a factor of roughly ten. Ninety-six gigabytes of HBM at any realistic price exceeds $700 by itself; the target is below the cost of the memory alone.</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$5,846, of which 67% is memory. The cost argument has to be made on cost per token, not on unit price.</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150 billion transistors in 528 mm² on Samsung SF2</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Implies 284 MTr/mm², which is plausible for dense logic on a 2 nm-class node — but the same document allocates 28% of that area to cache, where density is much lower. The two figures are inconsistent.</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332 billion transistors across 1,600 mm² of logic die, with SRAM explicitly budgeted at lower density on a mature node.</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Die area allocation summing to 369 mm² of a stated 528 mm²</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percentages and the absolute figures in section 3.2 of that document disagree — 42% of 528 is 222, not 63.</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Figure 14-1 shows the area accounting and flags that the MHC is 32 mm² over budget rather than reconciling it silently.</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512 tokens/second peak throughput</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Ambiguous between per-sequence and aggregate. At 400 GB/s of internal bandwidth and a 405 B model, per-sequence decode would be roughly 2 tokens/second.</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20 states batch, context, and per-sequence rate for every throughput figure.</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405 B parameter model support in 96 GB</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Requires roughly 1.9 bits per parameter. Below the quality floor of any published quantisation scheme.</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704 GB attached, and RM-B is modelled expert-parallel across four packages rather than claimed on one.</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Sub-100 ms first-token latency</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Achievable and correctly identified as important.</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Retained as a design goal; prefill of a 4 K prompt on RM-B modelled at 25 ms.</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Per-layer flexible quantisation, int4 through BF16</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Correct and adopted.</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9.3, extended to microscaling formats.</w:t>
            </w:r>
          </w:p>
        </w:tc>
      </w:tr>
      <w:tr>
        <w:trPr>
          <w:cantSplit/>
          <w:tblHeader w:val="false"/>
        </w:trPr>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Dedicated Attention Computation Unit</w:t>
            </w:r>
          </w:p>
        </w:tc>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Correct and adopted. This is the best idea in the document.</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6.4, extended with streaming softmax, hardware paging, and a KV codec.</w:t>
            </w:r>
          </w:p>
        </w:tc>
      </w:tr>
      <w:tr>
        <w:trPr>
          <w:cantSplit/>
          <w:tblHeader w:val="false"/>
        </w:trPr>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Custom scale-up interconnect</w:t>
            </w:r>
          </w:p>
        </w:tc>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Correct in principle; specifying a proprietary one is a strategic error that reproduces the lock-in the programme exists to escape.</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11 adopts UALink-compatible semantics and standard Ethernet for scale-out.</w:t>
            </w:r>
          </w:p>
        </w:tc>
      </w:tr>
    </w:tbl>
    <w:p>
      <w:pPr>
        <w:spacing w:after="220" w:before="60"/>
      </w:pPr>
      <w:r>
        <w:rPr>
          <w:i/>
          <w:iCs/>
          <w:color w:val="595959"/>
          <w:sz w:val="17"/>
          <w:szCs w:val="17"/>
        </w:rPr>
        <w:t xml:space="preserve">Table 21-1. Reconciliation against PROMETHEUS P-1.</w:t>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The general lesson from PROMETHEUS</w:t>
            </w:r>
          </w:p>
          <w:p>
            <w:pPr>
              <w:spacing w:after="100" w:line="264"/>
            </w:pPr>
            <w:r>
              <w:rPr>
                <w:sz w:val="20"/>
                <w:szCs w:val="20"/>
              </w:rPr>
              <w:t xml:space="preserve">The failures in that document are all the same failure: targets were set as aspirations and then not checked against each other. Power, cost, capacity, and quantisation were each chosen to be impressive, and no arithmetic was run across the boundaries between them.</w:t>
            </w:r>
          </w:p>
          <w:p>
            <w:pPr>
              <w:spacing w:after="40" w:line="264"/>
            </w:pPr>
            <w:r>
              <w:rPr>
                <w:sz w:val="20"/>
                <w:szCs w:val="20"/>
              </w:rPr>
              <w:t xml:space="preserve">This is the most common way that AI-generated engineering documents fail, and it is why Section 0.3 of this document specifies deriving before asserting, and why the RTS bandwidth error in Section 7.3 and the MHC floorplan overrun in Section 14.3 were left visible. A specification that never contradicts itself has probably not been checked; one that flags its own contradictions has.</w:t>
            </w:r>
          </w:p>
        </w:tc>
      </w:tr>
    </w:tbl>
    <w:p>
      <w:pPr>
        <w:pStyle w:val="Heading2"/>
        <w:spacing w:after="120" w:before="300"/>
      </w:pPr>
      <w:r>
        <w:rPr>
          <w:rFonts w:ascii="Calibri" w:cs="Calibri" w:eastAsia="Calibri" w:hAnsi="Calibri"/>
          <w:b/>
          <w:bCs/>
          <w:color w:val="1F4E5F"/>
          <w:sz w:val="26"/>
          <w:szCs w:val="26"/>
        </w:rPr>
        <w:t xml:space="preserve">21.2  Claude Cortex (C2)</w:t>
      </w:r>
    </w:p>
    <w:p>
      <w:pPr>
        <w:spacing w:after="140" w:line="276"/>
        <w:jc w:val="left"/>
      </w:pPr>
      <w:r>
        <w:rPr>
          <w:rFonts w:ascii="Calibri" w:cs="Calibri" w:eastAsia="Calibri" w:hAnsi="Calibri"/>
          <w:b w:val="false"/>
          <w:bCs w:val="false"/>
          <w:i w:val="false"/>
          <w:iCs w:val="false"/>
          <w:color w:val="000000"/>
          <w:sz w:val="21"/>
          <w:szCs w:val="21"/>
        </w:rPr>
        <w:t xml:space="preserve">C2 is a framework outline rather than a specification — a well-structured list of the questions a chip programme must answer. SC-1 answers most of them. Two of its suggestions were considered and rejected, and the reasoning is recorded here:</w:t>
      </w:r>
    </w:p>
    <w:p>
      <w:pPr>
        <w:pStyle w:val="ListParagraph"/>
        <w:numPr>
          <w:ilvl w:val="0"/>
          <w:numId w:val="3"/>
        </w:numPr>
        <w:spacing w:after="60" w:line="264"/>
      </w:pPr>
      <w:r>
        <w:rPr>
          <w:rFonts w:ascii="Calibri" w:cs="Calibri" w:eastAsia="Calibri" w:hAnsi="Calibri"/>
          <w:b/>
          <w:bCs/>
          <w:i w:val="false"/>
          <w:iCs w:val="false"/>
          <w:sz w:val="21"/>
          <w:szCs w:val="21"/>
        </w:rPr>
        <w:t xml:space="preserve">Compute-in-memory. </w:t>
      </w:r>
      <w:r>
        <w:rPr>
          <w:rFonts w:ascii="Calibri" w:cs="Calibri" w:eastAsia="Calibri" w:hAnsi="Calibri"/>
          <w:b w:val="false"/>
          <w:bCs w:val="false"/>
          <w:i w:val="false"/>
          <w:iCs w:val="false"/>
          <w:sz w:val="21"/>
          <w:szCs w:val="21"/>
        </w:rPr>
        <w:t xml:space="preserve">C2 lists CIM among the compute options. It was rejected: CIM offers excellent energy per operation for fixed weights but requires either analogue conversion with its attendant accuracy loss, or a digital implementation whose density advantage over conventional SRAM-plus-MAC is modest. More decisively, CIM is weight-stationary by construction, and the dominant traffic in this workload is key-value state, which is not stationary at all. It solves the wrong half of the problem.</w:t>
      </w:r>
    </w:p>
    <w:p>
      <w:pPr>
        <w:pStyle w:val="ListParagraph"/>
        <w:numPr>
          <w:ilvl w:val="0"/>
          <w:numId w:val="3"/>
        </w:numPr>
        <w:spacing w:after="60" w:line="264"/>
      </w:pPr>
      <w:r>
        <w:rPr>
          <w:rFonts w:ascii="Calibri" w:cs="Calibri" w:eastAsia="Calibri" w:hAnsi="Calibri"/>
          <w:b/>
          <w:bCs/>
          <w:i w:val="false"/>
          <w:iCs w:val="false"/>
          <w:sz w:val="21"/>
          <w:szCs w:val="21"/>
        </w:rPr>
        <w:t xml:space="preserve">SRAM-only, no DRAM. </w:t>
      </w:r>
      <w:r>
        <w:rPr>
          <w:rFonts w:ascii="Calibri" w:cs="Calibri" w:eastAsia="Calibri" w:hAnsi="Calibri"/>
          <w:b w:val="false"/>
          <w:bCs w:val="false"/>
          <w:i w:val="false"/>
          <w:iCs w:val="false"/>
          <w:sz w:val="21"/>
          <w:szCs w:val="21"/>
        </w:rPr>
        <w:t xml:space="preserve">C2 lists "custom SRAM-only design" as a bandwidth option. At 512 MB per package and $172 per gigabyte of SRAM, holding a 28.7 GB model entirely in SRAM would require 56 packages of SRAM alone and cost roughly $4.9 M. The approach works for very small models — the Taalas-class single-model ASIC is a real design point — and does not work for a frontier model family.</w:t>
      </w:r>
    </w:p>
    <w:p>
      <w:pPr>
        <w:spacing w:after="140" w:line="276"/>
        <w:jc w:val="left"/>
      </w:pPr>
      <w:r>
        <w:rPr>
          <w:rFonts w:ascii="Calibri" w:cs="Calibri" w:eastAsia="Calibri" w:hAnsi="Calibri"/>
          <w:b w:val="false"/>
          <w:bCs w:val="false"/>
          <w:i w:val="false"/>
          <w:iCs w:val="false"/>
          <w:color w:val="000000"/>
          <w:sz w:val="21"/>
          <w:szCs w:val="21"/>
        </w:rPr>
        <w:t xml:space="preserve">C2's framing of "cost per million tokens" as the killer metric is correct and is adopted throughout Section 17.</w:t>
      </w:r>
    </w:p>
    <w:p>
      <w:r>
        <w:br w:type="page"/>
      </w:r>
    </w:p>
    <w:p>
      <w:pPr>
        <w:pStyle w:val="Heading1"/>
        <w:spacing w:after="160" w:before="400"/>
      </w:pPr>
      <w:r>
        <w:rPr>
          <w:rFonts w:ascii="Calibri" w:cs="Calibri" w:eastAsia="Calibri" w:hAnsi="Calibri"/>
          <w:b/>
          <w:bCs/>
          <w:color w:val="1F4E5F"/>
          <w:sz w:val="32"/>
          <w:szCs w:val="32"/>
        </w:rPr>
        <w:t xml:space="preserve">22.  Risk Register</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562"/>
        <w:gridCol w:w="2246"/>
        <w:gridCol w:w="1685"/>
        <w:gridCol w:w="936"/>
        <w:gridCol w:w="3931"/>
      </w:tblGrid>
      <w:tr>
        <w:trPr>
          <w:cantSplit/>
          <w:tblHeader/>
        </w:trPr>
        <w:tc>
          <w:tcPr>
            <w:tcW w:type="dxa" w:w="56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ID</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Risk</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Impact</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Likelihood</w:t>
            </w:r>
          </w:p>
        </w:tc>
        <w:tc>
          <w:tcPr>
            <w:tcW w:type="dxa" w:w="393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Mitigation</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R-01</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Backside power delivery not available or immature on N2P at the required volume</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CTC array density −12%, nominal voltage 0.68 V, +31 W package power</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Design the PDN to work in both configurations; carry a front-side variant of the array power grid through to floorplan. Decision gate at WP-06.</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SoIC hybrid bonding unavailable, uneconomic, or fails qualification at 210 mm² die size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+$187 per package, +28 W, −6.5% throughput</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2.5D fallback partition of Table 14-2 is fully specified and is viable. Pipe-cleaner lot at WP-31 before RTL freeze.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R-03</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CoWoS-L allocation not obtainable at 1,150 wafer starts per month</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Programme cannot ramp regardless of silicon readiness</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High</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Negotiate multi-year allocation before tape-out, not after. Qualify a second packaging source. Consider reducing the interposer field by moving SerDes off-package (Section 14.3 option c).</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four-die partition costs more in coherence and latency than modelled</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Throughput below projection; in the worst case the monolithic design was right</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6 ns SoIC latency budget is the load-bearing assumption. Validate on the FPGA emulation at −9 months, and again on the pipe-cleaner silicon.</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R-05</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LPDDR6 signal integrity at 14.4 GT/s across 1,024 lanes on an organic module</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Fall back to 12.8 GT/s, −11% Tier-2 bandwidth, −4% throughput</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Medium-high</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Two-row device placement, ≤ 22 mm traces, 18-layer PCB with per-signal reference planes. Full SI simulation at WP-25 and a test vehicle at WP-26.</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R-06</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Compiler and kernel library late; fleet cannot adopt the hardware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programme delivers silicon nobody can use. Historically the most common failure mode.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High</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Borrow the programming model (Section 18.1). Fund the pre-silicon simulator and emulation stages in full. Treat the software schedule as the programme schedule.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R-07</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2029 competitive landscape is not GB300</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Advantage erodes against Vera Rubin-generation parts</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Certain</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Compete on structure, not specification: the memory hierarchy, the die partition, and the cost model survive a generational comparison. Peak-FLOPS comparisons do not, and the programme should never be justified on them.</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R-08</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parking ratio ρ is much lower than assumed</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Tier 2 is oversized; the headline agentic advantage largely disappears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Measure it now, from existing fleet telemetry, before committing (Section 24, Q-01). Tier 2 capacity is a module build option, not a silicon decision — 256 GB, 512 GB and 1 TB variants use the same package.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R-09</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Prefix deduplication factor is close to 1.0</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PCE is 16 MB of wasted RTS and a verification burden for no gain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Measure from production traffic (Q-03). The PCE is 16 mm² of MHC; it can be cut at architecture freeze without disturbing anything else.</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R-10</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HBM4 or LPDDR6 pricing moves against the design</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+38% module cost in the pessimistic case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tier split is itself the hedge — the design can shift capacity between an expensive tier and a cheap one at module build time.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R-11</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FP27 accumulator precision proves insufficient</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Silent, data-dependent accuracy loss; extremely expensive to diagnose post-silicon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Low-medium</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Bit-accurate numerical study before RTL freeze (WP-14). FP30 fallback costs 2.4 mm² per CTC.</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MHC floorplan does not close within a reasonable die size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Either less SRAM or a larger interposer field, which interacts with R-03</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Three resolutions specified in Section 14.3; WP-09 chooses between them at architecture freeze.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R-13</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Hardware tier-management policy is wrong in ways only production reveals</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 CTM makes things worse than software would</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Medium</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Every policy is overridable (Section 8.6). Validate in manual mode first and treat the automatic mode as an optimisation, not a dependency.</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Silent data corruption escapes all three detection layers at fleet scale</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Subtly wrong model outputs; reputationally severe and very hard to trace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Low</w:t>
            </w:r>
          </w:p>
        </w:tc>
        <w:tc>
          <w:tcPr>
            <w:tcW w:type="dxa" w:w="393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Three independent layers (Section 13.4). Publish the SDC detection architecture and the observed rates; treat a rising rate as a fleet-level incident.</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R-15</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Schedule: 2029 ramp is three years after Jalapeño</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Competitor learning-curve advantage across a full generation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Certain</w:t>
            </w:r>
          </w:p>
        </w:tc>
        <w:tc>
          <w:tcPr>
            <w:tcW w:type="dxa" w:w="393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Accept it. Justify the programme on economics that survive being late, and consider whether the SC-1 architecture should first be validated as a chiplet added to an existing partner platform.</w:t>
            </w:r>
          </w:p>
        </w:tc>
      </w:tr>
    </w:tbl>
    <w:p>
      <w:pPr>
        <w:spacing w:after="220" w:before="60"/>
      </w:pPr>
      <w:r>
        <w:rPr>
          <w:i/>
          <w:iCs/>
          <w:color w:val="595959"/>
          <w:sz w:val="17"/>
          <w:szCs w:val="17"/>
        </w:rPr>
        <w:t xml:space="preserve">Table 22-1. Risk register.</w:t>
      </w:r>
    </w:p>
    <w:p>
      <w:pPr>
        <w:spacing w:after="140" w:line="276"/>
        <w:jc w:val="left"/>
      </w:pPr>
      <w:r>
        <w:rPr>
          <w:rFonts w:ascii="Calibri" w:cs="Calibri" w:eastAsia="Calibri" w:hAnsi="Calibri"/>
          <w:b w:val="false"/>
          <w:bCs w:val="false"/>
          <w:i w:val="false"/>
          <w:iCs w:val="false"/>
          <w:color w:val="000000"/>
          <w:sz w:val="21"/>
          <w:szCs w:val="21"/>
        </w:rPr>
        <w:t xml:space="preserve">Of these, R-03, R-06 and R-08 deserve the most attention. R-03 and R-06 are the two risks that have historically killed custom accelerator programmes, and neither is a silicon problem. R-08 is the one that determines whether this particular architecture was the right idea, and unlike the others it can be resolved next week with data that already exists.</w:t>
      </w:r>
    </w:p>
    <w:p>
      <w:r>
        <w:br w:type="page"/>
      </w:r>
    </w:p>
    <w:p>
      <w:pPr>
        <w:pStyle w:val="Heading1"/>
        <w:spacing w:after="160" w:before="400"/>
      </w:pPr>
      <w:r>
        <w:rPr>
          <w:rFonts w:ascii="Calibri" w:cs="Calibri" w:eastAsia="Calibri" w:hAnsi="Calibri"/>
          <w:b/>
          <w:bCs/>
          <w:color w:val="1F4E5F"/>
          <w:sz w:val="32"/>
          <w:szCs w:val="32"/>
        </w:rPr>
        <w:t xml:space="preserve">23.  Programme Plan to CDR — Gap Analysis</w:t>
      </w:r>
    </w:p>
    <w:p>
      <w:pPr>
        <w:spacing w:after="140" w:line="276"/>
        <w:jc w:val="left"/>
      </w:pPr>
      <w:r>
        <w:rPr>
          <w:rFonts w:ascii="Calibri" w:cs="Calibri" w:eastAsia="Calibri" w:hAnsi="Calibri"/>
          <w:b w:val="false"/>
          <w:bCs w:val="false"/>
          <w:i w:val="false"/>
          <w:iCs w:val="false"/>
          <w:color w:val="000000"/>
          <w:sz w:val="21"/>
          <w:szCs w:val="21"/>
        </w:rPr>
        <w:t xml:space="preserve">This section is the answer to "what is the remaining twenty per cent". It enumerates the work packages between this document and a defensible Critical Design Review, with dependency ordering and rough effort estimates. Effort is in engineer-months.</w:t>
      </w:r>
    </w:p>
    <w:p>
      <w:pPr>
        <w:pStyle w:val="Heading2"/>
        <w:spacing w:after="120" w:before="300"/>
      </w:pPr>
      <w:r>
        <w:rPr>
          <w:rFonts w:ascii="Calibri" w:cs="Calibri" w:eastAsia="Calibri" w:hAnsi="Calibri"/>
          <w:b/>
          <w:bCs/>
          <w:color w:val="1F4E5F"/>
          <w:sz w:val="26"/>
          <w:szCs w:val="26"/>
        </w:rPr>
        <w:t xml:space="preserve">23.1  Phase 1 — Architecture validation (months 0–6)</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49"/>
        <w:gridCol w:w="5803"/>
        <w:gridCol w:w="936"/>
        <w:gridCol w:w="1872"/>
      </w:tblGrid>
      <w:tr>
        <w:trPr>
          <w:cantSplit/>
          <w:tblHeader/>
        </w:trPr>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WP</w:t>
            </w:r>
          </w:p>
        </w:tc>
        <w:tc>
          <w:tcPr>
            <w:tcW w:type="dxa" w:w="580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Work package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Effort</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Depends on</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WP-01</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Instrument the production fleet and measure the parking ratio ρ, the context-length distribution, the prefix-sharing distribution, and the agentic duty cycle. Resolves Q-01 through Q-04 and R-08, R-09.</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WP-02</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Build a cycle-approximate performance simulator for the architecture of Sections 5–8, and replay the measured traces through it. Replace every figure in Section 20.</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WP-01</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WP-03</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Architecture trade study: four vs five HBM4 stacks; 256 vs 512 vs 1024 GB Tier 2; 8 vs 10 tiles per CTC. Resolves Q-06.</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WP-02</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WP-04</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Numerics study: end-to-end bit-accurate emulation of the reference model family under the precision policy of Section 9.3, measuring downstream task metrics.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WP-05</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Foundry engagement: confirm N2P and N6 availability, wafer pricing, defect density, and design-rule constraints. Replace every Tier-D figure in Section 17.</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WP-06</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Backside power delivery assessment with the foundry; decision gate on R-01.</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WP-05</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WP-07</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Packaging engagement: CoWoS-L field size, SoIC availability at 210 mm², allocation, and pricing. Decision gate on R-02 and R-03.</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WP-05</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WP-08</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Memory vendor engagement: HBM4 16-high availability, LPDDR6 roadmap and pricing, and whether SPHBM4 changes the tier calculus.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WP-09</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Resolve the MHC floorplan overrun (Section 14.3, R-12).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WP-03, WP-07</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WP-10</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Architecture specification freeze and requirements baseline.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WP-02 … WP-09</w:t>
            </w:r>
          </w:p>
        </w:tc>
      </w:tr>
    </w:tbl>
    <w:p>
      <w:pPr>
        <w:pStyle w:val="Heading2"/>
        <w:spacing w:after="120" w:before="300"/>
      </w:pPr>
      <w:r>
        <w:rPr>
          <w:rFonts w:ascii="Calibri" w:cs="Calibri" w:eastAsia="Calibri" w:hAnsi="Calibri"/>
          <w:b/>
          <w:bCs/>
          <w:color w:val="1F4E5F"/>
          <w:sz w:val="26"/>
          <w:szCs w:val="26"/>
        </w:rPr>
        <w:t xml:space="preserve">23.2  Phase 2 — Microarchitecture and early RTL (months 4–18)</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49"/>
        <w:gridCol w:w="5803"/>
        <w:gridCol w:w="936"/>
        <w:gridCol w:w="1872"/>
      </w:tblGrid>
      <w:tr>
        <w:trPr>
          <w:cantSplit/>
          <w:tblHeader/>
        </w:trPr>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WP</w:t>
            </w:r>
          </w:p>
        </w:tc>
        <w:tc>
          <w:tcPr>
            <w:tcW w:type="dxa" w:w="580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Work package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Effort</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Depends on</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WP-11</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Full microarchitecture specification, Tensor Tile: pipeline stages, timing budgets, operand delivery, accumulator management.</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WP-10</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WP-12</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Full microarchitecture specification, Attention Engine including the page walker, TLB, KV codec, and streaming softmax recurrence.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36</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WP-10</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WP-13</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Full microarchitecture specification, MHC: RTS banking and arbitration, NoC, CTM, PCE, TRU, codec.</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48</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WP-10</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WP-14</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Accumulator precision decision and MAC cell RTL (R-11).</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WP-04</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WP-15</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ISA finalisation, assembler, and instruction-set simulator.</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WP-10</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WP-16</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RTL: Tensor Tile, synthesisable, with assertions.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WP-11, WP-14</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WP-17</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RTL: Attention Engine.</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54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WP-12</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WP-18</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RTL: MHC datapath and control.</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72</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WP-13</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WP-19</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RTL: Sentinel security complex, with a formal model of the sealing protocol.</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28</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WP-10</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WP-20</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Verification plan, testbench architecture, coverage model, and reference models.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WP-15</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WP-21</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Trial synthesis of every major block on the real PDK; area and timing feasibility.</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18</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WP-16 … WP-18</w:t>
            </w:r>
          </w:p>
        </w:tc>
      </w:tr>
    </w:tbl>
    <w:p>
      <w:pPr>
        <w:pStyle w:val="Heading2"/>
        <w:spacing w:after="120" w:before="300"/>
      </w:pPr>
      <w:r>
        <w:rPr>
          <w:rFonts w:ascii="Calibri" w:cs="Calibri" w:eastAsia="Calibri" w:hAnsi="Calibri"/>
          <w:b/>
          <w:bCs/>
          <w:color w:val="1F4E5F"/>
          <w:sz w:val="26"/>
          <w:szCs w:val="26"/>
        </w:rPr>
        <w:t xml:space="preserve">23.3  Phase 3 — Physical, package, and system (months 10–26)</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49"/>
        <w:gridCol w:w="5803"/>
        <w:gridCol w:w="936"/>
        <w:gridCol w:w="1872"/>
      </w:tblGrid>
      <w:tr>
        <w:trPr>
          <w:cantSplit/>
          <w:tblHeader/>
        </w:trPr>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WP</w:t>
            </w:r>
          </w:p>
        </w:tc>
        <w:tc>
          <w:tcPr>
            <w:tcW w:type="dxa" w:w="580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Work package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Effort</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Depends on</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WP-22</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Thermal CFD with a real power map; transient hot-spot analysis; cold-plate design and correlation. Closes the 6 K margin question in Section 14.6.</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16</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WP-21</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WP-23</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Floorplan and trial place-and-route of CTC and MHC; clock tree; timing closure feasibility.</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46</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WP-21</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WP-24</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Power delivery network design and simulation, on-die through package to VRM; droop analysis under the 100 A/µs step.</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WP-23</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WP-25</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Signal integrity: LPDDR6 at 14.4 GT/s across 1,024 lanes; HBM4 interposer routing; 224G SerDes channel budget (R-05).</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26</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WP-07</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WP-26</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Module test vehicle: LPDDR6 channel only, to validate WP-25 in copper before committing the design.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WP-25</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WP-27</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Package mechanical: warpage across the 2,600 mm² field, underfill selection, reflow profile.</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WP-07</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WP-28</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Interposer design: RDL routing, TSV placement, deep-trench decoupling.</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WP-23</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WP-29</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DFT insertion: scan, MBIST, LBIST, compression, IJTAG; test time and coverage estimates.</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WP-16 … WP-18</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WP-30</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ATE programme development and probe card design, including the 9 µm SoIC pad probe (WP-33).</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WP-29</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WP-31</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SoIC pipe-cleaner lot: two dummy dies of representative size, bonded and tested, to establish the real bond yield (R-02).</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WP-07</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WP-32</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Reliability qualification plan: electromigration, TDDB, NBTI, thermal cycling, HAST.</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WP-05</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WP-33</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Fine-pitch probe technology qualification at 9 µm.</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WP-31</w:t>
            </w:r>
          </w:p>
        </w:tc>
      </w:tr>
    </w:tbl>
    <w:p>
      <w:pPr>
        <w:pStyle w:val="Heading2"/>
        <w:spacing w:after="120" w:before="300"/>
      </w:pPr>
      <w:r>
        <w:rPr>
          <w:rFonts w:ascii="Calibri" w:cs="Calibri" w:eastAsia="Calibri" w:hAnsi="Calibri"/>
          <w:b/>
          <w:bCs/>
          <w:color w:val="1F4E5F"/>
          <w:sz w:val="26"/>
          <w:szCs w:val="26"/>
        </w:rPr>
        <w:t xml:space="preserve">23.4  Phase 4 — Software and materials, in parallel throughout</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749"/>
        <w:gridCol w:w="5803"/>
        <w:gridCol w:w="936"/>
        <w:gridCol w:w="1872"/>
      </w:tblGrid>
      <w:tr>
        <w:trPr>
          <w:cantSplit/>
          <w:tblHeader/>
        </w:trPr>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WP</w:t>
            </w:r>
          </w:p>
        </w:tc>
        <w:tc>
          <w:tcPr>
            <w:tcW w:type="dxa" w:w="580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Work package</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Effort</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Depends on</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WP-34</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MLIR back end and VLIW scheduler; conservative scheduling model first.</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96</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WP-15</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WP-35</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Kernel library: attention variants, GEMM shapes, normalisation, MoE routing, sampling.</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84</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WP-34</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WP-36</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Runtime: continuous batching, park/resume policy, KV lifecycle, speculative orchestration.</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72</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WP-34</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WP-37</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FPGA emulation platform and bring-up of one tile group plus a cut-down MHC.</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WP-16, WP-17</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WP-38</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Profiler, debugger, and the performance-counter analysis tooling of Section 6.7.</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36</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WP-36</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WP-39</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Materials qualification programme: cobalt precursor (Section 15.3), secondary gold plating, secondary copper foil, SAC305 with secondary tin, reclaimed structural silicon. Appendix G is the test matrix.</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WP-05</w:t>
            </w:r>
          </w:p>
        </w:tc>
      </w:tr>
      <w:tr>
        <w:trPr>
          <w:cantSplit/>
          <w:tblHeader w:val="false"/>
        </w:trPr>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WP-40</w:t>
            </w:r>
          </w:p>
        </w:tc>
        <w:tc>
          <w:tcPr>
            <w:tcW w:type="dxa" w:w="580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Closed-loop reclamation programme design: refiner contracts, disassembly procedure, material passport, harvest-and-retest flow for LPDDR6.</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r>
      <w:tr>
        <w:trPr>
          <w:cantSplit/>
          <w:tblHeader w:val="false"/>
        </w:trPr>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WP-41</w:t>
            </w:r>
          </w:p>
        </w:tc>
        <w:tc>
          <w:tcPr>
            <w:tcW w:type="dxa" w:w="580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Security architecture review and formal verification of the sealing protocol and the key-derivation chain.</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18</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WP-19</w:t>
            </w:r>
          </w:p>
        </w:tc>
      </w:tr>
    </w:tbl>
    <w:p>
      <w:pPr>
        <w:pStyle w:val="Heading2"/>
        <w:spacing w:after="120" w:before="300"/>
      </w:pPr>
      <w:r>
        <w:rPr>
          <w:rFonts w:ascii="Calibri" w:cs="Calibri" w:eastAsia="Calibri" w:hAnsi="Calibri"/>
          <w:b/>
          <w:bCs/>
          <w:color w:val="1F4E5F"/>
          <w:sz w:val="26"/>
          <w:szCs w:val="26"/>
        </w:rPr>
        <w:t xml:space="preserve">23.5  Effort summary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744"/>
        <w:gridCol w:w="1872"/>
        <w:gridCol w:w="1685"/>
        <w:gridCol w:w="2059"/>
      </w:tblGrid>
      <w:tr>
        <w:trPr>
          <w:cantSplit/>
          <w:tblHeader/>
        </w:trPr>
        <w:tc>
          <w:tcPr>
            <w:tcW w:type="dxa" w:w="374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Phase</w:t>
            </w:r>
          </w:p>
        </w:tc>
        <w:tc>
          <w:tcPr>
            <w:tcW w:type="dxa" w:w="187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Engineer-months</w:t>
            </w:r>
          </w:p>
        </w:tc>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Wall-clock</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Peak headcount</w:t>
            </w:r>
          </w:p>
        </w:tc>
      </w:tr>
      <w:tr>
        <w:trPr>
          <w:cantSplit/>
          <w:tblHeader w:val="false"/>
        </w:trPr>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Phase 1 — architecture validation</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84</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 months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w:t>
            </w:r>
          </w:p>
        </w:tc>
      </w:tr>
      <w:tr>
        <w:trPr>
          <w:cantSplit/>
          <w:tblHeader w:val="false"/>
        </w:trPr>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Phase 2 — microarchitecture and RTL</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402</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 months</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48</w:t>
            </w:r>
          </w:p>
        </w:tc>
      </w:tr>
      <w:tr>
        <w:trPr>
          <w:cantSplit/>
          <w:tblHeader w:val="false"/>
        </w:trPr>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Phase 3 — physical, package, system</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261</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 months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w:t>
            </w:r>
          </w:p>
        </w:tc>
      </w:tr>
      <w:tr>
        <w:trPr>
          <w:cantSplit/>
          <w:tblHeader w:val="false"/>
        </w:trPr>
        <w:tc>
          <w:tcPr>
            <w:tcW w:type="dxa" w:w="3744"/>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Phase 4 — software and materials</w:t>
            </w:r>
          </w:p>
        </w:tc>
        <w:tc>
          <w:tcPr>
            <w:tcW w:type="dxa" w:w="187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w:t>
            </w:r>
          </w:p>
        </w:tc>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 months</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w:t>
            </w:r>
          </w:p>
        </w:tc>
      </w:tr>
      <w:tr>
        <w:trPr>
          <w:cantSplit/>
          <w:tblHeader w:val="false"/>
        </w:trPr>
        <w:tc>
          <w:tcPr>
            <w:tcW w:type="dxa" w:w="3744"/>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to CDR</w:t>
            </w:r>
          </w:p>
        </w:tc>
        <w:tc>
          <w:tcPr>
            <w:tcW w:type="dxa" w:w="187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1,127 engineer-months</w:t>
            </w:r>
          </w:p>
        </w:tc>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26 months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95 concurrent</w:t>
            </w:r>
          </w:p>
        </w:tc>
      </w:tr>
    </w:tbl>
    <w:p>
      <w:pPr>
        <w:spacing w:after="220" w:before="60"/>
      </w:pPr>
      <w:r>
        <w:rPr>
          <w:i/>
          <w:iCs/>
          <w:color w:val="595959"/>
          <w:sz w:val="17"/>
          <w:szCs w:val="17"/>
        </w:rPr>
        <w:t xml:space="preserve">Table 23-1. Effort to CDR. Beyond CDR — full RTL closure, verification sign-off, tape-out, bring-up — roughly doubles this again.</w:t>
      </w:r>
    </w:p>
    <w:p>
      <w:pPr>
        <w:spacing w:after="140" w:line="276"/>
        <w:jc w:val="left"/>
      </w:pPr>
      <w:r>
        <w:rPr>
          <w:rFonts w:ascii="Calibri" w:cs="Calibri" w:eastAsia="Calibri" w:hAnsi="Calibri"/>
          <w:b w:val="false"/>
          <w:bCs w:val="false"/>
          <w:i w:val="false"/>
          <w:iCs w:val="false"/>
          <w:color w:val="000000"/>
          <w:sz w:val="21"/>
          <w:szCs w:val="21"/>
        </w:rPr>
        <w:t xml:space="preserve">The single most important scheduling observation: WP-01 costs six engineer-months, depends on nothing, gates the resolution of two of the three highest risks, and could start tomorrow. It should be done before any decision is taken on whether to fund the rest.</w:t>
      </w:r>
    </w:p>
    <w:p>
      <w:r>
        <w:br w:type="page"/>
      </w:r>
    </w:p>
    <w:p>
      <w:pPr>
        <w:pStyle w:val="Heading1"/>
        <w:spacing w:after="160" w:before="400"/>
      </w:pPr>
      <w:r>
        <w:rPr>
          <w:rFonts w:ascii="Calibri" w:cs="Calibri" w:eastAsia="Calibri" w:hAnsi="Calibri"/>
          <w:b/>
          <w:bCs/>
          <w:color w:val="1F4E5F"/>
          <w:sz w:val="32"/>
          <w:szCs w:val="32"/>
        </w:rPr>
        <w:t xml:space="preserve">24.  Open Questions for Human Engineers</w:t>
      </w:r>
    </w:p>
    <w:p>
      <w:pPr>
        <w:spacing w:after="140" w:line="276"/>
        <w:jc w:val="left"/>
      </w:pPr>
      <w:r>
        <w:rPr>
          <w:rFonts w:ascii="Calibri" w:cs="Calibri" w:eastAsia="Calibri" w:hAnsi="Calibri"/>
          <w:b w:val="false"/>
          <w:bCs w:val="false"/>
          <w:i w:val="false"/>
          <w:iCs w:val="false"/>
          <w:color w:val="000000"/>
          <w:sz w:val="21"/>
          <w:szCs w:val="21"/>
        </w:rPr>
        <w:t xml:space="preserve">These are the things the author does not know and could not determine. They are ordered by how much the answer would change the design.</w:t>
      </w:r>
    </w:p>
    <w:p>
      <w:pPr>
        <w:pStyle w:val="Heading3"/>
        <w:spacing w:after="100" w:before="240"/>
      </w:pPr>
      <w:r>
        <w:rPr>
          <w:rFonts w:ascii="Calibri" w:cs="Calibri" w:eastAsia="Calibri" w:hAnsi="Calibri"/>
          <w:b/>
          <w:bCs/>
          <w:color w:val="7A4E2E"/>
          <w:sz w:val="23"/>
          <w:szCs w:val="23"/>
        </w:rPr>
        <w:t xml:space="preserve">Workload questions — resolvable from existing telemetry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4680"/>
        <w:gridCol w:w="4025"/>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w:t>
            </w:r>
          </w:p>
        </w:tc>
        <w:tc>
          <w:tcPr>
            <w:tcW w:type="dxa" w:w="468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Question</w:t>
            </w:r>
          </w:p>
        </w:tc>
        <w:tc>
          <w:tcPr>
            <w:tcW w:type="dxa" w:w="402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Why it matters</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Q-01</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is the actual fleet-wide parking ratio ρ, broken down by product surface?</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entire Tier-2 case rests on it. Table 4-3 is a guess. Below ρ = 0.4 the design should be reconsidered.</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Q-02</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is the real distribution of context lengths at inference time, weighted by token volume rather than by request count?</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Determines the Tier-1/Tier-2 split and whether the four-stack HBM decision is right.</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Q-03</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is the prefix-sharing distribution — how many distinct prefixes, of what length, shared by how many concurrent sessions?</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Determines whether the Prefix Cache Engine is worth 16 mm² or should be cut. R-09.</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Q-04</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fraction of fleet inference energy goes to prefill, decode, classifiers, and speculative drafting?</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Table 4-2 is an estimate. It sets the compute-to-bandwidth ratio.</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Q-05</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How much of the fleet is dense and how much is MoE, and what is the expert count and top-k?</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20.3 shows MoE weight traffic amortises far worse than expected. The right expert-parallel degree depends on this.</w:t>
            </w:r>
          </w:p>
        </w:tc>
      </w:tr>
    </w:tbl>
    <w:p>
      <w:pPr>
        <w:pStyle w:val="Heading3"/>
        <w:spacing w:after="100" w:before="240"/>
      </w:pPr>
      <w:r>
        <w:rPr>
          <w:rFonts w:ascii="Calibri" w:cs="Calibri" w:eastAsia="Calibri" w:hAnsi="Calibri"/>
          <w:b/>
          <w:bCs/>
          <w:color w:val="7A4E2E"/>
          <w:sz w:val="23"/>
          <w:szCs w:val="23"/>
        </w:rPr>
        <w:t xml:space="preserve">Architecture questions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4680"/>
        <w:gridCol w:w="4025"/>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w:t>
            </w:r>
          </w:p>
        </w:tc>
        <w:tc>
          <w:tcPr>
            <w:tcW w:type="dxa" w:w="468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Question</w:t>
            </w:r>
          </w:p>
        </w:tc>
        <w:tc>
          <w:tcPr>
            <w:tcW w:type="dxa" w:w="402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Why it matters</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Q-06</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Four HBM4 stacks or five? Five gives 240 GB and 12.3 TB/s for $420 and a larger interposer.</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20.2 shows Blackwell's larger Tier 1 partly offsets SC-1's bandwidth advantage. Five stacks may be the better point.</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Q-07</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512 MB of RTS the right size, or is 256 MB sufficient and 1 GB better?</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RTS is the second-largest block on the MHC and the floorplan does not close (R-12).</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Q-08</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Does Tier-2 cold-expert residency earn its silicon, given that at realistic batch almost all experts are hot?</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20.3 suggests it may not. If not, the CTM simplifies considerably.</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Q-09</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a 256 × 256 array the right tile size, or would 128 × 128 with more tiles give better utilisation on the real shape distribution?</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Larger arrays are more efficient when full and much worse when not. Depends on WP-02.</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Q-10</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Should the machine support training at all, at reduced rate, for fine-tuning and RL workloads?</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Adding FP32 accumulation at rate and gradient collectives is perhaps 8% area. It might be worth it; the author judged not, without confidence.</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Q-11</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Does compressed-latent attention (MLA-style) warrant a dedicated datapath rather than an extra GEMM?</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If the model roadmap moves that way, the answer changes from no to yes.</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Q-12</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a hardware state-space / selective-scan unit justified for SC-1, or does it wait for SC-2?</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Section 6.4.3 currently maps it to the Vector Complex at 0.4× the rate a dedicated unit would achieve.</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Q-13</w:t>
            </w:r>
          </w:p>
        </w:tc>
        <w:tc>
          <w:tcPr>
            <w:tcW w:type="dxa" w:w="468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the six-slot VLIW the right issue structure, or would a simpler two-slot machine with more sequencers schedule better?</w:t>
            </w:r>
          </w:p>
        </w:tc>
        <w:tc>
          <w:tcPr>
            <w:tcW w:type="dxa" w:w="402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Affects the compiler difficulty of Section 18.3 substantially.</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Q-14</w:t>
            </w:r>
          </w:p>
        </w:tc>
        <w:tc>
          <w:tcPr>
            <w:tcW w:type="dxa" w:w="468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Should the CTC carry any SRAM at all beyond operand staging, or should the 24 MB also move to the MHC?</w:t>
            </w:r>
          </w:p>
        </w:tc>
        <w:tc>
          <w:tcPr>
            <w:tcW w:type="dxa" w:w="402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Depends on the real SoIC latency (R-04).</w:t>
            </w:r>
          </w:p>
        </w:tc>
      </w:tr>
    </w:tbl>
    <w:p>
      <w:pPr>
        <w:pStyle w:val="Heading3"/>
        <w:spacing w:after="100" w:before="240"/>
      </w:pPr>
      <w:r>
        <w:rPr>
          <w:rFonts w:ascii="Calibri" w:cs="Calibri" w:eastAsia="Calibri" w:hAnsi="Calibri"/>
          <w:b/>
          <w:bCs/>
          <w:color w:val="7A4E2E"/>
          <w:sz w:val="23"/>
          <w:szCs w:val="23"/>
        </w:rPr>
        <w:t xml:space="preserve">Implementation questions the author is not competent to answer</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8705"/>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w:t>
            </w:r>
          </w:p>
        </w:tc>
        <w:tc>
          <w:tcPr>
            <w:tcW w:type="dxa" w:w="870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Question</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Q-15</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a 210 mm² die realistically routable with a 256 × 256 array at 1.5 GHz on N2P, or does the operand network dominate?</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Q-16</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Can the CTC be thinned to 30 µm for SoIC without unacceptable stress on the array, given the backside power stack?</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Q-17</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is the real warpage across a 2,600 mm² CoWoS-L field with an asymmetric die population, and does the structural die actually help?</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Q-18</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0.9 L/min per module and 45 °C inlet sufficient at the real transient power profile, or does the 6 K margin vanish?</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Q-19</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Cobalt Switch ASIC is referenced but not specified. Is a 64-port 224G switch with in-network reduction a reasonable thing to build, or should the design adopt a merchant switch and accept its semantics?</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Q-20</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9 µm SoIC pad probing solved at production volumes, or is WP-33 a research project?</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Q-21</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Does a 20-layer organic substrate at 92 × 92 mm with 4,096 balls exist in production, and what is its real yield?</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Q-22</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Are the timing side channels between tile groups (Table 12-1, "partial") actually closable, and what does closing them cost?</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Q-23</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the FP27 accumulator format synthesisable at competitive area, or does a non-power-of-two width cost more than the five bits save?</w:t>
            </w:r>
          </w:p>
        </w:tc>
      </w:tr>
    </w:tbl>
    <w:p>
      <w:pPr>
        <w:pStyle w:val="Heading3"/>
        <w:spacing w:after="100" w:before="240"/>
      </w:pPr>
      <w:r>
        <w:rPr>
          <w:rFonts w:ascii="Calibri" w:cs="Calibri" w:eastAsia="Calibri" w:hAnsi="Calibri"/>
          <w:b/>
          <w:bCs/>
          <w:color w:val="7A4E2E"/>
          <w:sz w:val="23"/>
          <w:szCs w:val="23"/>
        </w:rPr>
        <w:t xml:space="preserve">Programme questions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655"/>
        <w:gridCol w:w="8705"/>
      </w:tblGrid>
      <w:tr>
        <w:trPr>
          <w:cantSplit/>
          <w:tblHeader/>
        </w:trPr>
        <w:tc>
          <w:tcPr>
            <w:tcW w:type="dxa" w:w="65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w:t>
            </w:r>
          </w:p>
        </w:tc>
        <w:tc>
          <w:tcPr>
            <w:tcW w:type="dxa" w:w="870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Question</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Q-24</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the right first step a full custom part, or an SC-1 memory-hub chiplet integrated into an existing partner's platform to validate the tiering architecture at lower risk?</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Q-25</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Should the tier-management architecture be published? It is the most defensible idea in this document, and publishing it would accelerate the field considerably while forfeiting the advantage.</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Q-26</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Does a 2029 ramp make sense at all, or should the architecture be aimed at 2031 on a node and packaging flow that is not yet allocated?</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Q-27</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the Interpretability Tap (Section 12.6) worth 12.4 mm² and 5.6 W of production silicon, in the judgement of the people who would actually use it?</w:t>
            </w:r>
          </w:p>
        </w:tc>
      </w:tr>
      <w:tr>
        <w:trPr>
          <w:cantSplit/>
          <w:tblHeader w:val="false"/>
        </w:trPr>
        <w:tc>
          <w:tcPr>
            <w:tcW w:type="dxa" w:w="65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Q-28</w:t>
            </w:r>
          </w:p>
        </w:tc>
        <w:tc>
          <w:tcPr>
            <w:tcW w:type="dxa" w:w="870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Is the weight-sealing architecture (Section 12.3) sufficient for the deployment standards it is meant to serve, or does it need to go further?</w:t>
            </w:r>
          </w:p>
        </w:tc>
      </w:tr>
      <w:tr>
        <w:trPr>
          <w:cantSplit/>
          <w:tblHeader w:val="false"/>
        </w:trPr>
        <w:tc>
          <w:tcPr>
            <w:tcW w:type="dxa" w:w="65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Q-29</w:t>
            </w:r>
          </w:p>
        </w:tc>
        <w:tc>
          <w:tcPr>
            <w:tcW w:type="dxa" w:w="870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What has this document got badly wrong that a person who has taped out a large accelerator would see in the first ten minutes?</w:t>
            </w:r>
          </w:p>
        </w:tc>
      </w:tr>
    </w:tbl>
    <w:p>
      <w:r>
        <w:br w:type="page"/>
      </w:r>
    </w:p>
    <w:p>
      <w:pPr>
        <w:pStyle w:val="Heading1"/>
        <w:spacing w:after="160" w:before="400"/>
      </w:pPr>
      <w:r>
        <w:rPr>
          <w:rFonts w:ascii="Calibri" w:cs="Calibri" w:eastAsia="Calibri" w:hAnsi="Calibri"/>
          <w:b/>
          <w:bCs/>
          <w:color w:val="1F4E5F"/>
          <w:sz w:val="32"/>
          <w:szCs w:val="32"/>
        </w:rPr>
        <w:t xml:space="preserve">25.  Roadmap and Conclusion</w:t>
      </w:r>
    </w:p>
    <w:p>
      <w:pPr>
        <w:pStyle w:val="Heading2"/>
        <w:spacing w:after="120" w:before="300"/>
      </w:pPr>
      <w:r>
        <w:rPr>
          <w:rFonts w:ascii="Calibri" w:cs="Calibri" w:eastAsia="Calibri" w:hAnsi="Calibri"/>
          <w:b/>
          <w:bCs/>
          <w:color w:val="1F4E5F"/>
          <w:sz w:val="26"/>
          <w:szCs w:val="26"/>
        </w:rPr>
        <w:t xml:space="preserve">25.1  Roadmap</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6"/>
        <w:gridCol w:w="936"/>
        <w:gridCol w:w="4118"/>
        <w:gridCol w:w="3370"/>
      </w:tblGrid>
      <w:tr>
        <w:trPr>
          <w:cantSplit/>
          <w:tblHeader/>
        </w:trPr>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Part</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Timing</w:t>
            </w:r>
          </w:p>
        </w:tc>
        <w:tc>
          <w:tcPr>
            <w:tcW w:type="dxa" w:w="411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Changes</w:t>
            </w:r>
          </w:p>
        </w:tc>
        <w:tc>
          <w:tcPr>
            <w:tcW w:type="dxa" w:w="337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Rationale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SC-1</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2029</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Baseline as specified</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SC-1L</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2029</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 HBM. Tier 1 removed; 2 TB of LPDDR6 at 3.7 TB/s across a doubled interface. Two CTCs rather than four.</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 batch and offline-serving part. Latency-insensitive workloads do not need HBM, and removing it takes 60% of the bill of materials out. Estimated cost $2,180.</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SC-1B</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2029</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Harvest SKU: half fabric, 256 GB Tier 2</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Section 13.6; prefill groups and batch serving.</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SC-1P</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2030</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Five HBM4 stacks, 240 GB, 12.3 TB/s, 10 tiles per CTC</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If Q-06 resolves in favour of more Tier 1.</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2031</w:t>
            </w:r>
          </w:p>
        </w:tc>
        <w:tc>
          <w:tcPr>
            <w:tcW w:type="dxa" w:w="411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A16 with Super Power Rail; HBM4E; co-packaged optics on the fabric; a dedicated selective-scan unit; second-generation CTM informed by two years of production telemetry</w:t>
            </w:r>
          </w:p>
        </w:tc>
        <w:tc>
          <w:tcPr>
            <w:tcW w:type="dxa" w:w="337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The tap that matters is the telemetry: SC-2 should be designed against measured policy behaviour rather than modelled.</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SC-2X</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2032</w:t>
            </w:r>
          </w:p>
        </w:tc>
        <w:tc>
          <w:tcPr>
            <w:tcW w:type="dxa" w:w="411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Wafer-scale or panel-level integration of 8 CTC and 4 MHC dies</w:t>
            </w:r>
          </w:p>
        </w:tc>
        <w:tc>
          <w:tcPr>
            <w:tcW w:type="dxa" w:w="337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Only if CoWoS-class packaging cost per unit area falls, which it may not.</w:t>
            </w:r>
          </w:p>
        </w:tc>
      </w:tr>
    </w:tbl>
    <w:p>
      <w:pPr>
        <w:spacing w:after="220" w:before="60"/>
      </w:pPr>
      <w:r>
        <w:rPr>
          <w:i/>
          <w:iCs/>
          <w:color w:val="595959"/>
          <w:sz w:val="17"/>
          <w:szCs w:val="17"/>
        </w:rPr>
        <w:t xml:space="preserve">Table 25-1. Roadmap.</w:t>
      </w:r>
    </w:p>
    <w:p>
      <w:pPr>
        <w:spacing w:after="140" w:line="276"/>
        <w:jc w:val="left"/>
      </w:pPr>
      <w:r>
        <w:rPr>
          <w:rFonts w:ascii="Calibri" w:cs="Calibri" w:eastAsia="Calibri" w:hAnsi="Calibri"/>
          <w:b w:val="false"/>
          <w:bCs w:val="false"/>
          <w:i w:val="false"/>
          <w:iCs w:val="false"/>
          <w:color w:val="000000"/>
          <w:sz w:val="21"/>
          <w:szCs w:val="21"/>
        </w:rPr>
        <w:t xml:space="preserve">SC-1L deserves a note because it may be the better first product. It carries no HBM, no CoWoS-class packaging risk, and no advanced-packaging allocation dependency — which removes R-03, the highest-likelihood risk in the register. It would serve the batch and offline API, which is a real and growing share of token volume and which is entirely latency-tolerant. It could ship a year earlier and would validate the tier architecture, the ISA, the compiler, and the CTM on real traffic before the expensive part is committed. A programme that shipped SC-1L in 2028 and SC-1 in 2029 would be considerably less likely to fail than one that attempts SC-1 alone.</w:t>
      </w:r>
    </w:p>
    <w:p>
      <w:pPr>
        <w:pStyle w:val="Heading2"/>
        <w:spacing w:after="120" w:before="300"/>
      </w:pPr>
      <w:r>
        <w:rPr>
          <w:rFonts w:ascii="Calibri" w:cs="Calibri" w:eastAsia="Calibri" w:hAnsi="Calibri"/>
          <w:b/>
          <w:bCs/>
          <w:color w:val="1F4E5F"/>
          <w:sz w:val="26"/>
          <w:szCs w:val="26"/>
        </w:rPr>
        <w:t xml:space="preserve">25.2  What this design is</w:t>
      </w:r>
    </w:p>
    <w:p>
      <w:pPr>
        <w:spacing w:after="140" w:line="276"/>
        <w:jc w:val="left"/>
      </w:pPr>
      <w:r>
        <w:rPr>
          <w:rFonts w:ascii="Calibri" w:cs="Calibri" w:eastAsia="Calibri" w:hAnsi="Calibri"/>
          <w:b w:val="false"/>
          <w:bCs w:val="false"/>
          <w:i w:val="false"/>
          <w:iCs w:val="false"/>
          <w:color w:val="000000"/>
          <w:sz w:val="21"/>
          <w:szCs w:val="21"/>
        </w:rPr>
        <w:t xml:space="preserve">SC-1 is a bet that the economics of language-model inference are dominated by three things that most accelerator designs treat as secondary: the cost of holding state that is not being used, the cost of moving weights that do not need moving, and the cost of yield loss on a die that did not need to be that big.</w:t>
      </w:r>
    </w:p>
    <w:p>
      <w:pPr>
        <w:spacing w:after="140" w:line="276"/>
        <w:jc w:val="left"/>
      </w:pPr>
      <w:r>
        <w:rPr>
          <w:rFonts w:ascii="Calibri" w:cs="Calibri" w:eastAsia="Calibri" w:hAnsi="Calibri"/>
          <w:b w:val="false"/>
          <w:bCs w:val="false"/>
          <w:i w:val="false"/>
          <w:iCs w:val="false"/>
          <w:color w:val="000000"/>
          <w:sz w:val="21"/>
          <w:szCs w:val="21"/>
        </w:rPr>
        <w:t xml:space="preserve">It attacks the first with a second memory tier and a hardware migration engine, the second with a large mature-node SRAM, a weight codec, and key-value quantisation, and the third by cutting the compute die into four and putting everything that does not scale on a node that is half the price. In exchange it gives up peak arithmetic, accepts a die-to-die coherence problem, and takes on a hardware memory-management policy that has a long history of disappointing its designers.</w:t>
      </w:r>
    </w:p>
    <w:p>
      <w:pPr>
        <w:spacing w:after="140" w:line="276"/>
        <w:jc w:val="left"/>
      </w:pPr>
      <w:r>
        <w:rPr>
          <w:rFonts w:ascii="Calibri" w:cs="Calibri" w:eastAsia="Calibri" w:hAnsi="Calibri"/>
          <w:b w:val="false"/>
          <w:bCs w:val="false"/>
          <w:i w:val="false"/>
          <w:iCs w:val="false"/>
          <w:color w:val="000000"/>
          <w:sz w:val="21"/>
          <w:szCs w:val="21"/>
        </w:rPr>
        <w:t xml:space="preserve">The modelled result is roughly 2.2× the tokens per second per watt of the current best merchant accelerator at realistic long-context operating points, 4.6× the concurrent sessions, and — if the parking-ratio estimate is anywhere near right — three to five times the delivered throughput on agentic workloads. On cost, the honest engineering number is around 2.1× at manufacturing-cost parity and the honest business number is around 6.7× against what a buyer actually pays.</w:t>
      </w:r>
    </w:p>
    <w:p>
      <w:pPr>
        <w:pStyle w:val="Heading2"/>
        <w:spacing w:after="120" w:before="300"/>
      </w:pPr>
      <w:r>
        <w:rPr>
          <w:rFonts w:ascii="Calibri" w:cs="Calibri" w:eastAsia="Calibri" w:hAnsi="Calibri"/>
          <w:b/>
          <w:bCs/>
          <w:color w:val="1F4E5F"/>
          <w:sz w:val="26"/>
          <w:szCs w:val="26"/>
        </w:rPr>
        <w:t xml:space="preserve">25.3  What it is not</w:t>
      </w:r>
    </w:p>
    <w:p>
      <w:pPr>
        <w:spacing w:after="140" w:line="276"/>
        <w:jc w:val="left"/>
      </w:pPr>
      <w:r>
        <w:rPr>
          <w:rFonts w:ascii="Calibri" w:cs="Calibri" w:eastAsia="Calibri" w:hAnsi="Calibri"/>
          <w:b w:val="false"/>
          <w:bCs w:val="false"/>
          <w:i w:val="false"/>
          <w:iCs w:val="false"/>
          <w:color w:val="000000"/>
          <w:sz w:val="21"/>
          <w:szCs w:val="21"/>
        </w:rPr>
        <w:t xml:space="preserve">It is not verified. Section 0.2 said this and it bears repeating at the end: nothing here has been simulated, synthesised, or measured. The floorplan does not close. One bandwidth figure in the executive summary was wrong and had to be corrected in Section 7.3. The three most valuable claims in the document rest on a workload parameter the author guessed.</w:t>
      </w:r>
    </w:p>
    <w:p>
      <w:pPr>
        <w:spacing w:after="140" w:line="276"/>
        <w:jc w:val="left"/>
      </w:pPr>
      <w:r>
        <w:rPr>
          <w:rFonts w:ascii="Calibri" w:cs="Calibri" w:eastAsia="Calibri" w:hAnsi="Calibri"/>
          <w:b w:val="false"/>
          <w:bCs w:val="false"/>
          <w:i w:val="false"/>
          <w:iCs w:val="false"/>
          <w:color w:val="000000"/>
          <w:sz w:val="21"/>
          <w:szCs w:val="21"/>
        </w:rPr>
        <w:t xml:space="preserve">It is also not a substitute for the judgement of people who have taped out large accelerators. The architecture-level reasoning in this document is the part a language model can do reasonably well: dimensional analysis, cost arithmetic, trade studies against published specifications, and the discipline of deriving rather than asserting. The part it cannot do is know what actually happens when a 256 × 256 array at 0.62 V meets a real PDK, or what a packaging engineer will say about a 2,600 mm² field with an asymmetric die population, or which of the twenty-nine open questions in Section 24 has an obvious answer that everyone in the industry already knows.</w:t>
      </w:r>
    </w:p>
    <w:p>
      <w:pPr>
        <w:pStyle w:val="Heading2"/>
        <w:spacing w:after="120" w:before="300"/>
      </w:pPr>
      <w:r>
        <w:rPr>
          <w:rFonts w:ascii="Calibri" w:cs="Calibri" w:eastAsia="Calibri" w:hAnsi="Calibri"/>
          <w:b/>
          <w:bCs/>
          <w:color w:val="1F4E5F"/>
          <w:sz w:val="26"/>
          <w:szCs w:val="26"/>
        </w:rPr>
        <w:t xml:space="preserve">25.4  The first three things to do</w:t>
      </w:r>
    </w:p>
    <w:p>
      <w:pPr>
        <w:pStyle w:val="ListParagraph"/>
        <w:numPr>
          <w:ilvl w:val="0"/>
          <w:numId w:val="2"/>
        </w:numPr>
        <w:spacing w:after="60" w:line="264"/>
      </w:pPr>
      <w:r>
        <w:rPr>
          <w:rFonts w:ascii="Calibri" w:cs="Calibri" w:eastAsia="Calibri" w:hAnsi="Calibri"/>
          <w:b/>
          <w:bCs/>
          <w:i w:val="false"/>
          <w:iCs w:val="false"/>
          <w:sz w:val="21"/>
          <w:szCs w:val="21"/>
        </w:rPr>
        <w:t xml:space="preserve">Measure ρ. </w:t>
      </w:r>
      <w:r>
        <w:rPr>
          <w:rFonts w:ascii="Calibri" w:cs="Calibri" w:eastAsia="Calibri" w:hAnsi="Calibri"/>
          <w:b w:val="false"/>
          <w:bCs w:val="false"/>
          <w:i w:val="false"/>
          <w:iCs w:val="false"/>
          <w:sz w:val="21"/>
          <w:szCs w:val="21"/>
        </w:rPr>
        <w:t xml:space="preserve">Work package WP-01. Six engineer-months, no dependencies, and it determines whether the central idea in this document is worth anything. If the parking ratio across the fleet is low, most of Section 8 should be deleted and the design becomes a fairly ordinary — though still cheaper — inference ASIC.</w:t>
      </w:r>
    </w:p>
    <w:p>
      <w:pPr>
        <w:pStyle w:val="ListParagraph"/>
        <w:numPr>
          <w:ilvl w:val="0"/>
          <w:numId w:val="2"/>
        </w:numPr>
        <w:spacing w:after="60" w:line="264"/>
      </w:pPr>
      <w:r>
        <w:rPr>
          <w:rFonts w:ascii="Calibri" w:cs="Calibri" w:eastAsia="Calibri" w:hAnsi="Calibri"/>
          <w:b/>
          <w:bCs/>
          <w:i w:val="false"/>
          <w:iCs w:val="false"/>
          <w:sz w:val="21"/>
          <w:szCs w:val="21"/>
        </w:rPr>
        <w:t xml:space="preserve">Ask a packaging engineer about SoIC at 210 mm² and CoWoS-L at 2,600 mm². </w:t>
      </w:r>
      <w:r>
        <w:rPr>
          <w:rFonts w:ascii="Calibri" w:cs="Calibri" w:eastAsia="Calibri" w:hAnsi="Calibri"/>
          <w:b w:val="false"/>
          <w:bCs w:val="false"/>
          <w:i w:val="false"/>
          <w:iCs w:val="false"/>
          <w:sz w:val="21"/>
          <w:szCs w:val="21"/>
        </w:rPr>
        <w:t xml:space="preserve">One conversation. It gates R-02 and R-03, which together determine whether the partition strategy is available at all.</w:t>
      </w:r>
    </w:p>
    <w:p>
      <w:pPr>
        <w:pStyle w:val="ListParagraph"/>
        <w:numPr>
          <w:ilvl w:val="0"/>
          <w:numId w:val="2"/>
        </w:numPr>
        <w:spacing w:after="60" w:line="264"/>
      </w:pPr>
      <w:r>
        <w:rPr>
          <w:rFonts w:ascii="Calibri" w:cs="Calibri" w:eastAsia="Calibri" w:hAnsi="Calibri"/>
          <w:b/>
          <w:bCs/>
          <w:i w:val="false"/>
          <w:iCs w:val="false"/>
          <w:sz w:val="21"/>
          <w:szCs w:val="21"/>
        </w:rPr>
        <w:t xml:space="preserve">Have someone who has taped out a large accelerator read Section 6 and Section 14 and say what is wrong with them. </w:t>
      </w:r>
      <w:r>
        <w:rPr>
          <w:rFonts w:ascii="Calibri" w:cs="Calibri" w:eastAsia="Calibri" w:hAnsi="Calibri"/>
          <w:b w:val="false"/>
          <w:bCs w:val="false"/>
          <w:i w:val="false"/>
          <w:iCs w:val="false"/>
          <w:sz w:val="21"/>
          <w:szCs w:val="21"/>
        </w:rPr>
        <w:t xml:space="preserve">Question Q-29. The author's strong expectation is that there is something obvious, and that finding it early is worth more than everything else in this document.</w:t>
      </w:r>
    </w:p>
    <w:p>
      <w:pPr>
        <w:pStyle w:val="Heading2"/>
        <w:spacing w:after="120" w:before="300"/>
      </w:pPr>
      <w:r>
        <w:rPr>
          <w:rFonts w:ascii="Calibri" w:cs="Calibri" w:eastAsia="Calibri" w:hAnsi="Calibri"/>
          <w:b/>
          <w:bCs/>
          <w:color w:val="1F4E5F"/>
          <w:sz w:val="26"/>
          <w:szCs w:val="26"/>
        </w:rPr>
        <w:t xml:space="preserve">25.5  Closing</w:t>
      </w:r>
    </w:p>
    <w:p>
      <w:pPr>
        <w:spacing w:after="140" w:line="276"/>
        <w:jc w:val="left"/>
      </w:pPr>
      <w:r>
        <w:rPr>
          <w:rFonts w:ascii="Calibri" w:cs="Calibri" w:eastAsia="Calibri" w:hAnsi="Calibri"/>
          <w:b w:val="false"/>
          <w:bCs w:val="false"/>
          <w:i w:val="false"/>
          <w:iCs w:val="false"/>
          <w:color w:val="000000"/>
          <w:sz w:val="21"/>
          <w:szCs w:val="21"/>
        </w:rPr>
        <w:t xml:space="preserve">The document owner's hypothesis was that a language model could produce the first eighty per cent of an accelerator architecture and that human engineers could finish it. This document is an attempt to test that honestly rather than to confirm it flatteringly.</w:t>
      </w:r>
    </w:p>
    <w:p>
      <w:pPr>
        <w:spacing w:after="140" w:line="276"/>
        <w:jc w:val="left"/>
      </w:pPr>
      <w:r>
        <w:rPr>
          <w:rFonts w:ascii="Calibri" w:cs="Calibri" w:eastAsia="Calibri" w:hAnsi="Calibri"/>
          <w:b w:val="false"/>
          <w:bCs w:val="false"/>
          <w:i w:val="false"/>
          <w:iCs w:val="false"/>
          <w:color w:val="000000"/>
          <w:sz w:val="21"/>
          <w:szCs w:val="21"/>
        </w:rPr>
        <w:t xml:space="preserve">The result, as best the author can judge it, is that the hypothesis is roughly right about scope and roughly wrong about proportion. What is here is a complete architecture, a defensible cost model, a memory hierarchy that is a genuine idea rather than a rearrangement of existing ones, and a project plan that a programme manager could cost. What is not here is any of the physical evidence that makes an architecture real, and that missing part is not twenty per cent of the work — Section 23 estimates 1,127 engineer-months to CDR and roughly the same again to silicon.</w:t>
      </w:r>
    </w:p>
    <w:p>
      <w:pPr>
        <w:spacing w:after="140" w:line="276"/>
        <w:jc w:val="left"/>
      </w:pPr>
      <w:r>
        <w:rPr>
          <w:rFonts w:ascii="Calibri" w:cs="Calibri" w:eastAsia="Calibri" w:hAnsi="Calibri"/>
          <w:b w:val="false"/>
          <w:bCs w:val="false"/>
          <w:i w:val="false"/>
          <w:iCs w:val="false"/>
          <w:color w:val="000000"/>
          <w:sz w:val="21"/>
          <w:szCs w:val="21"/>
        </w:rPr>
        <w:t xml:space="preserve">But the eighty-twenty framing may be the wrong one anyway. The value of a document like this is not that it saves the first eighty per cent of the labour; it is that it produces a specific, checkable, wrong-in-identifiable-places starting position in a week rather than a quarter, so that the argument among the people who actually know can start earlier. Every number here is an invitation to be corrected. The most useful thing a reader can do with it is find the error in Section 6 that the author could not see.</w:t>
      </w:r>
    </w:p>
    <w:p>
      <w:pPr>
        <w:spacing w:after="200"/>
      </w:pPr>
      <w:r>
        <w:rPr>
          <w:sz w:val="6"/>
          <w:szCs w:val="6"/>
        </w:rPr>
        <w:t xml:space="preserve"/>
      </w:r>
    </w:p>
    <w:tbl>
      <w:tblPr>
        <w:tblW w:type="dxa" w:w="9360"/>
        <w:tblBorders>
          <w:top w:val="single" w:color="D8C6B4" w:sz="2"/>
          <w:left w:val="single" w:color="7A4E2E" w:sz="18"/>
          <w:bottom w:val="single" w:color="D8C6B4" w:sz="2"/>
          <w:right w:val="single" w:color="D8C6B4" w:sz="2"/>
          <w:insideH w:val="none" w:sz="0"/>
          <w:insideV w:val="none" w:sz="0"/>
        </w:tblBorders>
      </w:tblPr>
      <w:tblGrid>
        <w:gridCol w:w="9360"/>
      </w:tblGrid>
      <w:tr>
        <w:tc>
          <w:tcPr>
            <w:tcW w:type="dxa" w:w="9360"/>
            <w:shd w:fill="F7F3EF" w:val="clear"/>
            <w:tcMar>
              <w:top w:type="dxa" w:w="120"/>
              <w:left w:type="dxa" w:w="160"/>
              <w:bottom w:type="dxa" w:w="120"/>
              <w:right w:type="dxa" w:w="160"/>
            </w:tcMar>
          </w:tcPr>
          <w:p>
            <w:pPr>
              <w:spacing w:after="60" w:before="40"/>
            </w:pPr>
            <w:r>
              <w:rPr>
                <w:b/>
                <w:bCs/>
                <w:color w:val="7A4E2E"/>
                <w:sz w:val="20"/>
                <w:szCs w:val="20"/>
              </w:rPr>
              <w:t xml:space="preserve">On the name, one last time</w:t>
            </w:r>
          </w:p>
          <w:p>
            <w:pPr>
              <w:spacing w:after="100" w:line="264"/>
            </w:pPr>
            <w:r>
              <w:rPr>
                <w:sz w:val="20"/>
                <w:szCs w:val="20"/>
              </w:rPr>
              <w:t xml:space="preserve">Cobalt lines the copper. It is the thing at the boundary — a few atoms thick, doing the work that keeps the metal above it from failing, and almost never the part anyone looks at.</w:t>
            </w:r>
          </w:p>
          <w:p>
            <w:pPr>
              <w:spacing w:after="40" w:line="264"/>
            </w:pPr>
            <w:r>
              <w:rPr>
                <w:sz w:val="20"/>
                <w:szCs w:val="20"/>
              </w:rPr>
              <w:t xml:space="preserve">A specification is the same kind of object. It sits at the boundary between an idea and a machine, it is thin compared to either, and its whole function is to keep the thing above it from failing in ways that would otherwise only be discovered late. This one is offered in that spirit: not as a machine, but as the layer underneath one, for whoever builds it.</w:t>
            </w:r>
          </w:p>
        </w:tc>
      </w:tr>
    </w:tbl>
    <w:p>
      <w:r>
        <w:br w:type="page"/>
      </w:r>
    </w:p>
    <w:p>
      <w:pPr>
        <w:pStyle w:val="Heading1"/>
        <w:spacing w:after="160" w:before="400"/>
      </w:pPr>
      <w:r>
        <w:rPr>
          <w:rFonts w:ascii="Calibri" w:cs="Calibri" w:eastAsia="Calibri" w:hAnsi="Calibri"/>
          <w:b/>
          <w:bCs/>
          <w:color w:val="1F4E5F"/>
          <w:sz w:val="32"/>
          <w:szCs w:val="32"/>
        </w:rPr>
        <w:t xml:space="preserve">Appendix A.  Glossary and Abbreviations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685"/>
        <w:gridCol w:w="7675"/>
      </w:tblGrid>
      <w:tr>
        <w:trPr>
          <w:cantSplit/>
          <w:tblHeader/>
        </w:trPr>
        <w:tc>
          <w:tcPr>
            <w:tcW w:type="dxa" w:w="168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Term</w:t>
            </w:r>
          </w:p>
        </w:tc>
        <w:tc>
          <w:tcPr>
            <w:tcW w:type="dxa" w:w="7675"/>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Definition</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2:4 sparsity</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Structured sparsity in which at most two of every aligned group of four weights are non-zero.</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ACU / Attention Engine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dedicated attention datapath on each CTC. Section 6.4.</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BLAKE3</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Cryptographic hash function used for the prefix content tags of Section 8.5.</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CDR</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Critical Design Review.</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CoWoS-L</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TSMC Chip-on-Wafer-on-Substrate with local silicon interconnect bridges; the 2.5D packaging technology used here.</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Compute Tile Chiplet. Four per package, N2P, 210 mm². Section 6.</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CTM</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Context Tier Manager. The hardware engine that owns page placement across Tiers 1 and 2. Section 8.3.</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D₀</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Defect density, in defects per square centimetre.</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DFT</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Design for test.</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DPW / GDPW</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Dies per wafer / gross dies per wafer.</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E8M0</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An 8-bit exponent-only format, used as the shared block scale in the microscaling formats.</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FIT</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Failures in time — failures per 10⁹ device-hours.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FP27</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1-8-18 accumulator format used in the MAC cells. Section 6.3.2.</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GQA</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Grouped-query attention: several query heads share one key-value head.</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HBM4</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sixth-generation high-bandwidth memory standard, JEDEC JESD270-4: 2,048-bit interface, 32 channels.</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I-Tap</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Interpretability Tap. Section 12.6.</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KGD</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Known-good die — a die tested to full specification before assembly.</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KV cache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stored key and value tensors for previously processed tokens.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LBIST / MBIST</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Logic / memory built-in self-test.</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LPDDR6</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Low-power DDR6 SDRAM; the Tier-2 capacity memory.</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Memory Hub Chiplet. Two per package, N6, 380 mm². Section 7.</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MoE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Mixture of experts.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Murphy model</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 yield model for large dies: Y = Y₀·[(1−e^(−AD₀))/(AD₀)]².</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MXFP4 / 6 / 8</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OCP microscaling floating-point formats with 4-, 6-, and 8-bit elements and a shared E8M0 block scale over 32 elements.</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N2P / N6</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TSMC process nodes: 2 nm-class performance-enhanced, and 6 nm-class.</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NoC</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Network on chip.</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OAM</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Open Accelerator Module — the OCP mechanical and electrical standard for accelerator modules.</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PCE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Prefix Cache Engine. Section 8.5.</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PDK</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Process design kit.</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PUF</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Physically unclonable function; used for device identity.</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RM-A / RM-B / RM-C</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three reference models of Table 4-1.</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RoPE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Rotary position embedding.</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RTS</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Resident Tensor Store — the on-package SRAM, Tier 0. Section 7.3.</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SDC</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Silent data corruption.</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SECDED</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Single-error-correcting, double-error-detecting code.</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Sentinel</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The security complex and root of trust on each MHC. Section 12.2.</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SoIC</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TSMC System on Integrated Chips — face-to-face hybrid bonding.</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SPR</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Session Park and Restore. Section 8.4.</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TMMA</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Tiled matrix multiply-accumulate; the principal compute instruction.</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TRU</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Token Routing Unit — hardware MoE dispatch permutation. Section 7.6.</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UALink</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An open scale-up interconnect standard for accelerators.</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UCIe</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Universal Chiplet Interconnect Express; used here in its 3D profile for the SoIC bond.</w:t>
            </w:r>
          </w:p>
        </w:tc>
      </w:tr>
      <w:tr>
        <w:trPr>
          <w:cantSplit/>
          <w:tblHeader w:val="false"/>
        </w:trPr>
        <w:tc>
          <w:tcPr>
            <w:tcW w:type="dxa" w:w="1685"/>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ρ (rho)</w:t>
            </w:r>
          </w:p>
        </w:tc>
        <w:tc>
          <w:tcPr>
            <w:tcW w:type="dxa" w:w="7675"/>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Parking ratio: the fraction of an agentic session's wall-clock time spent waiting on tools rather than generating.</w:t>
            </w:r>
          </w:p>
        </w:tc>
      </w:tr>
      <w:tr>
        <w:trPr>
          <w:cantSplit/>
          <w:tblHeader w:val="false"/>
        </w:trPr>
        <w:tc>
          <w:tcPr>
            <w:tcW w:type="dxa" w:w="1685"/>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η (eta)</w:t>
            </w:r>
          </w:p>
        </w:tc>
        <w:tc>
          <w:tcPr>
            <w:tcW w:type="dxa" w:w="7675"/>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Realised efficiency factor in the roofline model of Section 20.1.</w:t>
            </w:r>
          </w:p>
        </w:tc>
      </w:tr>
    </w:tbl>
    <w:p>
      <w:r>
        <w:br w:type="page"/>
      </w:r>
    </w:p>
    <w:p>
      <w:pPr>
        <w:pStyle w:val="Heading1"/>
        <w:spacing w:after="160" w:before="400"/>
      </w:pPr>
      <w:r>
        <w:rPr>
          <w:rFonts w:ascii="Calibri" w:cs="Calibri" w:eastAsia="Calibri" w:hAnsi="Calibri"/>
          <w:b/>
          <w:bCs/>
          <w:color w:val="1F4E5F"/>
          <w:sz w:val="32"/>
          <w:szCs w:val="32"/>
        </w:rPr>
        <w:t xml:space="preserve">Appendix B.  Consolidated Parameter Summary</w:t>
      </w:r>
    </w:p>
    <w:p>
      <w:pPr>
        <w:spacing w:after="140" w:line="276"/>
        <w:jc w:val="left"/>
      </w:pPr>
      <w:r>
        <w:rPr>
          <w:rFonts w:ascii="Calibri" w:cs="Calibri" w:eastAsia="Calibri" w:hAnsi="Calibri"/>
          <w:b w:val="false"/>
          <w:bCs w:val="false"/>
          <w:i w:val="false"/>
          <w:iCs w:val="false"/>
          <w:color w:val="000000"/>
          <w:sz w:val="21"/>
          <w:szCs w:val="21"/>
        </w:rPr>
        <w:t xml:space="preserve">This is the authoritative parameter list. Where it differs from a figure earlier in the document, this table is correct — see the note at Section 7.3 for the one instance.</w:t>
      </w:r>
    </w:p>
    <w:p>
      <w:pPr>
        <w:pStyle w:val="Heading2"/>
        <w:spacing w:after="120" w:before="300"/>
      </w:pPr>
      <w:r>
        <w:rPr>
          <w:rFonts w:ascii="Calibri" w:cs="Calibri" w:eastAsia="Calibri" w:hAnsi="Calibri"/>
          <w:b/>
          <w:bCs/>
          <w:color w:val="1F4E5F"/>
          <w:sz w:val="26"/>
          <w:szCs w:val="26"/>
        </w:rPr>
        <w:t xml:space="preserve">B.1  Package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6552"/>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655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Active dies</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 CTC (N2P, 210 mm²), 2 × MHC (N6, 380 mm²)</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Memory dies</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 HBM4 48 GB, 16-high</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Structural dies</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 reclaimed silicon</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logic transistors</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 332 × 10⁹</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Interposer</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CoWoS-L, ≈ 2,600 mm², local silicon bridges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Substrate</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20-layer organic, 92 × 92 mm</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BGA</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4,096 balls, 1.0 mm pitch</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Package TDP</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850 W nominal / 950 W configurable / 1,010 W peak transient</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Junction temperature target</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85 °C max; 79 °C modelled at 45 °C coolant</w:t>
            </w:r>
          </w:p>
        </w:tc>
      </w:tr>
    </w:tbl>
    <w:p>
      <w:pPr>
        <w:pStyle w:val="Heading2"/>
        <w:spacing w:after="120" w:before="300"/>
      </w:pPr>
      <w:r>
        <w:rPr>
          <w:rFonts w:ascii="Calibri" w:cs="Calibri" w:eastAsia="Calibri" w:hAnsi="Calibri"/>
          <w:b/>
          <w:bCs/>
          <w:color w:val="1F4E5F"/>
          <w:sz w:val="26"/>
          <w:szCs w:val="26"/>
        </w:rPr>
        <w:t xml:space="preserve">B.2  Compute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6552"/>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655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Tensor Tiles</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 (8 per CTC)</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MACs per tile</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65,536 (256 × 256)</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MACs per package</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2,097,152</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Core clock</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1.50 GHz at 0.62 V</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MXFP4 dense / sparse</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12.58 / 25.17 PFLOPS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MXFP8 and MXFP6 dense</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PFLOPS</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BF16 dense</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3.15 PFLOPS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INT8 dense</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6.29 POPS</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FP32 (vector complex only)</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 TFLOPS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Attention Engines</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 (one per CTC)</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Vector SIMD lanes</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16,384 (4 × 1,024 per CTC)</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Accumulator format</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FP27 (1-8-18), round-to-nearest-even</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Issue</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6-slot VLIW, 256-bit word, no dynamic hazard detection</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Tile groups</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 (2 per CTC), independently schedulable and isolated</w:t>
            </w:r>
          </w:p>
        </w:tc>
      </w:tr>
    </w:tbl>
    <w:p>
      <w:pPr>
        <w:pStyle w:val="Heading2"/>
        <w:spacing w:after="120" w:before="300"/>
      </w:pPr>
      <w:r>
        <w:rPr>
          <w:rFonts w:ascii="Calibri" w:cs="Calibri" w:eastAsia="Calibri" w:hAnsi="Calibri"/>
          <w:b/>
          <w:bCs/>
          <w:color w:val="1F4E5F"/>
          <w:sz w:val="26"/>
          <w:szCs w:val="26"/>
        </w:rPr>
        <w:t xml:space="preserve">B.3  Memory</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6552"/>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655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0 — RTS SRAM</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MB, 64 banks × 8 MB</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0 bandwidth</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TB/s sustained, 82 TB/s peak (corrected; see §7.3)</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1 — HBM4</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192 GB, 4 stacks × 48 GB, 9.6 GT/s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1 bandwidth</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9.83 TB/s</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2 — LPDDR6</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512 GB (256 GB / 1 TB build options), 1,024-bit, 14.4 GT/s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Tier 2 bandwidth</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1.84 TB/s</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Total attached</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704 GB</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page size</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MB</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Page table</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4-level radix, 512-entry TLB per Attention Engine</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Weight codec</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MXFP4 zero elision plus static Huffman; 18% average compression</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KV formats</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MXFP8; INT4 with 8 outlier channels per head at MXFP8</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Memory encryption</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AES-256-XTS inline on both tiers, 256-byte tweak granule</w:t>
            </w:r>
          </w:p>
        </w:tc>
      </w:tr>
    </w:tbl>
    <w:p>
      <w:pPr>
        <w:pStyle w:val="Heading2"/>
        <w:spacing w:after="120" w:before="300"/>
      </w:pPr>
      <w:r>
        <w:rPr>
          <w:rFonts w:ascii="Calibri" w:cs="Calibri" w:eastAsia="Calibri" w:hAnsi="Calibri"/>
          <w:b/>
          <w:bCs/>
          <w:color w:val="1F4E5F"/>
          <w:sz w:val="26"/>
          <w:szCs w:val="26"/>
        </w:rPr>
        <w:t xml:space="preserve">B.4  Interfaces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2808"/>
        <w:gridCol w:w="6552"/>
      </w:tblGrid>
      <w:tr>
        <w:trPr>
          <w:cantSplit/>
          <w:tblHeader/>
        </w:trPr>
        <w:tc>
          <w:tcPr>
            <w:tcW w:type="dxa" w:w="280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Parameter</w:t>
            </w:r>
          </w:p>
        </w:tc>
        <w:tc>
          <w:tcPr>
            <w:tcW w:type="dxa" w:w="655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Value</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CTC ↔ MHC</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SoIC hybrid bond, 9 µm pitch, 6.0 TB/s per CTC, 0.06 pJ/bit, 6 ns</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 ↔ MHC</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UCIe-A over CoWoS-L bridge, 1.28 TB/s</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Scale-up (Cobalt Link)</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128 lanes at 224 Gb/s PAM4; 3.58 TB/s bidirectional; UALink-compatible</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Scale-up domain</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64 packages, two-tier switch</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Scale-out</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800 GbE, RoCEv2</w:t>
            </w:r>
          </w:p>
        </w:tc>
      </w:tr>
      <w:tr>
        <w:trPr>
          <w:cantSplit/>
          <w:tblHeader w:val="false"/>
        </w:trPr>
        <w:tc>
          <w:tcPr>
            <w:tcW w:type="dxa" w:w="280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Host</w:t>
            </w:r>
          </w:p>
        </w:tc>
        <w:tc>
          <w:tcPr>
            <w:tcW w:type="dxa" w:w="655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PCIe Gen6 ×16</w:t>
            </w:r>
          </w:p>
        </w:tc>
      </w:tr>
      <w:tr>
        <w:trPr>
          <w:cantSplit/>
          <w:tblHeader w:val="false"/>
        </w:trPr>
        <w:tc>
          <w:tcPr>
            <w:tcW w:type="dxa" w:w="280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On-package NoC</w:t>
            </w:r>
          </w:p>
        </w:tc>
        <w:tc>
          <w:tcPr>
            <w:tcW w:type="dxa" w:w="655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 × (6 × 5) mesh, 1,024-bit links, 1.25 GHz, 5.1 TB/s bisection each</w:t>
            </w:r>
          </w:p>
        </w:tc>
      </w:tr>
    </w:tbl>
    <w:p>
      <w:r>
        <w:br w:type="page"/>
      </w:r>
    </w:p>
    <w:p>
      <w:pPr>
        <w:pStyle w:val="Heading1"/>
        <w:spacing w:after="160" w:before="400"/>
      </w:pPr>
      <w:r>
        <w:rPr>
          <w:rFonts w:ascii="Calibri" w:cs="Calibri" w:eastAsia="Calibri" w:hAnsi="Calibri"/>
          <w:b/>
          <w:bCs/>
          <w:color w:val="1F4E5F"/>
          <w:sz w:val="32"/>
          <w:szCs w:val="32"/>
        </w:rPr>
        <w:t xml:space="preserve">Appendix C.  Roofline Model Derivations</w:t>
      </w:r>
    </w:p>
    <w:p>
      <w:pPr>
        <w:pStyle w:val="Heading2"/>
        <w:spacing w:after="120" w:before="300"/>
      </w:pPr>
      <w:r>
        <w:rPr>
          <w:rFonts w:ascii="Calibri" w:cs="Calibri" w:eastAsia="Calibri" w:hAnsi="Calibri"/>
          <w:b/>
          <w:bCs/>
          <w:color w:val="1F4E5F"/>
          <w:sz w:val="26"/>
          <w:szCs w:val="26"/>
        </w:rPr>
        <w:t xml:space="preserve">C.1  Key-value cache footprint</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kv_bytes_per_token  =  2 · L · H_kv · d_h · b · (1 + m)</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      key and value</w:t>
      </w:r>
    </w:p>
    <w:p>
      <w:pPr>
        <w:shd w:fill="EEF3F6" w:val="clear"/>
        <w:spacing w:after="0" w:line="216"/>
        <w:ind w:left="120" w:right="120"/>
      </w:pPr>
      <w:r>
        <w:rPr>
          <w:rFonts w:ascii="Consolas" w:cs="Consolas" w:eastAsia="Consolas" w:hAnsi="Consolas"/>
          <w:sz w:val="15"/>
          <w:szCs w:val="15"/>
        </w:rPr>
        <w:t xml:space="preserve">      L      layer count</w:t>
      </w:r>
    </w:p>
    <w:p>
      <w:pPr>
        <w:shd w:fill="EEF3F6" w:val="clear"/>
        <w:spacing w:after="0" w:line="216"/>
        <w:ind w:left="120" w:right="120"/>
      </w:pPr>
      <w:r>
        <w:rPr>
          <w:rFonts w:ascii="Consolas" w:cs="Consolas" w:eastAsia="Consolas" w:hAnsi="Consolas"/>
          <w:sz w:val="15"/>
          <w:szCs w:val="15"/>
        </w:rPr>
        <w:t xml:space="preserve">      H_kv   key-value head count (grouped-query attention)</w:t>
      </w:r>
    </w:p>
    <w:p>
      <w:pPr>
        <w:shd w:fill="EEF3F6" w:val="clear"/>
        <w:spacing w:after="0" w:line="216"/>
        <w:ind w:left="120" w:right="120"/>
      </w:pPr>
      <w:r>
        <w:rPr>
          <w:rFonts w:ascii="Consolas" w:cs="Consolas" w:eastAsia="Consolas" w:hAnsi="Consolas"/>
          <w:sz w:val="15"/>
          <w:szCs w:val="15"/>
        </w:rPr>
        <w:t xml:space="preserve">      d_h    head dimension</w:t>
      </w:r>
    </w:p>
    <w:p>
      <w:pPr>
        <w:shd w:fill="EEF3F6" w:val="clear"/>
        <w:spacing w:after="0" w:line="216"/>
        <w:ind w:left="120" w:right="120"/>
      </w:pPr>
      <w:r>
        <w:rPr>
          <w:rFonts w:ascii="Consolas" w:cs="Consolas" w:eastAsia="Consolas" w:hAnsi="Consolas"/>
          <w:sz w:val="15"/>
          <w:szCs w:val="15"/>
        </w:rPr>
        <w:t xml:space="preserve">      b      bytes per element</w:t>
      </w:r>
    </w:p>
    <w:p>
      <w:pPr>
        <w:shd w:fill="EEF3F6" w:val="clear"/>
        <w:spacing w:after="0" w:line="216"/>
        <w:ind w:left="120" w:right="120"/>
      </w:pPr>
      <w:r>
        <w:rPr>
          <w:rFonts w:ascii="Consolas" w:cs="Consolas" w:eastAsia="Consolas" w:hAnsi="Consolas"/>
          <w:sz w:val="15"/>
          <w:szCs w:val="15"/>
        </w:rPr>
        <w:t xml:space="preserve">      m      page metadata overhead, 0.015</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RM-A:  2 · 80 · 8 · 128 · 1 · 1.015  =  166,297 B  ≈  162 KiB</w:t>
      </w:r>
    </w:p>
    <w:p>
      <w:pPr>
        <w:shd w:fill="EEF3F6" w:val="clear"/>
        <w:spacing w:after="0" w:line="216"/>
        <w:ind w:left="120" w:right="120"/>
      </w:pPr>
      <w:r>
        <w:rPr>
          <w:rFonts w:ascii="Consolas" w:cs="Consolas" w:eastAsia="Consolas" w:hAnsi="Consolas"/>
          <w:sz w:val="15"/>
          <w:szCs w:val="15"/>
        </w:rPr>
        <w:t xml:space="preserve">   RM-B:  2 · 60 · 8 · 128 · 1 · 1.015  =  124,723 B  ≈  122 KiB</w:t>
      </w:r>
    </w:p>
    <w:p>
      <w:pPr>
        <w:shd w:fill="EEF3F6" w:val="clear"/>
        <w:spacing w:after="0" w:line="216"/>
        <w:ind w:left="120" w:right="120"/>
      </w:pPr>
      <w:r>
        <w:rPr>
          <w:rFonts w:ascii="Consolas" w:cs="Consolas" w:eastAsia="Consolas" w:hAnsi="Consolas"/>
          <w:sz w:val="15"/>
          <w:szCs w:val="15"/>
        </w:rPr>
        <w:t xml:space="preserve">   RM-C:  2 · 28 · 4 · 128 · 1 · 1.015  =   29,102 B  ≈   28 KiB</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Session footprint at context S:   S · kv_bytes_per_token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RM-A at   32,768 tokens  =   5.45 GB       (quoted as 5.24 GB in §20;</w:t>
      </w:r>
    </w:p>
    <w:p>
      <w:pPr>
        <w:shd w:fill="EEF3F6" w:val="clear"/>
        <w:spacing w:after="0" w:line="216"/>
        <w:ind w:left="120" w:right="120"/>
      </w:pPr>
      <w:r>
        <w:rPr>
          <w:rFonts w:ascii="Consolas" w:cs="Consolas" w:eastAsia="Consolas" w:hAnsi="Consolas"/>
          <w:sz w:val="15"/>
          <w:szCs w:val="15"/>
        </w:rPr>
        <w:t xml:space="preserve">   RM-A at  131,072 tokens  =  21.8  GB        the difference is the 1.015</w:t>
      </w:r>
    </w:p>
    <w:p>
      <w:pPr>
        <w:shd w:fill="EEF3F6" w:val="clear"/>
        <w:spacing w:after="0" w:line="216"/>
        <w:ind w:left="120" w:right="120"/>
      </w:pPr>
      <w:r>
        <w:rPr>
          <w:rFonts w:ascii="Consolas" w:cs="Consolas" w:eastAsia="Consolas" w:hAnsi="Consolas"/>
          <w:sz w:val="15"/>
          <w:szCs w:val="15"/>
        </w:rPr>
        <w:t xml:space="preserve">   RM-A at  200,000 tokens  =  33.3  GB        metadata factor, which §20</w:t>
      </w:r>
    </w:p>
    <w:p>
      <w:pPr>
        <w:shd w:fill="EEF3F6" w:val="clear"/>
        <w:spacing w:after="0" w:line="216"/>
        <w:ind w:left="120" w:right="120"/>
      </w:pPr>
      <w:r>
        <w:rPr>
          <w:rFonts w:ascii="Consolas" w:cs="Consolas" w:eastAsia="Consolas" w:hAnsi="Consolas"/>
          <w:sz w:val="15"/>
          <w:szCs w:val="15"/>
        </w:rPr>
        <w:t xml:space="preserve">   RM-A at 1,000,000 tokens = 166.3  GB        omitted. Use these figures.)</w:t>
      </w:r>
    </w:p>
    <w:p>
      <w:pPr>
        <w:shd w:fill="EEF3F6" w:val="clear"/>
        <w:spacing w:after="0" w:line="216"/>
        <w:ind w:left="120" w:right="120"/>
      </w:pPr>
      <w:r>
        <w:rPr>
          <w:rFonts w:ascii="Consolas" w:cs="Consolas" w:eastAsia="Consolas" w:hAnsi="Consolas"/>
          <w:sz w:val="15"/>
          <w:szCs w:val="15"/>
        </w:rPr>
        <w:t xml:space="preserve">   RM-B at   32,768 tokens  =   4.09 GB</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C.2  Decode step time, dense model</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bytes_step  =  W / c  +  B · S · kv_bytes_per_token</w:t>
      </w:r>
    </w:p>
    <w:p>
      <w:pPr>
        <w:shd w:fill="EEF3F6" w:val="clear"/>
        <w:spacing w:after="0" w:line="216"/>
        <w:ind w:left="120" w:right="120"/>
      </w:pPr>
      <w:r>
        <w:rPr>
          <w:rFonts w:ascii="Consolas" w:cs="Consolas" w:eastAsia="Consolas" w:hAnsi="Consolas"/>
          <w:sz w:val="15"/>
          <w:szCs w:val="15"/>
        </w:rPr>
        <w:t xml:space="preserve">   flops_step  =  2 · P_active · B                (plus attention FLOPs, small)</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          weight bytes at the chosen precision</w:t>
      </w:r>
    </w:p>
    <w:p>
      <w:pPr>
        <w:shd w:fill="EEF3F6" w:val="clear"/>
        <w:spacing w:after="0" w:line="216"/>
        <w:ind w:left="120" w:right="120"/>
      </w:pPr>
      <w:r>
        <w:rPr>
          <w:rFonts w:ascii="Consolas" w:cs="Consolas" w:eastAsia="Consolas" w:hAnsi="Consolas"/>
          <w:sz w:val="15"/>
          <w:szCs w:val="15"/>
        </w:rPr>
        <w:t xml:space="preserve">      c          codec compression factor (1.18 for SC-1, 1.00 for GPUs)</w:t>
      </w:r>
    </w:p>
    <w:p>
      <w:pPr>
        <w:shd w:fill="EEF3F6" w:val="clear"/>
        <w:spacing w:after="0" w:line="216"/>
        <w:ind w:left="120" w:right="120"/>
      </w:pPr>
      <w:r>
        <w:rPr>
          <w:rFonts w:ascii="Consolas" w:cs="Consolas" w:eastAsia="Consolas" w:hAnsi="Consolas"/>
          <w:sz w:val="15"/>
          <w:szCs w:val="15"/>
        </w:rPr>
        <w:t xml:space="preserve">      B          batch size</w:t>
      </w:r>
    </w:p>
    <w:p>
      <w:pPr>
        <w:shd w:fill="EEF3F6" w:val="clear"/>
        <w:spacing w:after="0" w:line="216"/>
        <w:ind w:left="120" w:right="120"/>
      </w:pPr>
      <w:r>
        <w:rPr>
          <w:rFonts w:ascii="Consolas" w:cs="Consolas" w:eastAsia="Consolas" w:hAnsi="Consolas"/>
          <w:sz w:val="15"/>
          <w:szCs w:val="15"/>
        </w:rPr>
        <w:t xml:space="preserve">      S          context length</w:t>
      </w:r>
    </w:p>
    <w:p>
      <w:pPr>
        <w:shd w:fill="EEF3F6" w:val="clear"/>
        <w:spacing w:after="0" w:line="216"/>
        <w:ind w:left="120" w:right="120"/>
      </w:pPr>
      <w:r>
        <w:rPr>
          <w:rFonts w:ascii="Consolas" w:cs="Consolas" w:eastAsia="Consolas" w:hAnsi="Consolas"/>
          <w:sz w:val="15"/>
          <w:szCs w:val="15"/>
        </w:rPr>
        <w:t xml:space="preserve">      P_active   active parameters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t_step = max( bytes_step / BW , flops_step / F ) / η</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WORKED: SC-1, RM-A, S = 32,768, B = 28</w:t>
      </w:r>
    </w:p>
    <w:p>
      <w:pPr>
        <w:shd w:fill="EEF3F6" w:val="clear"/>
        <w:spacing w:after="0" w:line="216"/>
        <w:ind w:left="120" w:right="120"/>
      </w:pPr>
      <w:r>
        <w:rPr>
          <w:rFonts w:ascii="Consolas" w:cs="Consolas" w:eastAsia="Consolas" w:hAnsi="Consolas"/>
          <w:sz w:val="15"/>
          <w:szCs w:val="15"/>
        </w:rPr>
        <w:t xml:space="preserve">     W/c        = 35 GB / 1.18                         =  29.66 GB</w:t>
      </w:r>
    </w:p>
    <w:p>
      <w:pPr>
        <w:shd w:fill="EEF3F6" w:val="clear"/>
        <w:spacing w:after="0" w:line="216"/>
        <w:ind w:left="120" w:right="120"/>
      </w:pPr>
      <w:r>
        <w:rPr>
          <w:rFonts w:ascii="Consolas" w:cs="Consolas" w:eastAsia="Consolas" w:hAnsi="Consolas"/>
          <w:sz w:val="15"/>
          <w:szCs w:val="15"/>
        </w:rPr>
        <w:t xml:space="preserve">     KV         = 28 · 32,768 · 166,297                = 152.6  GB</w:t>
      </w:r>
    </w:p>
    <w:p>
      <w:pPr>
        <w:shd w:fill="EEF3F6" w:val="clear"/>
        <w:spacing w:after="0" w:line="216"/>
        <w:ind w:left="120" w:right="120"/>
      </w:pPr>
      <w:r>
        <w:rPr>
          <w:rFonts w:ascii="Consolas" w:cs="Consolas" w:eastAsia="Consolas" w:hAnsi="Consolas"/>
          <w:sz w:val="15"/>
          <w:szCs w:val="15"/>
        </w:rPr>
        <w:t xml:space="preserve">     bytes_step                                        = 182.3  GB</w:t>
      </w:r>
    </w:p>
    <w:p>
      <w:pPr>
        <w:shd w:fill="EEF3F6" w:val="clear"/>
        <w:spacing w:after="0" w:line="216"/>
        <w:ind w:left="120" w:right="120"/>
      </w:pPr>
      <w:r>
        <w:rPr>
          <w:rFonts w:ascii="Consolas" w:cs="Consolas" w:eastAsia="Consolas" w:hAnsi="Consolas"/>
          <w:sz w:val="15"/>
          <w:szCs w:val="15"/>
        </w:rPr>
        <w:t xml:space="preserve">     BW         = 9.83 TB/s,  η = 0.82</w:t>
      </w:r>
    </w:p>
    <w:p>
      <w:pPr>
        <w:shd w:fill="EEF3F6" w:val="clear"/>
        <w:spacing w:after="0" w:line="216"/>
        <w:ind w:left="120" w:right="120"/>
      </w:pPr>
      <w:r>
        <w:rPr>
          <w:rFonts w:ascii="Consolas" w:cs="Consolas" w:eastAsia="Consolas" w:hAnsi="Consolas"/>
          <w:sz w:val="15"/>
          <w:szCs w:val="15"/>
        </w:rPr>
        <w:t xml:space="preserve">     t_bw       = 182.3e9 / (9.83e12 · 0.82)           =  22.6 ms</w:t>
      </w:r>
    </w:p>
    <w:p>
      <w:pPr>
        <w:shd w:fill="EEF3F6" w:val="clear"/>
        <w:spacing w:after="0" w:line="216"/>
        <w:ind w:left="120" w:right="120"/>
      </w:pPr>
      <w:r>
        <w:rPr>
          <w:rFonts w:ascii="Consolas" w:cs="Consolas" w:eastAsia="Consolas" w:hAnsi="Consolas"/>
          <w:sz w:val="15"/>
          <w:szCs w:val="15"/>
        </w:rPr>
        <w:t xml:space="preserve">     flops_step = 2 · 70e9 · 28                        =   3.92 TFLOP</w:t>
      </w:r>
    </w:p>
    <w:p>
      <w:pPr>
        <w:shd w:fill="EEF3F6" w:val="clear"/>
        <w:spacing w:after="0" w:line="216"/>
        <w:ind w:left="120" w:right="120"/>
      </w:pPr>
      <w:r>
        <w:rPr>
          <w:rFonts w:ascii="Consolas" w:cs="Consolas" w:eastAsia="Consolas" w:hAnsi="Consolas"/>
          <w:sz w:val="15"/>
          <w:szCs w:val="15"/>
        </w:rPr>
        <w:t xml:space="preserve">     t_flops    = 3.92e12 / (12.58e15 · 0.82)          =   0.38 ms   ← not binding</w:t>
      </w:r>
    </w:p>
    <w:p>
      <w:pPr>
        <w:shd w:fill="EEF3F6" w:val="clear"/>
        <w:spacing w:after="0" w:line="216"/>
        <w:ind w:left="120" w:right="120"/>
      </w:pPr>
      <w:r>
        <w:rPr>
          <w:rFonts w:ascii="Consolas" w:cs="Consolas" w:eastAsia="Consolas" w:hAnsi="Consolas"/>
          <w:sz w:val="15"/>
          <w:szCs w:val="15"/>
        </w:rPr>
        <w:t xml:space="preserve">     t_step     =  22.6 ms   →  44.2 steps/s  →  1,238 tok/s</w:t>
      </w:r>
    </w:p>
    <w:p>
      <w:pPr>
        <w:shd w:fill="EEF3F6" w:val="clear"/>
        <w:spacing w:after="0" w:line="216"/>
        <w:ind w:left="120" w:right="120"/>
      </w:pPr>
      <w:r>
        <w:rPr>
          <w:rFonts w:ascii="Consolas" w:cs="Consolas" w:eastAsia="Consolas" w:hAnsi="Consolas"/>
          <w:sz w:val="15"/>
          <w:szCs w:val="15"/>
        </w:rPr>
        <w:t xml:space="preserve">     per-sequence rate = 44.2 tok/s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WORKED: GB300, RM-A, S = 32,768, matched t_step = 22.6 ms</w:t>
      </w:r>
    </w:p>
    <w:p>
      <w:pPr>
        <w:shd w:fill="EEF3F6" w:val="clear"/>
        <w:spacing w:after="0" w:line="216"/>
        <w:ind w:left="120" w:right="120"/>
      </w:pPr>
      <w:r>
        <w:rPr>
          <w:rFonts w:ascii="Consolas" w:cs="Consolas" w:eastAsia="Consolas" w:hAnsi="Consolas"/>
          <w:sz w:val="15"/>
          <w:szCs w:val="15"/>
        </w:rPr>
        <w:t xml:space="preserve">     byte budget = 8.0e12 · 0.78 · 0.0226              = 141.0  GB</w:t>
      </w:r>
    </w:p>
    <w:p>
      <w:pPr>
        <w:shd w:fill="EEF3F6" w:val="clear"/>
        <w:spacing w:after="0" w:line="216"/>
        <w:ind w:left="120" w:right="120"/>
      </w:pPr>
      <w:r>
        <w:rPr>
          <w:rFonts w:ascii="Consolas" w:cs="Consolas" w:eastAsia="Consolas" w:hAnsi="Consolas"/>
          <w:sz w:val="15"/>
          <w:szCs w:val="15"/>
        </w:rPr>
        <w:t xml:space="preserve">     less weights (no codec)                           = −35.0  GB</w:t>
      </w:r>
    </w:p>
    <w:p>
      <w:pPr>
        <w:shd w:fill="EEF3F6" w:val="clear"/>
        <w:spacing w:after="0" w:line="216"/>
        <w:ind w:left="120" w:right="120"/>
      </w:pPr>
      <w:r>
        <w:rPr>
          <w:rFonts w:ascii="Consolas" w:cs="Consolas" w:eastAsia="Consolas" w:hAnsi="Consolas"/>
          <w:sz w:val="15"/>
          <w:szCs w:val="15"/>
        </w:rPr>
        <w:t xml:space="preserve">     KV budget                                         = 106.0  GB</w:t>
      </w:r>
    </w:p>
    <w:p>
      <w:pPr>
        <w:shd w:fill="EEF3F6" w:val="clear"/>
        <w:spacing w:after="0" w:line="216"/>
        <w:ind w:left="120" w:right="120"/>
      </w:pPr>
      <w:r>
        <w:rPr>
          <w:rFonts w:ascii="Consolas" w:cs="Consolas" w:eastAsia="Consolas" w:hAnsi="Consolas"/>
          <w:sz w:val="15"/>
          <w:szCs w:val="15"/>
        </w:rPr>
        <w:t xml:space="preserve">     B = 106.0e9 / (32,768 · 166,297)                  =  19.4  → 19</w:t>
      </w:r>
    </w:p>
    <w:p>
      <w:pPr>
        <w:shd w:fill="EEF3F6" w:val="clear"/>
        <w:spacing w:after="0" w:line="216"/>
        <w:ind w:left="120" w:right="120"/>
      </w:pPr>
      <w:r>
        <w:rPr>
          <w:rFonts w:ascii="Consolas" w:cs="Consolas" w:eastAsia="Consolas" w:hAnsi="Consolas"/>
          <w:sz w:val="15"/>
          <w:szCs w:val="15"/>
        </w:rPr>
        <w:t xml:space="preserve">     throughput = 44.2 · 19                            =   840 tok/s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Ratio at matched latency: 1,238 / 840 = 1.47× throughput</w:t>
      </w:r>
    </w:p>
    <w:p>
      <w:pPr>
        <w:shd w:fill="EEF3F6" w:val="clear"/>
        <w:spacing w:after="0" w:line="216"/>
        <w:ind w:left="120" w:right="120"/>
      </w:pPr>
      <w:r>
        <w:rPr>
          <w:rFonts w:ascii="Consolas" w:cs="Consolas" w:eastAsia="Consolas" w:hAnsi="Consolas"/>
          <w:sz w:val="15"/>
          <w:szCs w:val="15"/>
        </w:rPr>
        <w:t xml:space="preserve">                             1.47 × (1400/850) = 2.43× per watt</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NOTE: these figures differ from Table 20-1, which used a 5.24 GB session</w:t>
      </w:r>
    </w:p>
    <w:p>
      <w:pPr>
        <w:shd w:fill="EEF3F6" w:val="clear"/>
        <w:spacing w:after="0" w:line="216"/>
        <w:ind w:left="120" w:right="120"/>
      </w:pPr>
      <w:r>
        <w:rPr>
          <w:rFonts w:ascii="Consolas" w:cs="Consolas" w:eastAsia="Consolas" w:hAnsi="Consolas"/>
          <w:sz w:val="15"/>
          <w:szCs w:val="15"/>
        </w:rPr>
        <w:t xml:space="preserve">   footprint (omitting the metadata factor) and a 17.8 ms step. The corrected</w:t>
      </w:r>
    </w:p>
    <w:p>
      <w:pPr>
        <w:shd w:fill="EEF3F6" w:val="clear"/>
        <w:spacing w:after="0" w:line="216"/>
        <w:ind w:left="120" w:right="120"/>
      </w:pPr>
      <w:r>
        <w:rPr>
          <w:rFonts w:ascii="Consolas" w:cs="Consolas" w:eastAsia="Consolas" w:hAnsi="Consolas"/>
          <w:sz w:val="15"/>
          <w:szCs w:val="15"/>
        </w:rPr>
        <w:t xml:space="preserve">   figures here are the ones to use: 1,238 vs 840 tok/s, 2.43× per watt.</w:t>
      </w:r>
    </w:p>
    <w:p>
      <w:pPr>
        <w:shd w:fill="EEF3F6" w:val="clear"/>
        <w:spacing w:after="0" w:line="216"/>
        <w:ind w:left="120" w:right="120"/>
      </w:pPr>
      <w:r>
        <w:rPr>
          <w:rFonts w:ascii="Consolas" w:cs="Consolas" w:eastAsia="Consolas" w:hAnsi="Consolas"/>
          <w:sz w:val="15"/>
          <w:szCs w:val="15"/>
        </w:rPr>
        <w:t xml:space="preserve">   The direction and approximate magnitude of the advantage are unchanged.</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C.3  Mixture-of-experts weight traffic</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 batch of B tokens, each routed to k of E experts, touches in expectation:</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E_touched  =  E · [ 1 − (1 − k/E)^B ]</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E = 64, k = 2:</w:t>
      </w:r>
    </w:p>
    <w:p>
      <w:pPr>
        <w:shd w:fill="EEF3F6" w:val="clear"/>
        <w:spacing w:after="0" w:line="216"/>
        <w:ind w:left="120" w:right="120"/>
      </w:pPr>
      <w:r>
        <w:rPr>
          <w:rFonts w:ascii="Consolas" w:cs="Consolas" w:eastAsia="Consolas" w:hAnsi="Consolas"/>
          <w:sz w:val="15"/>
          <w:szCs w:val="15"/>
        </w:rPr>
        <w:t xml:space="preserve">       B =   1  →  E_touched =  2.0    ( 3.1% of the model)</w:t>
      </w:r>
    </w:p>
    <w:p>
      <w:pPr>
        <w:shd w:fill="EEF3F6" w:val="clear"/>
        <w:spacing w:after="0" w:line="216"/>
        <w:ind w:left="120" w:right="120"/>
      </w:pPr>
      <w:r>
        <w:rPr>
          <w:rFonts w:ascii="Consolas" w:cs="Consolas" w:eastAsia="Consolas" w:hAnsi="Consolas"/>
          <w:sz w:val="15"/>
          <w:szCs w:val="15"/>
        </w:rPr>
        <w:t xml:space="preserve">       B =   8  →  E_touched = 14.9    (23.3%)</w:t>
      </w:r>
    </w:p>
    <w:p>
      <w:pPr>
        <w:shd w:fill="EEF3F6" w:val="clear"/>
        <w:spacing w:after="0" w:line="216"/>
        <w:ind w:left="120" w:right="120"/>
      </w:pPr>
      <w:r>
        <w:rPr>
          <w:rFonts w:ascii="Consolas" w:cs="Consolas" w:eastAsia="Consolas" w:hAnsi="Consolas"/>
          <w:sz w:val="15"/>
          <w:szCs w:val="15"/>
        </w:rPr>
        <w:t xml:space="preserve">       B =  16  →  E_touched = 26.4    (41.3%)</w:t>
      </w:r>
    </w:p>
    <w:p>
      <w:pPr>
        <w:shd w:fill="EEF3F6" w:val="clear"/>
        <w:spacing w:after="0" w:line="216"/>
        <w:ind w:left="120" w:right="120"/>
      </w:pPr>
      <w:r>
        <w:rPr>
          <w:rFonts w:ascii="Consolas" w:cs="Consolas" w:eastAsia="Consolas" w:hAnsi="Consolas"/>
          <w:sz w:val="15"/>
          <w:szCs w:val="15"/>
        </w:rPr>
        <w:t xml:space="preserve">       B =  40  →  E_touched = 46.1    (72.0%)</w:t>
      </w:r>
    </w:p>
    <w:p>
      <w:pPr>
        <w:shd w:fill="EEF3F6" w:val="clear"/>
        <w:spacing w:after="0" w:line="216"/>
        <w:ind w:left="120" w:right="120"/>
      </w:pPr>
      <w:r>
        <w:rPr>
          <w:rFonts w:ascii="Consolas" w:cs="Consolas" w:eastAsia="Consolas" w:hAnsi="Consolas"/>
          <w:sz w:val="15"/>
          <w:szCs w:val="15"/>
        </w:rPr>
        <w:t xml:space="preserve">       B =  64  →  E_touched = 55.1    (86.1%)</w:t>
      </w:r>
    </w:p>
    <w:p>
      <w:pPr>
        <w:shd w:fill="EEF3F6" w:val="clear"/>
        <w:spacing w:after="0" w:line="216"/>
        <w:ind w:left="120" w:right="120"/>
      </w:pPr>
      <w:r>
        <w:rPr>
          <w:rFonts w:ascii="Consolas" w:cs="Consolas" w:eastAsia="Consolas" w:hAnsi="Consolas"/>
          <w:sz w:val="15"/>
          <w:szCs w:val="15"/>
        </w:rPr>
        <w:t xml:space="preserve">       B = 128  →  E_touched = 62.4    (97.5%)</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The "active parameter" figure quoted for MoE models is a batch-1 property.</w:t>
      </w:r>
    </w:p>
    <w:p>
      <w:pPr>
        <w:shd w:fill="EEF3F6" w:val="clear"/>
        <w:spacing w:after="0" w:line="216"/>
        <w:ind w:left="120" w:right="120"/>
      </w:pPr>
      <w:r>
        <w:rPr>
          <w:rFonts w:ascii="Consolas" w:cs="Consolas" w:eastAsia="Consolas" w:hAnsi="Consolas"/>
          <w:sz w:val="15"/>
          <w:szCs w:val="15"/>
        </w:rPr>
        <w:t xml:space="preserve">   By batch 64 the machine is reading 86% of the model on every step. Any</w:t>
      </w:r>
    </w:p>
    <w:p>
      <w:pPr>
        <w:shd w:fill="EEF3F6" w:val="clear"/>
        <w:spacing w:after="0" w:line="216"/>
        <w:ind w:left="120" w:right="120"/>
      </w:pPr>
      <w:r>
        <w:rPr>
          <w:rFonts w:ascii="Consolas" w:cs="Consolas" w:eastAsia="Consolas" w:hAnsi="Consolas"/>
          <w:sz w:val="15"/>
          <w:szCs w:val="15"/>
        </w:rPr>
        <w:t xml:space="preserve">   capacity or bandwidth analysis that uses the active-parameter count at</w:t>
      </w:r>
    </w:p>
    <w:p>
      <w:pPr>
        <w:shd w:fill="EEF3F6" w:val="clear"/>
        <w:spacing w:after="0" w:line="216"/>
        <w:ind w:left="120" w:right="120"/>
      </w:pPr>
      <w:r>
        <w:rPr>
          <w:rFonts w:ascii="Consolas" w:cs="Consolas" w:eastAsia="Consolas" w:hAnsi="Consolas"/>
          <w:sz w:val="15"/>
          <w:szCs w:val="15"/>
        </w:rPr>
        <w:t xml:space="preserve">   realistic batch sizes is wrong by roughly a factor of thirty.</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This is the arithmetic behind open question Q-08.</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C.4  Session park economics</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Re-prefill cost of a session of S tokens on a model with P_active parameters:</w:t>
      </w:r>
    </w:p>
    <w:p>
      <w:pPr>
        <w:shd w:fill="EEF3F6" w:val="clear"/>
        <w:spacing w:after="0" w:line="216"/>
        <w:ind w:left="120" w:right="120"/>
      </w:pPr>
      <w:r>
        <w:rPr>
          <w:rFonts w:ascii="Consolas" w:cs="Consolas" w:eastAsia="Consolas" w:hAnsi="Consolas"/>
          <w:sz w:val="15"/>
          <w:szCs w:val="15"/>
        </w:rPr>
        <w:t xml:space="preserve">       flops = 2 · P_active · S</w:t>
      </w:r>
    </w:p>
    <w:p>
      <w:pPr>
        <w:shd w:fill="EEF3F6" w:val="clear"/>
        <w:spacing w:after="0" w:line="216"/>
        <w:ind w:left="120" w:right="120"/>
      </w:pPr>
      <w:r>
        <w:rPr>
          <w:rFonts w:ascii="Consolas" w:cs="Consolas" w:eastAsia="Consolas" w:hAnsi="Consolas"/>
          <w:sz w:val="15"/>
          <w:szCs w:val="15"/>
        </w:rPr>
        <w:t xml:space="preserve">       RM-A, S = 32,768:  2 · 70e9 · 32,768 = 4.59 PFLOP</w:t>
      </w:r>
    </w:p>
    <w:p>
      <w:pPr>
        <w:shd w:fill="EEF3F6" w:val="clear"/>
        <w:spacing w:after="0" w:line="216"/>
        <w:ind w:left="120" w:right="120"/>
      </w:pPr>
      <w:r>
        <w:rPr>
          <w:rFonts w:ascii="Consolas" w:cs="Consolas" w:eastAsia="Consolas" w:hAnsi="Consolas"/>
          <w:sz w:val="15"/>
          <w:szCs w:val="15"/>
        </w:rPr>
        <w:t xml:space="preserve">       t = 4.59e15 / (12.58e15 · 0.82) = 445 ms of the whole package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Park-and-restore cost of the same session:</w:t>
      </w:r>
    </w:p>
    <w:p>
      <w:pPr>
        <w:shd w:fill="EEF3F6" w:val="clear"/>
        <w:spacing w:after="0" w:line="216"/>
        <w:ind w:left="120" w:right="120"/>
      </w:pPr>
      <w:r>
        <w:rPr>
          <w:rFonts w:ascii="Consolas" w:cs="Consolas" w:eastAsia="Consolas" w:hAnsi="Consolas"/>
          <w:sz w:val="15"/>
          <w:szCs w:val="15"/>
        </w:rPr>
        <w:t xml:space="preserve">       bytes = 2 · S · kv_bytes_per_token   (out and back)</w:t>
      </w:r>
    </w:p>
    <w:p>
      <w:pPr>
        <w:shd w:fill="EEF3F6" w:val="clear"/>
        <w:spacing w:after="0" w:line="216"/>
        <w:ind w:left="120" w:right="120"/>
      </w:pPr>
      <w:r>
        <w:rPr>
          <w:rFonts w:ascii="Consolas" w:cs="Consolas" w:eastAsia="Consolas" w:hAnsi="Consolas"/>
          <w:sz w:val="15"/>
          <w:szCs w:val="15"/>
        </w:rPr>
        <w:t xml:space="preserve">             = 2 · 32,768 · 166,297 = 10.90 GB</w:t>
      </w:r>
    </w:p>
    <w:p>
      <w:pPr>
        <w:shd w:fill="EEF3F6" w:val="clear"/>
        <w:spacing w:after="0" w:line="216"/>
        <w:ind w:left="120" w:right="120"/>
      </w:pPr>
      <w:r>
        <w:rPr>
          <w:rFonts w:ascii="Consolas" w:cs="Consolas" w:eastAsia="Consolas" w:hAnsi="Consolas"/>
          <w:sz w:val="15"/>
          <w:szCs w:val="15"/>
        </w:rPr>
        <w:t xml:space="preserve">       t = 10.90e9 / 1.84e12 = 5.92 ms of Tier-2 bandwidth</w:t>
      </w:r>
    </w:p>
    <w:p>
      <w:pPr>
        <w:shd w:fill="EEF3F6" w:val="clear"/>
        <w:spacing w:after="0" w:line="216"/>
        <w:ind w:left="120" w:right="120"/>
      </w:pPr>
      <w:r>
        <w:rPr>
          <w:rFonts w:ascii="Consolas" w:cs="Consolas" w:eastAsia="Consolas" w:hAnsi="Consolas"/>
          <w:sz w:val="15"/>
          <w:szCs w:val="15"/>
        </w:rPr>
        <w:t xml:space="preserve">       (and 0 ms of user-visible latency, since it overlaps the tool call)</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Ratio: 445 / 5.92 = 75×</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With the park-time re-quantisation of §9.4 (MXFP8 out, INT4+bypass in),</w:t>
      </w:r>
    </w:p>
    <w:p>
      <w:pPr>
        <w:shd w:fill="EEF3F6" w:val="clear"/>
        <w:spacing w:after="0" w:line="216"/>
        <w:ind w:left="120" w:right="120"/>
      </w:pPr>
      <w:r>
        <w:rPr>
          <w:rFonts w:ascii="Consolas" w:cs="Consolas" w:eastAsia="Consolas" w:hAnsi="Consolas"/>
          <w:sz w:val="15"/>
          <w:szCs w:val="15"/>
        </w:rPr>
        <w:t xml:space="preserve">   the return leg is 47% smaller and the ratio rises to 98×.</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§1.2.2 quoted 97× for RM-B; the RM-A figure is 75–98× depending on</w:t>
      </w:r>
    </w:p>
    <w:p>
      <w:pPr>
        <w:shd w:fill="EEF3F6" w:val="clear"/>
        <w:spacing w:after="0" w:line="216"/>
        <w:ind w:left="120" w:right="120"/>
      </w:pPr>
      <w:r>
        <w:rPr>
          <w:rFonts w:ascii="Consolas" w:cs="Consolas" w:eastAsia="Consolas" w:hAnsi="Consolas"/>
          <w:sz w:val="15"/>
          <w:szCs w:val="15"/>
        </w:rPr>
        <w:t xml:space="preserve">   whether re-quantisation is applied. Both are the right order of magnitude</w:t>
      </w:r>
    </w:p>
    <w:p>
      <w:pPr>
        <w:shd w:fill="EEF3F6" w:val="clear"/>
        <w:spacing w:after="0" w:line="216"/>
        <w:ind w:left="120" w:right="120"/>
      </w:pPr>
      <w:r>
        <w:rPr>
          <w:rFonts w:ascii="Consolas" w:cs="Consolas" w:eastAsia="Consolas" w:hAnsi="Consolas"/>
          <w:sz w:val="15"/>
          <w:szCs w:val="15"/>
        </w:rPr>
        <w:t xml:space="preserve">   and the conclusion does not depend on which is used.</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r>
        <w:br w:type="page"/>
      </w:r>
    </w:p>
    <w:p>
      <w:pPr>
        <w:pStyle w:val="Heading1"/>
        <w:spacing w:after="160" w:before="400"/>
      </w:pPr>
      <w:r>
        <w:rPr>
          <w:rFonts w:ascii="Calibri" w:cs="Calibri" w:eastAsia="Calibri" w:hAnsi="Calibri"/>
          <w:b/>
          <w:bCs/>
          <w:color w:val="1F4E5F"/>
          <w:sz w:val="32"/>
          <w:szCs w:val="32"/>
        </w:rPr>
        <w:t xml:space="preserve">Appendix D.  Die-per-Wafer and Yield Calculations</w:t>
      </w:r>
    </w:p>
    <w:p>
      <w:pPr>
        <w:pStyle w:val="Heading2"/>
        <w:spacing w:after="120" w:before="300"/>
      </w:pPr>
      <w:r>
        <w:rPr>
          <w:rFonts w:ascii="Calibri" w:cs="Calibri" w:eastAsia="Calibri" w:hAnsi="Calibri"/>
          <w:b/>
          <w:bCs/>
          <w:color w:val="1F4E5F"/>
          <w:sz w:val="26"/>
          <w:szCs w:val="26"/>
        </w:rPr>
        <w:t xml:space="preserve">D.1  Gross dies per wafer</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The standard approximation, with edge exclusion e = 3 mm on a 300 mm wafer</w:t>
      </w:r>
    </w:p>
    <w:p>
      <w:pPr>
        <w:shd w:fill="EEF3F6" w:val="clear"/>
        <w:spacing w:after="0" w:line="216"/>
        <w:ind w:left="120" w:right="120"/>
      </w:pPr>
      <w:r>
        <w:rPr>
          <w:rFonts w:ascii="Consolas" w:cs="Consolas" w:eastAsia="Consolas" w:hAnsi="Consolas"/>
          <w:sz w:val="15"/>
          <w:szCs w:val="15"/>
        </w:rPr>
        <w:t xml:space="preserve">   (effective diameter d = 294 mm), for a die of area 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DPW  =  π·(d/2)² / S  −  π·d / √(2S)</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The second term accounts for the partial dies lost around the circumference.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π·(147)²  =  67,858 mm²   (usable wafer area)</w:t>
      </w:r>
    </w:p>
    <w:p>
      <w:pPr>
        <w:shd w:fill="EEF3F6" w:val="clear"/>
        <w:spacing w:after="0" w:line="216"/>
        <w:ind w:left="120" w:right="120"/>
      </w:pPr>
      <w:r>
        <w:rPr>
          <w:rFonts w:ascii="Consolas" w:cs="Consolas" w:eastAsia="Consolas" w:hAnsi="Consolas"/>
          <w:sz w:val="15"/>
          <w:szCs w:val="15"/>
        </w:rPr>
        <w:t xml:space="preserve">       π·294     =    923.6 mm</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3183"/>
        <w:gridCol w:w="1217"/>
        <w:gridCol w:w="1591"/>
        <w:gridCol w:w="1591"/>
        <w:gridCol w:w="1778"/>
      </w:tblGrid>
      <w:tr>
        <w:trPr>
          <w:cantSplit/>
          <w:tblHeader/>
        </w:trPr>
        <w:tc>
          <w:tcPr>
            <w:tcW w:type="dxa" w:w="318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Die</w:t>
            </w:r>
          </w:p>
        </w:tc>
        <w:tc>
          <w:tcPr>
            <w:tcW w:type="dxa" w:w="121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S (mm²)</w:t>
            </w:r>
          </w:p>
        </w:tc>
        <w:tc>
          <w:tcPr>
            <w:tcW w:type="dxa" w:w="159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Area term</w:t>
            </w:r>
          </w:p>
        </w:tc>
        <w:tc>
          <w:tcPr>
            <w:tcW w:type="dxa" w:w="159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Edge term</w:t>
            </w:r>
          </w:p>
        </w:tc>
        <w:tc>
          <w:tcPr>
            <w:tcW w:type="dxa" w:w="177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DPW</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CTC</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210</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323.1</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45.1</w:t>
            </w:r>
          </w:p>
        </w:tc>
        <w:tc>
          <w:tcPr>
            <w:tcW w:type="dxa" w:w="177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278</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w:t>
            </w:r>
          </w:p>
        </w:tc>
        <w:tc>
          <w:tcPr>
            <w:tcW w:type="dxa" w:w="121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380</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178.6</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33.5</w:t>
            </w:r>
          </w:p>
        </w:tc>
        <w:tc>
          <w:tcPr>
            <w:tcW w:type="dxa" w:w="177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145</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CTC fallback (2.5D)</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268</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253.2</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39.9</w:t>
            </w:r>
          </w:p>
        </w:tc>
        <w:tc>
          <w:tcPr>
            <w:tcW w:type="dxa" w:w="177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213</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 fallback (2.5D)</w:t>
            </w:r>
          </w:p>
        </w:tc>
        <w:tc>
          <w:tcPr>
            <w:tcW w:type="dxa" w:w="121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318</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213.4</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36.6</w:t>
            </w:r>
          </w:p>
        </w:tc>
        <w:tc>
          <w:tcPr>
            <w:tcW w:type="dxa" w:w="177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177</w:t>
            </w:r>
          </w:p>
        </w:tc>
      </w:tr>
      <w:tr>
        <w:trPr>
          <w:cantSplit/>
          <w:tblHeader w:val="false"/>
        </w:trPr>
        <w:tc>
          <w:tcPr>
            <w:tcW w:type="dxa" w:w="3183"/>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MHC if moved to N2P</w:t>
            </w:r>
          </w:p>
        </w:tc>
        <w:tc>
          <w:tcPr>
            <w:tcW w:type="dxa" w:w="1217"/>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304</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223.2</w:t>
            </w:r>
          </w:p>
        </w:tc>
        <w:tc>
          <w:tcPr>
            <w:tcW w:type="dxa" w:w="159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37.5</w:t>
            </w:r>
          </w:p>
        </w:tc>
        <w:tc>
          <w:tcPr>
            <w:tcW w:type="dxa" w:w="177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186</w:t>
            </w:r>
          </w:p>
        </w:tc>
      </w:tr>
      <w:tr>
        <w:trPr>
          <w:cantSplit/>
          <w:tblHeader w:val="false"/>
        </w:trPr>
        <w:tc>
          <w:tcPr>
            <w:tcW w:type="dxa" w:w="3183"/>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Monolithic compute equivalent</w:t>
            </w:r>
          </w:p>
        </w:tc>
        <w:tc>
          <w:tcPr>
            <w:tcW w:type="dxa" w:w="1217"/>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840</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80.8</w:t>
            </w:r>
          </w:p>
        </w:tc>
        <w:tc>
          <w:tcPr>
            <w:tcW w:type="dxa" w:w="159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22.5</w:t>
            </w:r>
          </w:p>
        </w:tc>
        <w:tc>
          <w:tcPr>
            <w:tcW w:type="dxa" w:w="177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58</w:t>
            </w:r>
          </w:p>
        </w:tc>
      </w:tr>
    </w:tbl>
    <w:p>
      <w:pPr>
        <w:pStyle w:val="Heading2"/>
        <w:spacing w:after="120" w:before="300"/>
      </w:pPr>
      <w:r>
        <w:rPr>
          <w:rFonts w:ascii="Calibri" w:cs="Calibri" w:eastAsia="Calibri" w:hAnsi="Calibri"/>
          <w:b/>
          <w:bCs/>
          <w:color w:val="1F4E5F"/>
          <w:sz w:val="26"/>
          <w:szCs w:val="26"/>
        </w:rPr>
        <w:t xml:space="preserve">D.2  Yield and cost per good die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499"/>
        <w:gridCol w:w="842"/>
        <w:gridCol w:w="842"/>
        <w:gridCol w:w="936"/>
        <w:gridCol w:w="749"/>
        <w:gridCol w:w="936"/>
        <w:gridCol w:w="1123"/>
        <w:gridCol w:w="1123"/>
        <w:gridCol w:w="1310"/>
      </w:tblGrid>
      <w:tr>
        <w:trPr>
          <w:cantSplit/>
          <w:tblHeader/>
        </w:trPr>
        <w:tc>
          <w:tcPr>
            <w:tcW w:type="dxa" w:w="149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Die</w:t>
            </w:r>
          </w:p>
        </w:tc>
        <w:tc>
          <w:tcPr>
            <w:tcW w:type="dxa" w:w="84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Node</w:t>
            </w:r>
          </w:p>
        </w:tc>
        <w:tc>
          <w:tcPr>
            <w:tcW w:type="dxa" w:w="84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A·D₀</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Murphy</w:t>
            </w:r>
          </w:p>
        </w:tc>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Y₀</w:t>
            </w:r>
          </w:p>
        </w:tc>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Net Y</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Good/wafer</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Wafer $</w:t>
            </w:r>
          </w:p>
        </w:tc>
        <w:tc>
          <w:tcPr>
            <w:tcW w:type="dxa" w:w="131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Cost/die</w:t>
            </w:r>
          </w:p>
        </w:tc>
      </w:tr>
      <w:tr>
        <w:trPr>
          <w:cantSplit/>
          <w:tblHeader w:val="false"/>
        </w:trPr>
        <w:tc>
          <w:tcPr>
            <w:tcW w:type="dxa" w:w="149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N2P</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0.210</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0.8129</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74.8%</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208</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$31,000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$149</w:t>
            </w:r>
          </w:p>
        </w:tc>
      </w:tr>
      <w:tr>
        <w:trPr>
          <w:cantSplit/>
          <w:tblHeader w:val="false"/>
        </w:trPr>
        <w:tc>
          <w:tcPr>
            <w:tcW w:type="dxa" w:w="149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N6</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0.228</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0.7994</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0.95</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75.9%</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110</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$9,800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$89</w:t>
            </w:r>
          </w:p>
        </w:tc>
      </w:tr>
      <w:tr>
        <w:trPr>
          <w:cantSplit/>
          <w:tblHeader w:val="false"/>
        </w:trPr>
        <w:tc>
          <w:tcPr>
            <w:tcW w:type="dxa" w:w="149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CTC fallback</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N2P</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0.268</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0.7702</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70.9%</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151</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$31,000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$205</w:t>
            </w:r>
          </w:p>
        </w:tc>
      </w:tr>
      <w:tr>
        <w:trPr>
          <w:cantSplit/>
          <w:tblHeader w:val="false"/>
        </w:trPr>
        <w:tc>
          <w:tcPr>
            <w:tcW w:type="dxa" w:w="149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 fallback</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N6</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0.191</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0.8288</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0.95</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78.7%</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139</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$9,800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$71</w:t>
            </w:r>
          </w:p>
        </w:tc>
      </w:tr>
      <w:tr>
        <w:trPr>
          <w:cantSplit/>
          <w:tblHeader w:val="false"/>
        </w:trPr>
        <w:tc>
          <w:tcPr>
            <w:tcW w:type="dxa" w:w="1499"/>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MHC on N2P</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N2P</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0.304</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0.7434</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68.4%</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127</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$31,000</w:t>
            </w:r>
          </w:p>
        </w:tc>
        <w:tc>
          <w:tcPr>
            <w:tcW w:type="dxa" w:w="1310"/>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$244</w:t>
            </w:r>
          </w:p>
        </w:tc>
      </w:tr>
      <w:tr>
        <w:trPr>
          <w:cantSplit/>
          <w:tblHeader w:val="false"/>
        </w:trPr>
        <w:tc>
          <w:tcPr>
            <w:tcW w:type="dxa" w:w="1499"/>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Monolith</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N2P</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0.840</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0.4573</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0.92</w:t>
            </w:r>
          </w:p>
        </w:tc>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42.1%</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24</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$31,000</w:t>
            </w:r>
          </w:p>
        </w:tc>
        <w:tc>
          <w:tcPr>
            <w:tcW w:type="dxa" w:w="1310"/>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$1,265</w:t>
            </w:r>
          </w:p>
        </w:tc>
      </w:tr>
    </w:tbl>
    <w:p>
      <w:pPr>
        <w:spacing w:after="220" w:before="60"/>
      </w:pPr>
      <w:r>
        <w:rPr>
          <w:i/>
          <w:iCs/>
          <w:color w:val="595959"/>
          <w:sz w:val="17"/>
          <w:szCs w:val="17"/>
        </w:rPr>
        <w:t xml:space="preserve">Table D-1. Die cost. D₀ = 0.10 cm⁻² for N2P, 0.06 cm⁻² for N6.</w:t>
      </w:r>
    </w:p>
    <w:p>
      <w:pPr>
        <w:pStyle w:val="Heading2"/>
        <w:spacing w:after="120" w:before="300"/>
      </w:pPr>
      <w:r>
        <w:rPr>
          <w:rFonts w:ascii="Calibri" w:cs="Calibri" w:eastAsia="Calibri" w:hAnsi="Calibri"/>
          <w:b/>
          <w:bCs/>
          <w:color w:val="1F4E5F"/>
          <w:sz w:val="26"/>
          <w:szCs w:val="26"/>
        </w:rPr>
        <w:t xml:space="preserve">D.3  Package silicon cost</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BASELINE (SoIC 3D partition)</w:t>
      </w:r>
    </w:p>
    <w:p>
      <w:pPr>
        <w:shd w:fill="EEF3F6" w:val="clear"/>
        <w:spacing w:after="0" w:line="216"/>
        <w:ind w:left="120" w:right="120"/>
      </w:pPr>
      <w:r>
        <w:rPr>
          <w:rFonts w:ascii="Consolas" w:cs="Consolas" w:eastAsia="Consolas" w:hAnsi="Consolas"/>
          <w:sz w:val="15"/>
          <w:szCs w:val="15"/>
        </w:rPr>
        <w:t xml:space="preserve">     4 × CTC  @ $149  =  $596</w:t>
      </w:r>
    </w:p>
    <w:p>
      <w:pPr>
        <w:shd w:fill="EEF3F6" w:val="clear"/>
        <w:spacing w:after="0" w:line="216"/>
        <w:ind w:left="120" w:right="120"/>
      </w:pPr>
      <w:r>
        <w:rPr>
          <w:rFonts w:ascii="Consolas" w:cs="Consolas" w:eastAsia="Consolas" w:hAnsi="Consolas"/>
          <w:sz w:val="15"/>
          <w:szCs w:val="15"/>
        </w:rPr>
        <w:t xml:space="preserve">     2 × MHC  @  $89  =  $178</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total silicon        $774</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2.5D FALLBACK</w:t>
      </w:r>
    </w:p>
    <w:p>
      <w:pPr>
        <w:shd w:fill="EEF3F6" w:val="clear"/>
        <w:spacing w:after="0" w:line="216"/>
        <w:ind w:left="120" w:right="120"/>
      </w:pPr>
      <w:r>
        <w:rPr>
          <w:rFonts w:ascii="Consolas" w:cs="Consolas" w:eastAsia="Consolas" w:hAnsi="Consolas"/>
          <w:sz w:val="15"/>
          <w:szCs w:val="15"/>
        </w:rPr>
        <w:t xml:space="preserve">     4 × CTC  @ $205  =  $820</w:t>
      </w:r>
    </w:p>
    <w:p>
      <w:pPr>
        <w:shd w:fill="EEF3F6" w:val="clear"/>
        <w:spacing w:after="0" w:line="216"/>
        <w:ind w:left="120" w:right="120"/>
      </w:pPr>
      <w:r>
        <w:rPr>
          <w:rFonts w:ascii="Consolas" w:cs="Consolas" w:eastAsia="Consolas" w:hAnsi="Consolas"/>
          <w:sz w:val="15"/>
          <w:szCs w:val="15"/>
        </w:rPr>
        <w:t xml:space="preserve">     2 × MHC  @  $71  =  $141</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total silicon        $961      (+$187 against baseline)</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COMPUTE SILICON ONLY, chiplet vs monolith at equal total area (840 mm² N2P)</w:t>
      </w:r>
    </w:p>
    <w:p>
      <w:pPr>
        <w:shd w:fill="EEF3F6" w:val="clear"/>
        <w:spacing w:after="0" w:line="216"/>
        <w:ind w:left="120" w:right="120"/>
      </w:pPr>
      <w:r>
        <w:rPr>
          <w:rFonts w:ascii="Consolas" w:cs="Consolas" w:eastAsia="Consolas" w:hAnsi="Consolas"/>
          <w:sz w:val="15"/>
          <w:szCs w:val="15"/>
        </w:rPr>
        <w:t xml:space="preserve">     4 × 210 mm² chiplets  =  $596</w:t>
      </w:r>
    </w:p>
    <w:p>
      <w:pPr>
        <w:shd w:fill="EEF3F6" w:val="clear"/>
        <w:spacing w:after="0" w:line="216"/>
        <w:ind w:left="120" w:right="120"/>
      </w:pPr>
      <w:r>
        <w:rPr>
          <w:rFonts w:ascii="Consolas" w:cs="Consolas" w:eastAsia="Consolas" w:hAnsi="Consolas"/>
          <w:sz w:val="15"/>
          <w:szCs w:val="15"/>
        </w:rPr>
        <w:t xml:space="preserve">     1 × 840 mm² monolith  = $1,265</w:t>
      </w:r>
    </w:p>
    <w:p>
      <w:pPr>
        <w:shd w:fill="EEF3F6" w:val="clear"/>
        <w:spacing w:after="0" w:line="216"/>
        <w:ind w:left="120" w:right="120"/>
      </w:pPr>
      <w:r>
        <w:rPr>
          <w:rFonts w:ascii="Consolas" w:cs="Consolas" w:eastAsia="Consolas" w:hAnsi="Consolas"/>
          <w:sz w:val="15"/>
          <w:szCs w:val="15"/>
        </w:rPr>
        <w:t xml:space="preserve">     saving                =  $669   (52.9%)</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AT PESSIMISTIC DEFECT DENSITY (D₀ = 0.14)</w:t>
      </w:r>
    </w:p>
    <w:p>
      <w:pPr>
        <w:shd w:fill="EEF3F6" w:val="clear"/>
        <w:spacing w:after="0" w:line="216"/>
        <w:ind w:left="120" w:right="120"/>
      </w:pPr>
      <w:r>
        <w:rPr>
          <w:rFonts w:ascii="Consolas" w:cs="Consolas" w:eastAsia="Consolas" w:hAnsi="Consolas"/>
          <w:sz w:val="15"/>
          <w:szCs w:val="15"/>
        </w:rPr>
        <w:t xml:space="preserve">     CTC:  A·D₀ = 0.294, Murphy 0.7495, net 69.0%, 192/wafer, $161 each → $644</w:t>
      </w:r>
    </w:p>
    <w:p>
      <w:pPr>
        <w:shd w:fill="EEF3F6" w:val="clear"/>
        <w:spacing w:after="0" w:line="216"/>
        <w:ind w:left="120" w:right="120"/>
      </w:pPr>
      <w:r>
        <w:rPr>
          <w:rFonts w:ascii="Consolas" w:cs="Consolas" w:eastAsia="Consolas" w:hAnsi="Consolas"/>
          <w:sz w:val="15"/>
          <w:szCs w:val="15"/>
        </w:rPr>
        <w:t xml:space="preserve">     Monolith: A·D₀ = 1.176, Murphy 0.3574, net 32.9%, 19/wafer, $1,632</w:t>
      </w:r>
    </w:p>
    <w:p>
      <w:pPr>
        <w:shd w:fill="EEF3F6" w:val="clear"/>
        <w:spacing w:after="0" w:line="216"/>
        <w:ind w:left="120" w:right="120"/>
      </w:pPr>
      <w:r>
        <w:rPr>
          <w:rFonts w:ascii="Consolas" w:cs="Consolas" w:eastAsia="Consolas" w:hAnsi="Consolas"/>
          <w:sz w:val="15"/>
          <w:szCs w:val="15"/>
        </w:rPr>
        <w:t xml:space="preserve">     saving = $988 (60.5%)  — the advantage grows as yield worsens</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D.4  Node-split saving</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Cost of the MHC content if implemented on N2P instead of N6:</w:t>
      </w:r>
    </w:p>
    <w:p>
      <w:pPr>
        <w:shd w:fill="EEF3F6" w:val="clear"/>
        <w:spacing w:after="0" w:line="216"/>
        <w:ind w:left="120" w:right="120"/>
      </w:pPr>
      <w:r>
        <w:rPr>
          <w:rFonts w:ascii="Consolas" w:cs="Consolas" w:eastAsia="Consolas" w:hAnsi="Consolas"/>
          <w:sz w:val="15"/>
          <w:szCs w:val="15"/>
        </w:rPr>
        <w:t xml:space="preserve">     N2P equivalent area (higher density)   304 mm²</w:t>
      </w:r>
    </w:p>
    <w:p>
      <w:pPr>
        <w:shd w:fill="EEF3F6" w:val="clear"/>
        <w:spacing w:after="0" w:line="216"/>
        <w:ind w:left="120" w:right="120"/>
      </w:pPr>
      <w:r>
        <w:rPr>
          <w:rFonts w:ascii="Consolas" w:cs="Consolas" w:eastAsia="Consolas" w:hAnsi="Consolas"/>
          <w:sz w:val="15"/>
          <w:szCs w:val="15"/>
        </w:rPr>
        <w:t xml:space="preserve">     Cost per good die on N2P               $244</w:t>
      </w:r>
    </w:p>
    <w:p>
      <w:pPr>
        <w:shd w:fill="EEF3F6" w:val="clear"/>
        <w:spacing w:after="0" w:line="216"/>
        <w:ind w:left="120" w:right="120"/>
      </w:pPr>
      <w:r>
        <w:rPr>
          <w:rFonts w:ascii="Consolas" w:cs="Consolas" w:eastAsia="Consolas" w:hAnsi="Consolas"/>
          <w:sz w:val="15"/>
          <w:szCs w:val="15"/>
        </w:rPr>
        <w:t xml:space="preserve">     Cost per good die on N6 at 380 mm²     $89</w:t>
      </w:r>
    </w:p>
    <w:p>
      <w:pPr>
        <w:shd w:fill="EEF3F6" w:val="clear"/>
        <w:spacing w:after="0" w:line="216"/>
        <w:ind w:left="120" w:right="120"/>
      </w:pPr>
      <w:r>
        <w:rPr>
          <w:rFonts w:ascii="Consolas" w:cs="Consolas" w:eastAsia="Consolas" w:hAnsi="Consolas"/>
          <w:sz w:val="15"/>
          <w:szCs w:val="15"/>
        </w:rPr>
        <w:t xml:space="preserve">     Saving per die                         $155</w:t>
      </w:r>
    </w:p>
    <w:p>
      <w:pPr>
        <w:shd w:fill="EEF3F6" w:val="clear"/>
        <w:spacing w:after="0" w:line="216"/>
        <w:ind w:left="120" w:right="120"/>
      </w:pPr>
      <w:r>
        <w:rPr>
          <w:rFonts w:ascii="Consolas" w:cs="Consolas" w:eastAsia="Consolas" w:hAnsi="Consolas"/>
          <w:sz w:val="15"/>
          <w:szCs w:val="15"/>
        </w:rPr>
        <w:t xml:space="preserve">     Saving per package (2 dies)            $310</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Table 7-1 in the body carries these figures. An earlier draft of that table</w:t>
      </w:r>
    </w:p>
    <w:p>
      <w:pPr>
        <w:shd w:fill="EEF3F6" w:val="clear"/>
        <w:spacing w:after="0" w:line="216"/>
        <w:ind w:left="120" w:right="120"/>
      </w:pPr>
      <w:r>
        <w:rPr>
          <w:rFonts w:ascii="Consolas" w:cs="Consolas" w:eastAsia="Consolas" w:hAnsi="Consolas"/>
          <w:sz w:val="15"/>
          <w:szCs w:val="15"/>
        </w:rPr>
        <w:t xml:space="preserve">   asserted $231 per die before this calculation was performed; the derived</w:t>
      </w:r>
    </w:p>
    <w:p>
      <w:pPr>
        <w:shd w:fill="EEF3F6" w:val="clear"/>
        <w:spacing w:after="0" w:line="216"/>
        <w:ind w:left="120" w:right="120"/>
      </w:pPr>
      <w:r>
        <w:rPr>
          <w:rFonts w:ascii="Consolas" w:cs="Consolas" w:eastAsia="Consolas" w:hAnsi="Consolas"/>
          <w:sz w:val="15"/>
          <w:szCs w:val="15"/>
        </w:rPr>
        <w:t xml:space="preserve">   figures above are the correct ones. The conclusion -- that the node split is</w:t>
      </w:r>
    </w:p>
    <w:p>
      <w:pPr>
        <w:shd w:fill="EEF3F6" w:val="clear"/>
        <w:spacing w:after="0" w:line="216"/>
        <w:ind w:left="120" w:right="120"/>
      </w:pPr>
      <w:r>
        <w:rPr>
          <w:rFonts w:ascii="Consolas" w:cs="Consolas" w:eastAsia="Consolas" w:hAnsi="Consolas"/>
          <w:sz w:val="15"/>
          <w:szCs w:val="15"/>
        </w:rPr>
        <w:t xml:space="preserve">   worth several hundred dollars per package -- is unaffected.</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Combined saving from the two partition decisions:</w:t>
      </w:r>
    </w:p>
    <w:p>
      <w:pPr>
        <w:shd w:fill="EEF3F6" w:val="clear"/>
        <w:spacing w:after="0" w:line="216"/>
        <w:ind w:left="120" w:right="120"/>
      </w:pPr>
      <w:r>
        <w:rPr>
          <w:rFonts w:ascii="Consolas" w:cs="Consolas" w:eastAsia="Consolas" w:hAnsi="Consolas"/>
          <w:sz w:val="15"/>
          <w:szCs w:val="15"/>
        </w:rPr>
        <w:t xml:space="preserve">     chiplet partition   $669</w:t>
      </w:r>
    </w:p>
    <w:p>
      <w:pPr>
        <w:shd w:fill="EEF3F6" w:val="clear"/>
        <w:spacing w:after="0" w:line="216"/>
        <w:ind w:left="120" w:right="120"/>
      </w:pPr>
      <w:r>
        <w:rPr>
          <w:rFonts w:ascii="Consolas" w:cs="Consolas" w:eastAsia="Consolas" w:hAnsi="Consolas"/>
          <w:sz w:val="15"/>
          <w:szCs w:val="15"/>
        </w:rPr>
        <w:t xml:space="preserve">     node split          $310</w:t>
      </w:r>
    </w:p>
    <w:p>
      <w:pPr>
        <w:shd w:fill="EEF3F6" w:val="clear"/>
        <w:spacing w:after="0" w:line="216"/>
        <w:ind w:left="120" w:right="120"/>
      </w:pPr>
      <w:r>
        <w:rPr>
          <w:rFonts w:ascii="Consolas" w:cs="Consolas" w:eastAsia="Consolas" w:hAnsi="Consolas"/>
          <w:sz w:val="15"/>
          <w:szCs w:val="15"/>
        </w:rPr>
        <w:t xml:space="preserve">     less SoIC bonding  −$145</w:t>
      </w:r>
    </w:p>
    <w:p>
      <w:pPr>
        <w:shd w:fill="EEF3F6" w:val="clear"/>
        <w:spacing w:after="0" w:line="216"/>
        <w:ind w:left="120" w:right="120"/>
      </w:pPr>
      <w:r>
        <w:rPr>
          <w:rFonts w:ascii="Consolas" w:cs="Consolas" w:eastAsia="Consolas" w:hAnsi="Consolas"/>
          <w:sz w:val="15"/>
          <w:szCs w:val="15"/>
        </w:rPr>
        <w:t xml:space="preserve">     less added test     −$28</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net                 $806 per package,  $201 M per year at 250 kU</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pPr>
        <w:pStyle w:val="Heading2"/>
        <w:spacing w:after="120" w:before="300"/>
      </w:pPr>
      <w:r>
        <w:rPr>
          <w:rFonts w:ascii="Calibri" w:cs="Calibri" w:eastAsia="Calibri" w:hAnsi="Calibri"/>
          <w:b/>
          <w:bCs/>
          <w:color w:val="1F4E5F"/>
          <w:sz w:val="26"/>
          <w:szCs w:val="26"/>
        </w:rPr>
        <w:t xml:space="preserve">D.5  Harvest bin distribution</w:t>
      </w:r>
    </w:p>
    <w:p>
      <w:pPr>
        <w:pBdr>
          <w:top w:val="single" w:color="C9D6DD" w:sz="4"/>
        </w:pBd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 CTC has 8 tiles. Defects are assumed Poisson-distributed over die area,</w:t>
      </w:r>
    </w:p>
    <w:p>
      <w:pPr>
        <w:shd w:fill="EEF3F6" w:val="clear"/>
        <w:spacing w:after="0" w:line="216"/>
        <w:ind w:left="120" w:right="120"/>
      </w:pPr>
      <w:r>
        <w:rPr>
          <w:rFonts w:ascii="Consolas" w:cs="Consolas" w:eastAsia="Consolas" w:hAnsi="Consolas"/>
          <w:sz w:val="15"/>
          <w:szCs w:val="15"/>
        </w:rPr>
        <w:t xml:space="preserve">   with the tile array occupying 41% of the die (86.4 of 210 mm²).</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Expected defects in a CTC:  λ = 2.10 · 0.10 = 0.210</w:t>
      </w:r>
    </w:p>
    <w:p>
      <w:pPr>
        <w:shd w:fill="EEF3F6" w:val="clear"/>
        <w:spacing w:after="0" w:line="216"/>
        <w:ind w:left="120" w:right="120"/>
      </w:pPr>
      <w:r>
        <w:rPr>
          <w:rFonts w:ascii="Consolas" w:cs="Consolas" w:eastAsia="Consolas" w:hAnsi="Consolas"/>
          <w:sz w:val="15"/>
          <w:szCs w:val="15"/>
        </w:rPr>
        <w:t xml:space="preserve">   Fraction in the tile array: 0.41  →  λ_tiles = 0.0861</w:t>
      </w:r>
    </w:p>
    <w:p>
      <w:pPr>
        <w:shd w:fill="EEF3F6" w:val="clear"/>
        <w:spacing w:after="0" w:line="216"/>
        <w:ind w:left="120" w:right="120"/>
      </w:pPr>
      <w:r>
        <w:rPr>
          <w:rFonts w:ascii="Consolas" w:cs="Consolas" w:eastAsia="Consolas" w:hAnsi="Consolas"/>
          <w:sz w:val="15"/>
          <w:szCs w:val="15"/>
        </w:rPr>
        <w:t xml:space="preserve">   Fraction elsewhere (fatal):        λ_other = 0.1239</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P(no fatal defect)                = e^(−0.1239)        = 0.8835</w:t>
      </w:r>
    </w:p>
    <w:p>
      <w:pPr>
        <w:shd w:fill="EEF3F6" w:val="clear"/>
        <w:spacing w:after="0" w:line="216"/>
        <w:ind w:left="120" w:right="120"/>
      </w:pPr>
      <w:r>
        <w:rPr>
          <w:rFonts w:ascii="Consolas" w:cs="Consolas" w:eastAsia="Consolas" w:hAnsi="Consolas"/>
          <w:sz w:val="15"/>
          <w:szCs w:val="15"/>
        </w:rPr>
        <w:t xml:space="preserve">   P(0 tile defects | no fatal)      = e^(−0.0861)        = 0.9175</w:t>
      </w:r>
    </w:p>
    <w:p>
      <w:pPr>
        <w:shd w:fill="EEF3F6" w:val="clear"/>
        <w:spacing w:after="0" w:line="216"/>
        <w:ind w:left="120" w:right="120"/>
      </w:pPr>
      <w:r>
        <w:rPr>
          <w:rFonts w:ascii="Consolas" w:cs="Consolas" w:eastAsia="Consolas" w:hAnsi="Consolas"/>
          <w:sz w:val="15"/>
          <w:szCs w:val="15"/>
        </w:rPr>
        <w:t xml:space="preserve">   P(exactly 1 tile defect)          = 0.0861·e^(−0.0861) = 0.0790</w:t>
      </w:r>
    </w:p>
    <w:p>
      <w:pPr>
        <w:shd w:fill="EEF3F6" w:val="clear"/>
        <w:spacing w:after="0" w:line="216"/>
        <w:ind w:left="120" w:right="120"/>
      </w:pPr>
      <w:r>
        <w:rPr>
          <w:rFonts w:ascii="Consolas" w:cs="Consolas" w:eastAsia="Consolas" w:hAnsi="Consolas"/>
          <w:sz w:val="15"/>
          <w:szCs w:val="15"/>
        </w:rPr>
        <w:t xml:space="preserve">   P(≥ 2 tile defects)               =                      0.0035</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Per CTC:  full = 0.8835 · 0.9175 = 81.1%</w:t>
      </w:r>
    </w:p>
    <w:p>
      <w:pPr>
        <w:shd w:fill="EEF3F6" w:val="clear"/>
        <w:spacing w:after="0" w:line="216"/>
        <w:ind w:left="120" w:right="120"/>
      </w:pPr>
      <w:r>
        <w:rPr>
          <w:rFonts w:ascii="Consolas" w:cs="Consolas" w:eastAsia="Consolas" w:hAnsi="Consolas"/>
          <w:sz w:val="15"/>
          <w:szCs w:val="15"/>
        </w:rPr>
        <w:t xml:space="preserve">             7-tile = 0.8835 · 0.0790 = 7.0%</w:t>
      </w:r>
    </w:p>
    <w:p>
      <w:pPr>
        <w:shd w:fill="EEF3F6" w:val="clear"/>
        <w:spacing w:after="0" w:line="216"/>
        <w:ind w:left="120" w:right="120"/>
      </w:pPr>
      <w:r>
        <w:rPr>
          <w:rFonts w:ascii="Consolas" w:cs="Consolas" w:eastAsia="Consolas" w:hAnsi="Consolas"/>
          <w:sz w:val="15"/>
          <w:szCs w:val="15"/>
        </w:rPr>
        <w:t xml:space="preserve">             scrap = 11.9%</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Applying Y₀ = 0.92 systematic:  full 74.6%, 7-tile 6.4%, scrap 19.0%</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Per package (4 CTCs):</w:t>
      </w:r>
    </w:p>
    <w:p>
      <w:pPr>
        <w:shd w:fill="EEF3F6" w:val="clear"/>
        <w:spacing w:after="0" w:line="216"/>
        <w:ind w:left="120" w:right="120"/>
      </w:pPr>
      <w:r>
        <w:rPr>
          <w:rFonts w:ascii="Consolas" w:cs="Consolas" w:eastAsia="Consolas" w:hAnsi="Consolas"/>
          <w:sz w:val="15"/>
          <w:szCs w:val="15"/>
        </w:rPr>
        <w:t xml:space="preserve">     all four full          = 0.746⁴ / (0.810)⁴ ... expressed over good dies:</w:t>
      </w:r>
    </w:p>
    <w:p>
      <w:pPr>
        <w:shd w:fill="EEF3F6" w:val="clear"/>
        <w:spacing w:after="0" w:line="216"/>
        <w:ind w:left="120" w:right="120"/>
      </w:pPr>
      <w:r>
        <w:rPr>
          <w:rFonts w:ascii="Consolas" w:cs="Consolas" w:eastAsia="Consolas" w:hAnsi="Consolas"/>
          <w:sz w:val="15"/>
          <w:szCs w:val="15"/>
        </w:rPr>
        <w:t xml:space="preserve">     of the 81.0% non-scrap dies, 92.1% are full and 7.9% are 7-tile.</w:t>
      </w:r>
    </w:p>
    <w:p>
      <w:pPr>
        <w:shd w:fill="EEF3F6" w:val="clear"/>
        <w:spacing w:after="0" w:line="216"/>
        <w:ind w:left="120" w:right="120"/>
      </w:pPr>
      <w:r>
        <w:rPr>
          <w:rFonts w:ascii="Consolas" w:cs="Consolas" w:eastAsia="Consolas" w:hAnsi="Consolas"/>
          <w:sz w:val="15"/>
          <w:szCs w:val="15"/>
        </w:rPr>
        <w:t xml:space="preserve">     P(all four full)       = 0.921⁴ = 71.9%   → SC-1</w:t>
      </w:r>
    </w:p>
    <w:p>
      <w:pPr>
        <w:shd w:fill="EEF3F6" w:val="clear"/>
        <w:spacing w:after="0" w:line="216"/>
        <w:ind w:left="120" w:right="120"/>
      </w:pPr>
      <w:r>
        <w:rPr>
          <w:rFonts w:ascii="Consolas" w:cs="Consolas" w:eastAsia="Consolas" w:hAnsi="Consolas"/>
          <w:sz w:val="15"/>
          <w:szCs w:val="15"/>
        </w:rPr>
        <w:t xml:space="preserve">     P(at least one 7-tile) = 28.1%            → SC-1H</w:t>
      </w:r>
    </w:p>
    <w:p>
      <w:pPr>
        <w:shd w:fill="EEF3F6" w:val="clear"/>
        <w:spacing w:after="0" w:line="216"/>
        <w:ind w:left="120" w:right="120"/>
      </w:pPr>
      <w:r>
        <w:rPr>
          <w:rFonts w:ascii="Consolas" w:cs="Consolas" w:eastAsia="Consolas" w:hAnsi="Consolas"/>
          <w:sz w:val="15"/>
          <w:szCs w:val="15"/>
        </w:rPr>
        <w:t xml:space="preserve"> </w:t>
      </w:r>
    </w:p>
    <w:p>
      <w:pPr>
        <w:shd w:fill="EEF3F6" w:val="clear"/>
        <w:spacing w:after="0" w:line="216"/>
        <w:ind w:left="120" w:right="120"/>
      </w:pPr>
      <w:r>
        <w:rPr>
          <w:rFonts w:ascii="Consolas" w:cs="Consolas" w:eastAsia="Consolas" w:hAnsi="Consolas"/>
          <w:sz w:val="15"/>
          <w:szCs w:val="15"/>
        </w:rPr>
        <w:t xml:space="preserve">   This reproduces the ~72% / ~19% split of Table 13-4 once MHC-driven</w:t>
      </w:r>
    </w:p>
    <w:p>
      <w:pPr>
        <w:shd w:fill="EEF3F6" w:val="clear"/>
        <w:spacing w:after="0" w:line="216"/>
        <w:ind w:left="120" w:right="120"/>
      </w:pPr>
      <w:r>
        <w:rPr>
          <w:rFonts w:ascii="Consolas" w:cs="Consolas" w:eastAsia="Consolas" w:hAnsi="Consolas"/>
          <w:sz w:val="15"/>
          <w:szCs w:val="15"/>
        </w:rPr>
        <w:t xml:space="preserve">   SC-1B binning (~6%) and assembly scrap (~3%) are applied.</w:t>
      </w:r>
    </w:p>
    <w:p>
      <w:pPr>
        <w:shd w:fill="EEF3F6" w:val="clear"/>
        <w:spacing w:after="0" w:line="216"/>
        <w:ind w:left="120" w:right="120"/>
      </w:pPr>
      <w:r>
        <w:rPr>
          <w:rFonts w:ascii="Consolas" w:cs="Consolas" w:eastAsia="Consolas" w:hAnsi="Consolas"/>
          <w:sz w:val="15"/>
          <w:szCs w:val="15"/>
        </w:rPr>
        <w:t xml:space="preserve"> </w:t>
      </w:r>
    </w:p>
    <w:p>
      <w:pPr>
        <w:pBdr>
          <w:top w:val="single" w:color="C9D6DD" w:sz="4"/>
        </w:pBdr>
        <w:spacing w:after="160"/>
      </w:pPr>
      <w:r>
        <w:rPr>
          <w:sz w:val="6"/>
          <w:szCs w:val="6"/>
        </w:rPr>
        <w:t xml:space="preserve"> </w:t>
      </w:r>
    </w:p>
    <w:p>
      <w:r>
        <w:br w:type="page"/>
      </w:r>
    </w:p>
    <w:p>
      <w:pPr>
        <w:pStyle w:val="Heading1"/>
        <w:spacing w:after="160" w:before="400"/>
      </w:pPr>
      <w:r>
        <w:rPr>
          <w:rFonts w:ascii="Calibri" w:cs="Calibri" w:eastAsia="Calibri" w:hAnsi="Calibri"/>
          <w:b/>
          <w:bCs/>
          <w:color w:val="1F4E5F"/>
          <w:sz w:val="32"/>
          <w:szCs w:val="32"/>
        </w:rPr>
        <w:t xml:space="preserve">Appendix E.  ISA Opcode Map</w:t>
      </w:r>
    </w:p>
    <w:p>
      <w:pPr>
        <w:pStyle w:val="Heading2"/>
        <w:spacing w:after="120" w:before="300"/>
      </w:pPr>
      <w:r>
        <w:rPr>
          <w:rFonts w:ascii="Calibri" w:cs="Calibri" w:eastAsia="Calibri" w:hAnsi="Calibri"/>
          <w:b/>
          <w:bCs/>
          <w:color w:val="1F4E5F"/>
          <w:sz w:val="26"/>
          <w:szCs w:val="26"/>
        </w:rPr>
        <w:t xml:space="preserve">E.1  TMMA slot (opcode field, 5 bits)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6"/>
        <w:gridCol w:w="1498"/>
        <w:gridCol w:w="6926"/>
      </w:tblGrid>
      <w:tr>
        <w:trPr>
          <w:cantSplit/>
          <w:tblHeader/>
        </w:trPr>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Enc</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Mnemonic</w:t>
            </w:r>
          </w:p>
        </w:tc>
        <w:tc>
          <w:tcPr>
            <w:tcW w:type="dxa" w:w="692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Operation</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TNOP</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 operation</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0x01</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TMMA</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Tiled matrix multiply-accumulate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0x02</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TMMA_S</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As TMMA with 2:4 structured sparse operand B</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0x03</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TLOADW</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Preload weight tile into the array (weight-stationary mode)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0x04</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TDRAIN</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Drain accumulators to the named destination descriptor</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0x05</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TACCZ</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Zero the named accumulator set</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0x06</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TACCADD</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Add two accumulator sets</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0x07</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TTRANS</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Transpose a tile in place through the array</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0x08</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TCONFIG</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Set dataflow mode, precision, and rounding for subsequent TMMA</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0x09</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TSCAN</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DFT: shift an LBIST pattern through the array</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0x0A–0x1F</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Reserved</w:t>
            </w:r>
          </w:p>
        </w:tc>
      </w:tr>
    </w:tbl>
    <w:p>
      <w:pPr>
        <w:pStyle w:val="Heading2"/>
        <w:spacing w:after="120" w:before="300"/>
      </w:pPr>
      <w:r>
        <w:rPr>
          <w:rFonts w:ascii="Calibri" w:cs="Calibri" w:eastAsia="Calibri" w:hAnsi="Calibri"/>
          <w:b/>
          <w:bCs/>
          <w:color w:val="1F4E5F"/>
          <w:sz w:val="26"/>
          <w:szCs w:val="26"/>
        </w:rPr>
        <w:t xml:space="preserve">E.2  ATTN slot (op field, 3 bits) — see Section 10.5</w:t>
      </w:r>
    </w:p>
    <w:p>
      <w:pPr>
        <w:pStyle w:val="Heading2"/>
        <w:spacing w:after="120" w:before="300"/>
      </w:pPr>
      <w:r>
        <w:rPr>
          <w:rFonts w:ascii="Calibri" w:cs="Calibri" w:eastAsia="Calibri" w:hAnsi="Calibri"/>
          <w:b/>
          <w:bCs/>
          <w:color w:val="1F4E5F"/>
          <w:sz w:val="26"/>
          <w:szCs w:val="26"/>
        </w:rPr>
        <w:t xml:space="preserve">E.3  VEC slot (opcode field, 6 bits)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030"/>
        <w:gridCol w:w="3276"/>
        <w:gridCol w:w="5054"/>
      </w:tblGrid>
      <w:tr>
        <w:trPr>
          <w:cantSplit/>
          <w:tblHeader/>
        </w:trPr>
        <w:tc>
          <w:tcPr>
            <w:tcW w:type="dxa" w:w="1030"/>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Enc</w:t>
            </w:r>
          </w:p>
        </w:tc>
        <w:tc>
          <w:tcPr>
            <w:tcW w:type="dxa" w:w="327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Mnemonic</w:t>
            </w:r>
          </w:p>
        </w:tc>
        <w:tc>
          <w:tcPr>
            <w:tcW w:type="dxa" w:w="505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6"/>
                <w:szCs w:val="16"/>
              </w:rPr>
              <w:t xml:space="preserve">Operation</w:t>
            </w:r>
          </w:p>
        </w:tc>
      </w:tr>
      <w:tr>
        <w:trPr>
          <w:cantSplit/>
          <w:tblHeader w:val="false"/>
        </w:trPr>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0x00</w:t>
            </w:r>
          </w:p>
        </w:tc>
        <w:tc>
          <w:tcPr>
            <w:tcW w:type="dxa" w:w="327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VNOP</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No operation</w:t>
            </w:r>
          </w:p>
        </w:tc>
      </w:tr>
      <w:tr>
        <w:trPr>
          <w:cantSplit/>
          <w:tblHeader w:val="false"/>
        </w:trPr>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0x01–0x0F</w:t>
            </w:r>
          </w:p>
        </w:tc>
        <w:tc>
          <w:tcPr>
            <w:tcW w:type="dxa" w:w="327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VADD VSUB VMUL VDIV VFMA VMAX VMIN VABS VNEG VSUM VPROD VAND VOR VXOR VSHIFT</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Elementwise arithmetic and logic</w:t>
            </w:r>
          </w:p>
        </w:tc>
      </w:tr>
      <w:tr>
        <w:trPr>
          <w:cantSplit/>
          <w:tblHeader w:val="false"/>
        </w:trPr>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0x10–0x17</w:t>
            </w:r>
          </w:p>
        </w:tc>
        <w:tc>
          <w:tcPr>
            <w:tcW w:type="dxa" w:w="327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VRMSNORM VLAYERNORM VSOFTMAX VLOGSUMEXP VMEAN VVAR VSCALE VBIAS</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Reductions and normalisation</w:t>
            </w:r>
          </w:p>
        </w:tc>
      </w:tr>
      <w:tr>
        <w:trPr>
          <w:cantSplit/>
          <w:tblHeader w:val="false"/>
        </w:trPr>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0x18–0x1F</w:t>
            </w:r>
          </w:p>
        </w:tc>
        <w:tc>
          <w:tcPr>
            <w:tcW w:type="dxa" w:w="327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VEXP VLOG VTANH VERF VRECIP VRSQRT VSQRT VSIGMOID</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Transcendental, via the piecewise-quadratic LUT</w:t>
            </w:r>
          </w:p>
        </w:tc>
      </w:tr>
      <w:tr>
        <w:trPr>
          <w:cantSplit/>
          <w:tblHeader w:val="false"/>
        </w:trPr>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0x20–0x25</w:t>
            </w:r>
          </w:p>
        </w:tc>
        <w:tc>
          <w:tcPr>
            <w:tcW w:type="dxa" w:w="327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VGELU VSILU VSWIGLU VRELU VGEGLU VSOFTPLUS</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Activation functions</w:t>
            </w:r>
          </w:p>
        </w:tc>
      </w:tr>
      <w:tr>
        <w:trPr>
          <w:cantSplit/>
          <w:tblHeader w:val="false"/>
        </w:trPr>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0x26–0x29</w:t>
            </w:r>
          </w:p>
        </w:tc>
        <w:tc>
          <w:tcPr>
            <w:tcW w:type="dxa" w:w="327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VROPE VROPE_NEOX VALIBI VPOSENC</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Positional encodings</w:t>
            </w:r>
          </w:p>
        </w:tc>
      </w:tr>
      <w:tr>
        <w:trPr>
          <w:cantSplit/>
          <w:tblHeader w:val="false"/>
        </w:trPr>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0x2A–0x2F</w:t>
            </w:r>
          </w:p>
        </w:tc>
        <w:tc>
          <w:tcPr>
            <w:tcW w:type="dxa" w:w="327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VQUANT VDEQUANT VCAST VBLOCKSCALE VOUTLIER VSTOCHRND</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Precision conversion</w:t>
            </w:r>
          </w:p>
        </w:tc>
      </w:tr>
      <w:tr>
        <w:trPr>
          <w:cantSplit/>
          <w:tblHeader w:val="false"/>
        </w:trPr>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0x30–0x35</w:t>
            </w:r>
          </w:p>
        </w:tc>
        <w:tc>
          <w:tcPr>
            <w:tcW w:type="dxa" w:w="327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VTOPK VSORT VARGMAX VSAMPLE VGATHER VSCATTER</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Selection and permutation</w:t>
            </w:r>
          </w:p>
        </w:tc>
      </w:tr>
      <w:tr>
        <w:trPr>
          <w:cantSplit/>
          <w:tblHeader w:val="false"/>
        </w:trPr>
        <w:tc>
          <w:tcPr>
            <w:tcW w:type="dxa" w:w="1030"/>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0x36–0x39</w:t>
            </w:r>
          </w:p>
        </w:tc>
        <w:tc>
          <w:tcPr>
            <w:tcW w:type="dxa" w:w="327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VSELECT VWHERE VMASK VCLAMP</w:t>
            </w:r>
          </w:p>
        </w:tc>
        <w:tc>
          <w:tcPr>
            <w:tcW w:type="dxa" w:w="505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Predication</w:t>
            </w:r>
          </w:p>
        </w:tc>
      </w:tr>
      <w:tr>
        <w:trPr>
          <w:cantSplit/>
          <w:tblHeader w:val="false"/>
        </w:trPr>
        <w:tc>
          <w:tcPr>
            <w:tcW w:type="dxa" w:w="1030"/>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6"/>
                <w:szCs w:val="16"/>
              </w:rPr>
              <w:t xml:space="preserve">0x3A–0x3F</w:t>
            </w:r>
          </w:p>
        </w:tc>
        <w:tc>
          <w:tcPr>
            <w:tcW w:type="dxa" w:w="327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w:t>
            </w:r>
          </w:p>
        </w:tc>
        <w:tc>
          <w:tcPr>
            <w:tcW w:type="dxa" w:w="505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6"/>
                <w:szCs w:val="16"/>
              </w:rPr>
              <w:t xml:space="preserve">Reserved</w:t>
            </w:r>
          </w:p>
        </w:tc>
      </w:tr>
    </w:tbl>
    <w:p>
      <w:pPr>
        <w:pStyle w:val="Heading2"/>
        <w:spacing w:after="120" w:before="300"/>
      </w:pPr>
      <w:r>
        <w:rPr>
          <w:rFonts w:ascii="Calibri" w:cs="Calibri" w:eastAsia="Calibri" w:hAnsi="Calibri"/>
          <w:b/>
          <w:bCs/>
          <w:color w:val="1F4E5F"/>
          <w:sz w:val="26"/>
          <w:szCs w:val="26"/>
        </w:rPr>
        <w:t xml:space="preserve">E.4  DMA slots (opcode field, 4 bits)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6"/>
        <w:gridCol w:w="4212"/>
        <w:gridCol w:w="4212"/>
      </w:tblGrid>
      <w:tr>
        <w:trPr>
          <w:cantSplit/>
          <w:tblHeader/>
        </w:trPr>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Enc</w:t>
            </w:r>
          </w:p>
        </w:tc>
        <w:tc>
          <w:tcPr>
            <w:tcW w:type="dxa" w:w="421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DMA_IN</w:t>
            </w:r>
          </w:p>
        </w:tc>
        <w:tc>
          <w:tcPr>
            <w:tcW w:type="dxa" w:w="421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DMA_OUT</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DNOP</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DNOP</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0x1</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DLOAD</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DSTORE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0x2</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DLOAD_STRIDED</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DSTORE_STRIDED</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0x3</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DGATHER</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DSCATTER</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0x4</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DBROADCAST</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DREDUCE</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0x5</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DPREFETCH</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DFLUSH</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0x6</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DPROMOTE (Tier 2 → Tier 1)</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DDEMOTE (Tier 1 → Tier 2)</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0x7</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DRESUME (whole sequence)</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DPARK (whole sequence)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0x8</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DPAGEALLOC</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DPAGEFREE</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0x9</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DPEERGET (remote package)</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DPEERPUT (remote package)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0xA</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DDECOMP (weight codec)</w:t>
            </w:r>
          </w:p>
        </w:tc>
        <w:tc>
          <w:tcPr>
            <w:tcW w:type="dxa" w:w="421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DTAP (interpretability capture)</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0xB–0xF</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Reserved</w:t>
            </w:r>
          </w:p>
        </w:tc>
        <w:tc>
          <w:tcPr>
            <w:tcW w:type="dxa" w:w="421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Reserved</w:t>
            </w:r>
          </w:p>
        </w:tc>
      </w:tr>
    </w:tbl>
    <w:p>
      <w:pPr>
        <w:pStyle w:val="Heading2"/>
        <w:spacing w:after="120" w:before="300"/>
      </w:pPr>
      <w:r>
        <w:rPr>
          <w:rFonts w:ascii="Calibri" w:cs="Calibri" w:eastAsia="Calibri" w:hAnsi="Calibri"/>
          <w:b/>
          <w:bCs/>
          <w:color w:val="1F4E5F"/>
          <w:sz w:val="26"/>
          <w:szCs w:val="26"/>
        </w:rPr>
        <w:t xml:space="preserve">E.5  SYNC slot (opcode field, 4 bits)</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6"/>
        <w:gridCol w:w="1498"/>
        <w:gridCol w:w="6926"/>
      </w:tblGrid>
      <w:tr>
        <w:trPr>
          <w:cantSplit/>
          <w:tblHeader/>
        </w:trPr>
        <w:tc>
          <w:tcPr>
            <w:tcW w:type="dxa" w:w="93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Enc</w:t>
            </w:r>
          </w:p>
        </w:tc>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Mnemonic</w:t>
            </w:r>
          </w:p>
        </w:tc>
        <w:tc>
          <w:tcPr>
            <w:tcW w:type="dxa" w:w="692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7"/>
                <w:szCs w:val="17"/>
              </w:rPr>
              <w:t xml:space="preserve">Operation</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0x0</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SNOP</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No operation</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0x1</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WAIT</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Block until the named event reaches the given count</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0x2</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SIGNAL</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Increment the named event</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0x3</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BARRIER</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All-participant barrier at the given scope</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0x4</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FENCE</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Memory ordering fence at the given scope</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0x5</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ACQUIRE</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Acquire semantics on a page or descriptor</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0x6</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RELEASE</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Release semantics</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0x7</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TIMESTAMP</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Capture a synchronised timestamp into a scalar register</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0x8</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TRAP</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Raise a software-defined exception</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0x9</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YIELD</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Voluntarily release the tile group to the other context</w:t>
            </w:r>
          </w:p>
        </w:tc>
      </w:tr>
      <w:tr>
        <w:trPr>
          <w:cantSplit/>
          <w:tblHeader w:val="false"/>
        </w:trPr>
        <w:tc>
          <w:tcPr>
            <w:tcW w:type="dxa" w:w="936"/>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0xA</w:t>
            </w:r>
          </w:p>
        </w:tc>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DETSYNC</w:t>
            </w:r>
          </w:p>
        </w:tc>
        <w:tc>
          <w:tcPr>
            <w:tcW w:type="dxa" w:w="692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Enter or leave deterministic reduction mode</w:t>
            </w:r>
          </w:p>
        </w:tc>
      </w:tr>
      <w:tr>
        <w:trPr>
          <w:cantSplit/>
          <w:tblHeader w:val="false"/>
        </w:trPr>
        <w:tc>
          <w:tcPr>
            <w:tcW w:type="dxa" w:w="936"/>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7"/>
                <w:szCs w:val="17"/>
              </w:rPr>
              <w:t xml:space="preserve">0xB–0xF</w:t>
            </w:r>
          </w:p>
        </w:tc>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w:t>
            </w:r>
          </w:p>
        </w:tc>
        <w:tc>
          <w:tcPr>
            <w:tcW w:type="dxa" w:w="692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7"/>
                <w:szCs w:val="17"/>
              </w:rPr>
              <w:t xml:space="preserve">Reserved</w:t>
            </w:r>
          </w:p>
        </w:tc>
      </w:tr>
    </w:tbl>
    <w:p>
      <w:r>
        <w:br w:type="page"/>
      </w:r>
    </w:p>
    <w:p>
      <w:pPr>
        <w:pStyle w:val="Heading1"/>
        <w:spacing w:after="160" w:before="400"/>
      </w:pPr>
      <w:r>
        <w:rPr>
          <w:rFonts w:ascii="Calibri" w:cs="Calibri" w:eastAsia="Calibri" w:hAnsi="Calibri"/>
          <w:b/>
          <w:bCs/>
          <w:color w:val="1F4E5F"/>
          <w:sz w:val="32"/>
          <w:szCs w:val="32"/>
        </w:rPr>
        <w:t xml:space="preserve">Appendix F.  Selected Control Register Map</w:t>
      </w:r>
    </w:p>
    <w:p>
      <w:pPr>
        <w:spacing w:after="140" w:line="276"/>
        <w:jc w:val="left"/>
      </w:pPr>
      <w:r>
        <w:rPr>
          <w:rFonts w:ascii="Calibri" w:cs="Calibri" w:eastAsia="Calibri" w:hAnsi="Calibri"/>
          <w:b w:val="false"/>
          <w:bCs w:val="false"/>
          <w:i w:val="false"/>
          <w:iCs w:val="false"/>
          <w:color w:val="000000"/>
          <w:sz w:val="21"/>
          <w:szCs w:val="21"/>
        </w:rPr>
        <w:t xml:space="preserve">Registers are 64-bit, memory-mapped at the base given in Table 5-2. Access classes: RO read-only, RW read-write, W1C write-1-to-clear, S Sentinel-gated.</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937"/>
        <w:gridCol w:w="2059"/>
        <w:gridCol w:w="842"/>
        <w:gridCol w:w="5522"/>
      </w:tblGrid>
      <w:tr>
        <w:trPr>
          <w:cantSplit/>
          <w:tblHeader/>
        </w:trPr>
        <w:tc>
          <w:tcPr>
            <w:tcW w:type="dxa" w:w="937"/>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Offset</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Name</w:t>
            </w:r>
          </w:p>
        </w:tc>
        <w:tc>
          <w:tcPr>
            <w:tcW w:type="dxa" w:w="84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Access</w:t>
            </w:r>
          </w:p>
        </w:tc>
        <w:tc>
          <w:tcPr>
            <w:tcW w:type="dxa" w:w="552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Description</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0x0000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SC1_ID</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Part identifier, revision, SKU (SC-1 / 1H / 1B), fuse-programmed</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0x0008</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SC1_CAPS</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Enabled tile count, HBM stack map, Tier-2 capacity, SerDes lane map</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0x0010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SC1_STATUS</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Global state, fault summary, thermal state, policy validity</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0x0020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CLK_CTRL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Per-domain frequency targets and DVFS enable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0x0028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PWR_LIMIT</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Package power cap in milliwatts; hardware enforces by throttling CLK_TT</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0x0030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THERM_STATUS</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12 junction temperature sensors, 8-bit each</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0x0038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THERM_LIMIT</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Throttle and shutdown thresholds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0x0100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RTS_ALLOC[0..7]</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Resident Tensor Store partition boundaries (Table 7-3)</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0x0140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RTS_ECC_LOG</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W1C</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Correctable and uncorrectable counts per bank group</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0x0200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CTM_CTRL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Tier manager enable, automatic/manual mode, policy select</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0x0208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CTM_GOV</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Migration bandwidth cap as a fraction of Tier 1; watermarks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0x0210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CTM_STATS[0..15]</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Migrations, promotions, demotions, park/resume counts, residency histogram</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0x0290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CTM_PARK_Q</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Park queue head/tail; software may enqueue directly</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0x0300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PCE_CTRL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Prefix cache enable, verification mode, cross-tenant dedup enable (S)</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0x0308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PCE_STATS[0..7]</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Probes, hits, dedup factor, collisions detected, verification failures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0x0400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HBM_CTRL[0..3]</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Per-stack controller configuration, refresh policy, QoS weights</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0x0440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HBM_ERR[0..3]</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W1C</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Per-stack ECC and link CRC error logs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0x0500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LPDDR_CTRL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Tier-2 controller configuration, rate (14.4 / 12.8 GT/s), training control</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0x0600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NOC_QOS[0..3]</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Virtual channel weights and rate limits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0x0700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TILE_ENABLE</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RW(S)</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Per-tile enable mask; fencing a faulty tile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0x0708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TILE_GROUP_CFG[0..7]</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Per-group context, protection domain, precision defaults, determinism</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0x0800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PERF_CTRL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Performance counter select, sampling interval, ring buffer base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0x0808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PERF_CNT[0..255]</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Performance counters, 64-bit</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0x1000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SDC_CTRL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Redundant recomputation sampling rate; LBIST idle-window enable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0x1008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SDC_LOG</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W1C</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Mismatch events with tile identifier and macro-op identifier</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0x2000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SEC_STATUS</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RO(S)</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Boot measurement, attestation state, policy expiry countdown</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0x2008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SEC_POLICY</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RW(S)</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Signed operational policy object write port</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0x2010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SEC_QUOTE</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RO(S)</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Attestation quote generation: write nonce, read signed quote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0x2020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SEC_MANIFEST</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RW(S)</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Model manifest load port</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0x2100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ITAP_CTRL</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RW(S)</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Interpretability tap enable, capture points, sampling predicate</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0x2108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ITAP_RATE</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RO(S)</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Enforced rate cap (from policy) and observed rate</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0x2110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ITAP_RING</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Ring buffer base, size, write pointer (RO), read pointer (RW)</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0x2118</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ITAP_DROPS</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W1C</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Samples dropped under back-pressure</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0x3000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LINK_CTRL[0..1]</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Cobalt Link per-MHC configuration, lane map, training</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0x3010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LINK_STATS</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RO</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FEC corrections, lane errors, retrain events</w:t>
            </w:r>
          </w:p>
        </w:tc>
      </w:tr>
      <w:tr>
        <w:trPr>
          <w:cantSplit/>
          <w:tblHeader w:val="false"/>
        </w:trPr>
        <w:tc>
          <w:tcPr>
            <w:tcW w:type="dxa" w:w="937"/>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0x3100</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PEER_APERTURE[0..63]</w:t>
            </w:r>
          </w:p>
        </w:tc>
        <w:tc>
          <w:tcPr>
            <w:tcW w:type="dxa" w:w="84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w:t>
            </w:r>
          </w:p>
        </w:tc>
        <w:tc>
          <w:tcPr>
            <w:tcW w:type="dxa" w:w="552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Remote package address windows and capabilities</w:t>
            </w:r>
          </w:p>
        </w:tc>
      </w:tr>
      <w:tr>
        <w:trPr>
          <w:cantSplit/>
          <w:tblHeader w:val="false"/>
        </w:trPr>
        <w:tc>
          <w:tcPr>
            <w:tcW w:type="dxa" w:w="937"/>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0xF000</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DEBUG_UNLOCK</w:t>
            </w:r>
          </w:p>
        </w:tc>
        <w:tc>
          <w:tcPr>
            <w:tcW w:type="dxa" w:w="84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RW(S)</w:t>
            </w:r>
          </w:p>
        </w:tc>
        <w:tc>
          <w:tcPr>
            <w:tcW w:type="dxa" w:w="552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Authenticated debug challenge/response</w:t>
            </w:r>
          </w:p>
        </w:tc>
      </w:tr>
    </w:tbl>
    <w:p>
      <w:r>
        <w:br w:type="page"/>
      </w:r>
    </w:p>
    <w:p>
      <w:pPr>
        <w:pStyle w:val="Heading1"/>
        <w:spacing w:after="160" w:before="400"/>
      </w:pPr>
      <w:r>
        <w:rPr>
          <w:rFonts w:ascii="Calibri" w:cs="Calibri" w:eastAsia="Calibri" w:hAnsi="Calibri"/>
          <w:b/>
          <w:bCs/>
          <w:color w:val="1F4E5F"/>
          <w:sz w:val="32"/>
          <w:szCs w:val="32"/>
        </w:rPr>
        <w:t xml:space="preserve">Appendix G.  Secondary-Material Qualification Matrix</w:t>
      </w:r>
    </w:p>
    <w:p>
      <w:pPr>
        <w:spacing w:after="140" w:line="276"/>
        <w:jc w:val="left"/>
      </w:pPr>
      <w:r>
        <w:rPr>
          <w:rFonts w:ascii="Calibri" w:cs="Calibri" w:eastAsia="Calibri" w:hAnsi="Calibri"/>
          <w:b w:val="false"/>
          <w:bCs w:val="false"/>
          <w:i w:val="false"/>
          <w:iCs w:val="false"/>
          <w:color w:val="000000"/>
          <w:sz w:val="21"/>
          <w:szCs w:val="21"/>
        </w:rPr>
        <w:t xml:space="preserve">Each secondary material specified in Section 15.2 must pass the corresponding tests before it may be used in production. Failure at any gate reverts that material to primary sourcing without halting the programme.</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1498"/>
        <w:gridCol w:w="2246"/>
        <w:gridCol w:w="2059"/>
        <w:gridCol w:w="2434"/>
        <w:gridCol w:w="1123"/>
      </w:tblGrid>
      <w:tr>
        <w:trPr>
          <w:cantSplit/>
          <w:tblHeader/>
        </w:trPr>
        <w:tc>
          <w:tcPr>
            <w:tcW w:type="dxa" w:w="1498"/>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Material</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Incoming test</w:t>
            </w:r>
          </w:p>
        </w:tc>
        <w:tc>
          <w:tcPr>
            <w:tcW w:type="dxa" w:w="205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Process test</w:t>
            </w:r>
          </w:p>
        </w:tc>
        <w:tc>
          <w:tcPr>
            <w:tcW w:type="dxa" w:w="2434"/>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Reliability test</w:t>
            </w:r>
          </w:p>
        </w:tc>
        <w:tc>
          <w:tcPr>
            <w:tcW w:type="dxa" w:w="1123"/>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Gate</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Cu, cold plate and spreader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ICP-MS for Bi, Pb, Sb, S, O; conductivity ≥ 101% IACS</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Machinability and braze wetting on production tooling</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Thermal cycling −40 to +125 °C, 1,000 cycles; corrosion per ASTM B368</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Cu foil, PCB and substrate</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Peel strength per IPC-4562; surface roughness Rz</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Etch factor and line-width control on a production panel</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CAF resistance per IPC-TM-650 2.6.25; 1,000 h at 85/85</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Au, ENEPIG finish</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Fire assay ≥ 4N; refiner chain-of-custody audit</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Deposit thickness and uniformity per ASTM B488; wire-bond pull</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Solder joint reliability per IPC-9701 TC1; 1,000 h HAST</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Ag, sinter die-attach</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ICP-MS ≥ 4N</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Sinter void fraction &lt; 3% by X-ray; shear strength</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Power cycling 20,000 cycles; thermal impedance drift &lt; 10%</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Pd, ENEPIG barrier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Refiner certificate ≥ 3N5</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Barrier integrity: no Ni diffusion after 150 °C / 500 h</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As per Au</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Sn, SAC305</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GDMS ≥ 5N; Pb &lt; 100 ppm</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Reflow wetting and voiding on production BGA</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IPC-9701 TC3 thermal cycling to 3,000 cycles; drop test</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Co, CVD precursor</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ICP-MS: Na, K, Li, Fe, Cu, Ni, Cr each &lt; 1 ppb, per lot</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Film resistivity, step coverage, and adhesion on production structures</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EM on M0/M1 per JEDEC JEP119, ≥ 2,000 h; TDDB; BTS for mobile ions</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Foundry qualification — 18 months, $1.4 M</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Secondary Al, mechanical</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Alloy and temper verification</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Anodise adhesion; dimensional stability after machining</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Salt spray per ASTM B117, 500 h</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Recycled NdFeB magnets</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Br, Hc, and Dy content</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Inductor saturation and loss at switching frequency</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Thermal ageing at 125 °C, 2,000 h; irreversible loss &lt; 3%</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Reclaimed structural Si</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Flatness, TTV &lt; 1.5 µm, particle count</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Handling and pick-place on the assembly line</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Package-level thermal cycling; no delamination</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Recycled glass fibre laminate</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Dk and Df at 40 GHz; Tg; CTE</w:t>
            </w:r>
          </w:p>
        </w:tc>
        <w:tc>
          <w:tcPr>
            <w:tcW w:type="dxa" w:w="205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Drill and plating quality on a production panel</w:t>
            </w:r>
          </w:p>
        </w:tc>
        <w:tc>
          <w:tcPr>
            <w:tcW w:type="dxa" w:w="2434"/>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CAF, T-260 delamination, 1,000 h at 85/85</w:t>
            </w:r>
          </w:p>
        </w:tc>
        <w:tc>
          <w:tcPr>
            <w:tcW w:type="dxa" w:w="1123"/>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Pre-production</w:t>
            </w:r>
          </w:p>
        </w:tc>
      </w:tr>
      <w:tr>
        <w:trPr>
          <w:cantSplit/>
          <w:tblHeader w:val="false"/>
        </w:trPr>
        <w:tc>
          <w:tcPr>
            <w:tcW w:type="dxa" w:w="1498"/>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Harvested LPDDR6 (SC-1B only)</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Full-speed functional and margin test at all corners; retention test</w:t>
            </w:r>
          </w:p>
        </w:tc>
        <w:tc>
          <w:tcPr>
            <w:tcW w:type="dxa" w:w="205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Reflow survivability if re-balled</w:t>
            </w:r>
          </w:p>
        </w:tc>
        <w:tc>
          <w:tcPr>
            <w:tcW w:type="dxa" w:w="2434"/>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Extended burn-in; 500 h at 85 °C with continuous pattern test</w:t>
            </w:r>
          </w:p>
        </w:tc>
        <w:tc>
          <w:tcPr>
            <w:tcW w:type="dxa" w:w="1123"/>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Per-lot, not per-programme</w:t>
            </w:r>
          </w:p>
        </w:tc>
      </w:tr>
    </w:tbl>
    <w:p>
      <w:r>
        <w:br w:type="page"/>
      </w:r>
    </w:p>
    <w:p>
      <w:pPr>
        <w:pStyle w:val="Heading1"/>
        <w:spacing w:after="160" w:before="400"/>
      </w:pPr>
      <w:r>
        <w:rPr>
          <w:rFonts w:ascii="Calibri" w:cs="Calibri" w:eastAsia="Calibri" w:hAnsi="Calibri"/>
          <w:b/>
          <w:bCs/>
          <w:color w:val="1F4E5F"/>
          <w:sz w:val="32"/>
          <w:szCs w:val="32"/>
        </w:rPr>
        <w:t xml:space="preserve">Appendix H.  Requirements Traceability Matrix</w:t>
      </w:r>
    </w:p>
    <w:tbl>
      <w:tblPr>
        <w:tblW w:type="dxa" w:w="9360"/>
        <w:tblBorders>
          <w:top w:val="single" w:color="1F4E5F" w:sz="6"/>
          <w:left w:val="single" w:color="BFCFD8" w:sz="2"/>
          <w:bottom w:val="single" w:color="1F4E5F" w:sz="6"/>
          <w:right w:val="single" w:color="BFCFD8" w:sz="2"/>
          <w:insideH w:val="single" w:color="BFCFD8" w:sz="2"/>
          <w:insideV w:val="single" w:color="BFCFD8" w:sz="2"/>
        </w:tblBorders>
      </w:tblPr>
      <w:tblGrid>
        <w:gridCol w:w="562"/>
        <w:gridCol w:w="2246"/>
        <w:gridCol w:w="749"/>
        <w:gridCol w:w="2621"/>
        <w:gridCol w:w="3182"/>
      </w:tblGrid>
      <w:tr>
        <w:trPr>
          <w:cantSplit/>
          <w:tblHeader/>
        </w:trPr>
        <w:tc>
          <w:tcPr>
            <w:tcW w:type="dxa" w:w="56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Req</w:t>
            </w:r>
          </w:p>
        </w:tc>
        <w:tc>
          <w:tcPr>
            <w:tcW w:type="dxa" w:w="2246"/>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Requirement</w:t>
            </w:r>
          </w:p>
        </w:tc>
        <w:tc>
          <w:tcPr>
            <w:tcW w:type="dxa" w:w="749"/>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Source</w:t>
            </w:r>
          </w:p>
        </w:tc>
        <w:tc>
          <w:tcPr>
            <w:tcW w:type="dxa" w:w="2621"/>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Design element</w:t>
            </w:r>
          </w:p>
        </w:tc>
        <w:tc>
          <w:tcPr>
            <w:tcW w:type="dxa" w:w="3182"/>
            <w:shd w:fill="1F4E5F" w:val="clear"/>
            <w:tcMar>
              <w:top w:type="dxa" w:w="60"/>
              <w:left w:type="dxa" w:w="90"/>
              <w:bottom w:type="dxa" w:w="60"/>
              <w:right w:type="dxa" w:w="90"/>
            </w:tcMar>
          </w:tcPr>
          <w:p>
            <w:pPr>
              <w:spacing w:after="30" w:before="30" w:line="240"/>
              <w:jc w:val="left"/>
            </w:pPr>
            <w:r>
              <w:rPr>
                <w:rFonts w:ascii="Calibri" w:cs="Calibri" w:eastAsia="Calibri" w:hAnsi="Calibri"/>
                <w:b/>
                <w:bCs/>
                <w:color w:val="FFFFFF"/>
                <w:sz w:val="15"/>
                <w:szCs w:val="15"/>
              </w:rPr>
              <w:t xml:space="preserve">Verification method</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WR-01</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Tier-1 read bandwidth ≥ 9 TB/s</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§4.2.1</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 × HBM4 at 9.6 GT/s, §7.4</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Memory controller simulation; silicon characterisation with a synthetic stream</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Attached capacity ≥ 600 GB</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§4.1</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192 GB Tier 1 + 512 GB Tier 2, §8.1</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Inspection</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WR-03</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Session migration of 4 GB in &lt; 3 ms</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§4.3</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CTM migration engine, §8.4</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Simulation; silicon measurement of DPARK/DRESUME latency</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Content-addressed KV deduplication</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§4.4</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Prefix Cache Engine, §8.5</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Directed test with known-sharing traces; PCE_STATS counters</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WR-05</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Hardware MoE token permutation</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§4.5</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Token Routing Unit, §7.6</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Directed test; bandwidth counter comparison against a software permutation</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WR-06</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Concurrent execution of ≥ 3 models with isolation</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§4.6</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Tile-group partitioning, §6.8</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Isolation test suite; timing side-channel assessment (Q-22)</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WR-07</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Non-perturbing activation capture</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§4.6</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Interpretability Tap, §12.6</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Bit-exact comparison of model output with the tap enabled and disabled</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WR-08</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KV at 8-bit and 4-bit with per-group scale</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§4.2.1</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KV codec, §9.4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Numerical study WP-04; downstream task metrics</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WR-09</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Attention datapath ≥ 85% of Tier-1 bandwidth</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§4.2.1</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Attention Engine, §6.4</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Cycle-accurate simulation; silicon measurement at long context</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WR-10</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Verify ≥ 8 draft tokens per step</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§4.2</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ATTN_VERIFY mode, §6.4.4</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Directed test; end-to-end speculative decode acceptance rate</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WR-11</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Weights never plaintext outside the package</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§2.1.4</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Sealed weight path, §12.3</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Formal verification of the key derivation (WP-41); red-team assessment</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WR-12</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Deterministic bit-reproducible mode</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§4.6</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Fixed reduction ordering, §9.6</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Repeated-execution bit comparison across 10⁶ steps and across parts</w:t>
            </w:r>
          </w:p>
        </w:tc>
      </w:tr>
      <w:tr>
        <w:trPr>
          <w:cantSplit/>
          <w:tblHeader w:val="false"/>
        </w:trPr>
        <w:tc>
          <w:tcPr>
            <w:tcW w:type="dxa" w:w="562"/>
            <w:shd w:fill="FFFFFF"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WR-13</w:t>
            </w:r>
          </w:p>
        </w:tc>
        <w:tc>
          <w:tcPr>
            <w:tcW w:type="dxa" w:w="2246"/>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Package power ≤ 900 W nominal</w:t>
            </w:r>
          </w:p>
        </w:tc>
        <w:tc>
          <w:tcPr>
            <w:tcW w:type="dxa" w:w="749"/>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§3.1.3</w:t>
            </w:r>
          </w:p>
        </w:tc>
        <w:tc>
          <w:tcPr>
            <w:tcW w:type="dxa" w:w="2621"/>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Power budget, §14.4</w:t>
            </w:r>
          </w:p>
        </w:tc>
        <w:tc>
          <w:tcPr>
            <w:tcW w:type="dxa" w:w="3182"/>
            <w:shd w:fill="FFFFFF"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Post-layout power estimation; silicon measurement under a worst-case pattern</w:t>
            </w:r>
          </w:p>
        </w:tc>
      </w:tr>
      <w:tr>
        <w:trPr>
          <w:cantSplit/>
          <w:tblHeader w:val="false"/>
        </w:trPr>
        <w:tc>
          <w:tcPr>
            <w:tcW w:type="dxa" w:w="562"/>
            <w:shd w:fill="EEF3F6" w:val="clear"/>
            <w:tcMar>
              <w:top w:type="dxa" w:w="60"/>
              <w:left w:type="dxa" w:w="90"/>
              <w:bottom w:type="dxa" w:w="60"/>
              <w:right w:type="dxa" w:w="90"/>
            </w:tcMar>
          </w:tcPr>
          <w:p>
            <w:pPr>
              <w:spacing w:after="30" w:before="30" w:line="240"/>
              <w:jc w:val="left"/>
            </w:pPr>
            <w:r>
              <w:rPr>
                <w:rFonts w:ascii="Calibri" w:cs="Calibri" w:eastAsia="Calibri" w:hAnsi="Calibri"/>
                <w:b/>
                <w:bCs/>
                <w:color w:val="000000"/>
                <w:sz w:val="15"/>
                <w:szCs w:val="15"/>
              </w:rPr>
              <w:t xml:space="preserve">WR-14</w:t>
            </w:r>
          </w:p>
        </w:tc>
        <w:tc>
          <w:tcPr>
            <w:tcW w:type="dxa" w:w="2246"/>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Tier-2 capacity configurable without silicon change</w:t>
            </w:r>
          </w:p>
        </w:tc>
        <w:tc>
          <w:tcPr>
            <w:tcW w:type="dxa" w:w="749"/>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§4.3.1</w:t>
            </w:r>
          </w:p>
        </w:tc>
        <w:tc>
          <w:tcPr>
            <w:tcW w:type="dxa" w:w="2621"/>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Discrete LPDDR6 on module, §8.1</w:t>
            </w:r>
          </w:p>
        </w:tc>
        <w:tc>
          <w:tcPr>
            <w:tcW w:type="dxa" w:w="3182"/>
            <w:shd w:fill="EEF3F6" w:val="clear"/>
            <w:tcMar>
              <w:top w:type="dxa" w:w="60"/>
              <w:left w:type="dxa" w:w="90"/>
              <w:bottom w:type="dxa" w:w="60"/>
              <w:right w:type="dxa" w:w="90"/>
            </w:tcMar>
          </w:tcPr>
          <w:p>
            <w:pPr>
              <w:spacing w:after="30" w:before="30" w:line="240"/>
              <w:jc w:val="left"/>
            </w:pPr>
            <w:r>
              <w:rPr>
                <w:rFonts w:ascii="Calibri" w:cs="Calibri" w:eastAsia="Calibri" w:hAnsi="Calibri"/>
                <w:b w:val="false"/>
                <w:bCs w:val="false"/>
                <w:color w:val="000000"/>
                <w:sz w:val="15"/>
                <w:szCs w:val="15"/>
              </w:rPr>
              <w:t xml:space="preserve">Build three module variants and validate all three</w:t>
            </w:r>
          </w:p>
        </w:tc>
      </w:tr>
    </w:tbl>
    <w:p>
      <w:r>
        <w:br w:type="page"/>
      </w:r>
    </w:p>
    <w:p>
      <w:pPr>
        <w:pStyle w:val="Heading1"/>
        <w:spacing w:after="160" w:before="400"/>
      </w:pPr>
      <w:r>
        <w:rPr>
          <w:rFonts w:ascii="Calibri" w:cs="Calibri" w:eastAsia="Calibri" w:hAnsi="Calibri"/>
          <w:b/>
          <w:bCs/>
          <w:color w:val="1F4E5F"/>
          <w:sz w:val="32"/>
          <w:szCs w:val="32"/>
        </w:rPr>
        <w:t xml:space="preserve">Appendix I.  Source Notes</w:t>
      </w:r>
    </w:p>
    <w:p>
      <w:pPr>
        <w:pStyle w:val="Heading2"/>
        <w:spacing w:after="120" w:before="300"/>
      </w:pPr>
      <w:r>
        <w:rPr>
          <w:rFonts w:ascii="Calibri" w:cs="Calibri" w:eastAsia="Calibri" w:hAnsi="Calibri"/>
          <w:b/>
          <w:bCs/>
          <w:color w:val="1F4E5F"/>
          <w:sz w:val="26"/>
          <w:szCs w:val="26"/>
        </w:rPr>
        <w:t xml:space="preserve">I.1  Primary sources used</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NVIDIA, "NVIDIA Blackwell Ultra Datasheet", October 2025. Supplied with this project. Source for all GB300 and HGX B300 specifications in Section 3.1 and Table 3-1.</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NVIDIA, "NVIDIA Blackwell Architecture Technical Brief", v2.1. Supplied with this project. Source for the dual-die reticle-limit description, NV-HBI bandwidth, the second-generation Transformer Engine and micro-tensor scaling, the supported data-type table, and attention-layer acceleration claims.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OpenAI, "OpenAI and Broadcom unveil LLM-optimized inference chip", 24 June 2026. Source for all first-party Jalapeño claims.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Tom's Hardware (A. Shilov), "Broadcom and OpenAI unveil custom-built Jalapeño inference processor", 24 June 2026. Source for the die-size estimate of approximately 840 mm², the six-HBM package reading, the structural dummy dies, and the observation that firms disclosed almost no specifications. The estimate is that publication's, adopted here with its own caveats.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JEDEC, JESD270-4 HBM4 standard, and JEDEC press material, April 2025: 2,048-bit interface, 32 channels with two pseudo-channels, up to 8 GT/s baseline and 2 TB/s per stack, vendor-selectable VDDQ and VDDC, capacity to 64 GB per stack.</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JEDEC press material on SPHBM4, December 2025: 512 data signals with 4:1 serialisation for organic-substrate mounting. Relevant to open question Q-08 and to a possible Tier-1 alternative not pursued here.</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Public reporting on Samsung HBM4 mass production (February 2026), including 4 nm logic base die, 12-high stacking, and demonstrated pin rates above the JEDEC baseline; and SK hynix 16-high roadmap statements. Basis for the 9.6 GT/s and 48 GB assumptions in Table 7-4.</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Published TSMC wafer pricing surveys for 2026, giving approximately $20,000 for N3-class, $18,500 for N5/N4, and $9,500 for N7/N6-class 300 mm wafers, with N2 estimated at 50% above N3. Basis for the $31,000 and $9,800 figures used for 2028.</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TSMC 2026 North America Technology Symposium reporting: 5.5-reticle CoWoS in production with a 14-reticle roadmap for 2028; COUPE-on-substrate co-packaged optics from 2026. Basis for Sections 14.5 and 11.6.</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Published CoWoS capacity projections of 120,000–130,000 wafer starts per month by end 2026. Basis for the allocation analysis in Section 16.3.</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AWS Trainium3 published specifications: TSMC N3P, 2.52 PFLOPS MXFP8, eight NeuronCore-v4 engines with 128×128 BF16 and 512×128 MXFP8 arrays and 32 MiB SRAM each, 144 GB HBM3E at 4.9 TB/s, 2 TB/s NeuronLink-v4. Basis for Table 3-2 and the SRAM-ratio observation in Section 3.3.</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Anthropic public statements on compute partnerships (AWS Trainium through Trainium4, Google TPU capacity, the Broadcom relationship) and on the establishment of an in-house silicon team, August 2026. Basis for Section 2.1.</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Published literature on e-waste metal recovery: UN estimates of $91 bn of recoverable metal in 2022 e-waste; gold concentrations of approximately 250 g/tonne in mixed e-waste against 1–10 g/tonne in associated waste; and industrial bio-recovery plants operating at 3,000 t/year scale. Basis for Section 15.5.</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Review literature on recycled interconnect metals in semiconductor assembly and packaging, covering recycled Au wire and recycled Cu deployment and their reliability considerations. Basis for Section 15.2.</w:t>
      </w:r>
    </w:p>
    <w:p>
      <w:pPr>
        <w:pStyle w:val="Heading2"/>
        <w:spacing w:after="120" w:before="300"/>
      </w:pPr>
      <w:r>
        <w:rPr>
          <w:rFonts w:ascii="Calibri" w:cs="Calibri" w:eastAsia="Calibri" w:hAnsi="Calibri"/>
          <w:b/>
          <w:bCs/>
          <w:color w:val="1F4E5F"/>
          <w:sz w:val="26"/>
          <w:szCs w:val="26"/>
        </w:rPr>
        <w:t xml:space="preserve">I.2  Sources for the internal reference documents</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PROMETHEUS LLM Inference Accelerator, Comprehensive Engineering Specifications v1.0, supplied with this project. Reconciled in Section 21.1.</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"Claude Cortex (C2)" revised master framework outline, supplied with this project. Reconciled in Section 21.2.</w:t>
      </w:r>
    </w:p>
    <w:p>
      <w:pPr>
        <w:pStyle w:val="ListParagraph"/>
        <w:numPr>
          <w:ilvl w:val="0"/>
          <w:numId w:val="3"/>
        </w:numPr>
        <w:spacing w:after="60" w:line="264"/>
      </w:pPr>
      <w:r>
        <w:rPr>
          <w:rFonts w:ascii="Calibri" w:cs="Calibri" w:eastAsia="Calibri" w:hAnsi="Calibri"/>
          <w:b w:val="false"/>
          <w:bCs w:val="false"/>
          <w:i w:val="false"/>
          <w:iCs w:val="false"/>
          <w:sz w:val="21"/>
          <w:szCs w:val="21"/>
        </w:rPr>
        <w:t xml:space="preserve">The Claude-style accelerator overview and the Jalapeño-response notes supplied with this project, which contributed the KV-cache-fabric concept, the chiplet framing, and several of the counter-Jalapeño directions (HBM4, large SRAM, sparsity engines, speculative decoding cores, co-packaged optics, state-space acceleration, sub-2 nm nodes, backside power) that Sections 6–11 either adopt or explicitly decline.</w:t>
      </w:r>
    </w:p>
    <w:p>
      <w:pPr>
        <w:pStyle w:val="Heading2"/>
        <w:spacing w:after="120" w:before="300"/>
      </w:pPr>
      <w:r>
        <w:rPr>
          <w:rFonts w:ascii="Calibri" w:cs="Calibri" w:eastAsia="Calibri" w:hAnsi="Calibri"/>
          <w:b/>
          <w:bCs/>
          <w:color w:val="1F4E5F"/>
          <w:sz w:val="26"/>
          <w:szCs w:val="26"/>
        </w:rPr>
        <w:t xml:space="preserve">I.3  Figures that are the author's own estimates</w:t>
      </w:r>
    </w:p>
    <w:p>
      <w:pPr>
        <w:spacing w:after="140" w:line="276"/>
        <w:jc w:val="left"/>
      </w:pPr>
      <w:r>
        <w:rPr>
          <w:rFonts w:ascii="Calibri" w:cs="Calibri" w:eastAsia="Calibri" w:hAnsi="Calibri"/>
          <w:b w:val="false"/>
          <w:bCs w:val="false"/>
          <w:i w:val="false"/>
          <w:iCs w:val="false"/>
          <w:color w:val="000000"/>
          <w:sz w:val="21"/>
          <w:szCs w:val="21"/>
        </w:rPr>
        <w:t xml:space="preserve">The following carry no external source and are the author's judgement. They are listed together so that a reviewer can find them quickly: all Tier-C power figures in Table 14-3; all die areas and floorplan allocations in Figure 14-1; the parking ratios of Table 4-3; the phase energy shares of Table 4-2; the SoIC bond yield of 97.2%; the HBM4 stack price of $420 and LPDDR6 price of $3.50/GB; the codec compression factor of 18%; the efficiency factors η of 0.82 and 0.78; the deduplication factor of 2.4×; the thermal resistances of Figure 14-3; all NRE figures in Table 17-3; and all collective latencies in Table 11-2.</w:t>
      </w:r>
    </w:p>
    <w:p>
      <w:pPr>
        <w:spacing w:after="140" w:line="276"/>
        <w:jc w:val="left"/>
      </w:pPr>
      <w:r>
        <w:rPr>
          <w:rFonts w:ascii="Calibri" w:cs="Calibri" w:eastAsia="Calibri" w:hAnsi="Calibri"/>
          <w:b w:val="false"/>
          <w:bCs w:val="false"/>
          <w:i w:val="false"/>
          <w:iCs w:val="false"/>
          <w:color w:val="000000"/>
          <w:sz w:val="21"/>
          <w:szCs w:val="21"/>
        </w:rPr>
        <w:t xml:space="preserve">That is a long list, and it is roughly half the numbers in the document. It is given in full because the alternative — leaving a reader to guess which figures are grounded — would make the grounded ones less useful too.</w:t>
      </w:r>
    </w:p>
    <w:p>
      <w:pPr>
        <w:spacing w:after="300"/>
      </w:pPr>
      <w:r>
        <w:rPr>
          <w:sz w:val="6"/>
          <w:szCs w:val="6"/>
        </w:rPr>
        <w:t xml:space="preserve"/>
      </w:r>
    </w:p>
    <w:p>
      <w:pPr>
        <w:spacing w:after="140" w:line="276"/>
        <w:jc w:val="center"/>
      </w:pPr>
      <w:r>
        <w:rPr>
          <w:rFonts w:ascii="Calibri" w:cs="Calibri" w:eastAsia="Calibri" w:hAnsi="Calibri"/>
          <w:b/>
          <w:bCs/>
          <w:i w:val="false"/>
          <w:iCs w:val="false"/>
          <w:color w:val="000000"/>
          <w:sz w:val="21"/>
          <w:szCs w:val="21"/>
        </w:rPr>
        <w:t xml:space="preserve">END OF SPECIFICATION</w:t>
      </w:r>
    </w:p>
    <w:p>
      <w:pPr>
        <w:spacing w:after="140" w:line="276"/>
        <w:jc w:val="center"/>
      </w:pPr>
      <w:r>
        <w:rPr>
          <w:rFonts w:ascii="Calibri" w:cs="Calibri" w:eastAsia="Calibri" w:hAnsi="Calibri"/>
          <w:b w:val="false"/>
          <w:bCs w:val="false"/>
          <w:i w:val="false"/>
          <w:iCs w:val="false"/>
          <w:color w:val="000000"/>
          <w:sz w:val="21"/>
          <w:szCs w:val="21"/>
        </w:rPr>
        <w:t xml:space="preserve">SC1-PDS-0001 Revision A  ·  7 August 2026</w:t>
      </w:r>
    </w:p>
    <w:sectPr>
      <w:headerReference w:type="default" r:id="rId7"/>
      <w:footerReference w:type="default" r:id="rId8"/>
      <w:pgSz w:w="12240" w:h="15840" w:orient="portrait"/>
      <w:pgMar w:top="1367" w:right="1440" w:bottom="1296" w:left="1440" w:header="720" w:footer="6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SC1-PDS-0001-A          </w:t>
    </w:r>
    <w:r>
      <w:rPr>
        <w:b/>
        <w:bCs/>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pBdr>
      <w:jc w:val="right"/>
    </w:pPr>
    <w:r>
      <w:rPr>
        <w:color w:val="595959"/>
        <w:sz w:val="15"/>
        <w:szCs w:val="15"/>
      </w:rPr>
      <w:t xml:space="preserve">SCINTILLA COBALTI (SC-1)  ·  Preliminary Design Specification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7A4E2E"/>
      <w:sz w:val="23"/>
      <w:szCs w:val="23"/>
    </w:rPr>
  </w:style>
  <w:style w:type="paragraph" w:styleId="Heading4">
    <w:name w:val="Heading 4"/>
    <w:basedOn w:val="Normal"/>
    <w:next w:val="Normal"/>
    <w:qFormat/>
    <w:rPr>
      <w:rFonts w:ascii="Calibri" w:cs="Calibri" w:eastAsia="Calibri" w:hAnsi="Calibri"/>
      <w:b/>
      <w:bCs/>
      <w:i/>
      <w:i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Scintilla Cobalti (SC-1) — Preliminary Design Specification</dc:title>
  <dc:creator>Claude (Anthropic)</dc:creator>
  <dc:description>Chiplet-partitioned LLM inference accelerator specification, Revision A</dc:description>
  <cp:lastModifiedBy>Un-named</cp:lastModifiedBy>
  <cp:revision>1</cp:revision>
  <dcterms:created xsi:type="dcterms:W3CDTF">2026-08-07T12:32:23.878Z</dcterms:created>
  <dcterms:modified xsi:type="dcterms:W3CDTF">2026-08-07T12:32:23.878Z</dcterms:modified>
</cp:coreProperties>
</file>

<file path=docProps/custom.xml><?xml version="1.0" encoding="utf-8"?>
<Properties xmlns="http://schemas.openxmlformats.org/officeDocument/2006/custom-properties" xmlns:vt="http://schemas.openxmlformats.org/officeDocument/2006/docPropsVTypes"/>
</file>