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57" w:after="440"/>
        <w:jc w:val="center"/>
      </w:pPr>
      <w:r>
        <w:rPr>
          <w:rFonts w:ascii="Times New Roman" w:hAnsi="Times New Roman" w:eastAsia="Times New Roman" w:cs="Times New Roman"/>
          <w:b/>
          <w:i w:val="0"/>
          <w:caps w:val="0"/>
          <w:color w:val="000000"/>
          <w:sz w:val="36"/>
        </w:rPr>
        <w:t>B.Tech. BCSE497J - Project-I</w:t>
      </w:r>
    </w:p>
    <w:p>
      <w:pPr>
        <w:keepNext w:val="0"/>
        <w:spacing w:line="360" w:lineRule="auto" w:before="57" w:after="480"/>
        <w:jc w:val="center"/>
      </w:pPr>
      <w:r>
        <w:rPr>
          <w:rFonts w:ascii="Times New Roman" w:hAnsi="Times New Roman" w:eastAsia="Times New Roman" w:cs="Times New Roman"/>
          <w:b/>
          <w:i w:val="0"/>
          <w:caps w:val="0"/>
          <w:color w:val="000000"/>
          <w:sz w:val="36"/>
        </w:rPr>
        <w:t>SYSTEM AND METHOD FOR COUNTERFACTUAL-DRIVEN ADAPTIVE SECURITY CONTROL AND VERIFIED MODEL UPDATING IN EDGE-DEPLOYED DIGITAL TWINS FOR CONSUMER INTERNET OF THINGS NETWORKS</w:t>
      </w:r>
    </w:p>
    <w:p>
      <w:pPr>
        <w:keepNext w:val="0"/>
        <w:spacing w:line="360" w:lineRule="auto" w:before="0" w:after="200"/>
        <w:jc w:val="center"/>
      </w:pPr>
      <w:r>
        <w:rPr>
          <w:rFonts w:ascii="Times New Roman" w:hAnsi="Times New Roman" w:eastAsia="Times New Roman" w:cs="Times New Roman"/>
          <w:b w:val="0"/>
          <w:i/>
          <w:caps w:val="0"/>
          <w:color w:val="000000"/>
          <w:sz w:val="28"/>
        </w:rPr>
        <w:t>Submitted in partial fulfillment of the requirements for the degree of</w:t>
      </w:r>
    </w:p>
    <w:p>
      <w:pPr>
        <w:keepNext w:val="0"/>
        <w:spacing w:line="360" w:lineRule="auto" w:before="0" w:after="80"/>
        <w:jc w:val="center"/>
      </w:pPr>
      <w:r>
        <w:rPr>
          <w:rFonts w:ascii="Times New Roman" w:hAnsi="Times New Roman" w:eastAsia="Times New Roman" w:cs="Times New Roman"/>
          <w:b/>
          <w:i w:val="0"/>
          <w:caps w:val="0"/>
          <w:color w:val="000000"/>
          <w:sz w:val="38"/>
        </w:rPr>
        <w:t>Bachelor of Technology</w:t>
      </w:r>
    </w:p>
    <w:p>
      <w:pPr>
        <w:keepNext w:val="0"/>
        <w:spacing w:line="360" w:lineRule="auto" w:before="0" w:after="80"/>
        <w:jc w:val="center"/>
      </w:pPr>
      <w:r>
        <w:rPr>
          <w:rFonts w:ascii="Times New Roman" w:hAnsi="Times New Roman" w:eastAsia="Times New Roman" w:cs="Times New Roman"/>
          <w:b w:val="0"/>
          <w:i/>
          <w:caps w:val="0"/>
          <w:color w:val="000000"/>
          <w:sz w:val="38"/>
        </w:rPr>
        <w:t>in</w:t>
      </w:r>
    </w:p>
    <w:p>
      <w:pPr>
        <w:keepNext w:val="0"/>
        <w:spacing w:line="360" w:lineRule="auto" w:before="0" w:after="360"/>
        <w:jc w:val="center"/>
      </w:pPr>
      <w:r>
        <w:rPr>
          <w:rFonts w:ascii="Times New Roman" w:hAnsi="Times New Roman" w:eastAsia="Times New Roman" w:cs="Times New Roman"/>
          <w:b/>
          <w:i w:val="0"/>
          <w:caps w:val="0"/>
          <w:color w:val="000000"/>
          <w:sz w:val="38"/>
        </w:rPr>
        <w:t>Computer Science and Engineering</w:t>
      </w:r>
    </w:p>
    <w:p>
      <w:pPr>
        <w:keepNext w:val="0"/>
        <w:spacing w:line="360" w:lineRule="auto" w:before="0" w:after="200"/>
        <w:jc w:val="center"/>
      </w:pPr>
      <w:r>
        <w:rPr>
          <w:rFonts w:ascii="Times New Roman" w:hAnsi="Times New Roman" w:eastAsia="Times New Roman" w:cs="Times New Roman"/>
          <w:b w:val="0"/>
          <w:i/>
          <w:caps w:val="0"/>
          <w:color w:val="000000"/>
          <w:sz w:val="28"/>
        </w:rPr>
        <w:t>by</w:t>
      </w:r>
    </w:p>
    <w:tbl>
      <w:tblPr>
        <w:tblW w:type="auto" w:w="0"/>
        <w:jc w:val="center"/>
        <w:tblLook w:firstColumn="1" w:firstRow="1" w:lastColumn="0" w:lastRow="0" w:noHBand="0" w:noVBand="1" w:val="04A0"/>
      </w:tblPr>
      <w:tblGrid>
        <w:gridCol w:w="4334"/>
        <w:gridCol w:w="4334"/>
      </w:tblGrid>
      <w:tr>
        <w:tc>
          <w:tcPr>
            <w:tcW w:type="dxa" w:w="2304"/>
            <w:tcBorders>
              <w:top w:val="nil"/>
              <w:left w:val="nil"/>
              <w:bottom w:val="nil"/>
              <w:right w:val="nil"/>
              <w:insideH w:val="nil"/>
              <w:insideV w:val="nil"/>
            </w:tcBorders>
          </w:tcPr>
          <w:p>
            <w:pPr>
              <w:spacing w:line="360" w:lineRule="auto" w:before="40" w:after="40"/>
              <w:jc w:val="right"/>
            </w:pPr>
            <w:r/>
            <w:r>
              <w:rPr>
                <w:rFonts w:ascii="Times New Roman" w:hAnsi="Times New Roman" w:eastAsia="Times New Roman" w:cs="Times New Roman"/>
                <w:b/>
                <w:i w:val="0"/>
                <w:caps w:val="0"/>
                <w:color w:val="000000"/>
                <w:sz w:val="32"/>
              </w:rPr>
              <w:t>23BAI0136</w:t>
            </w:r>
          </w:p>
        </w:tc>
        <w:tc>
          <w:tcPr>
            <w:tcW w:type="dxa" w:w="4176"/>
            <w:tcBorders>
              <w:top w:val="nil"/>
              <w:left w:val="nil"/>
              <w:bottom w:val="nil"/>
              <w:right w:val="nil"/>
              <w:insideH w:val="nil"/>
              <w:insideV w:val="nil"/>
            </w:tcBorders>
          </w:tcPr>
          <w:p>
            <w:pPr>
              <w:spacing w:line="360" w:lineRule="auto" w:before="40" w:after="40"/>
              <w:jc w:val="left"/>
            </w:pPr>
            <w:r/>
            <w:r>
              <w:rPr>
                <w:rFonts w:ascii="Times New Roman" w:hAnsi="Times New Roman" w:eastAsia="Times New Roman" w:cs="Times New Roman"/>
                <w:b/>
                <w:i w:val="0"/>
                <w:caps w:val="0"/>
                <w:color w:val="000000"/>
                <w:sz w:val="32"/>
              </w:rPr>
              <w:t>ATRIK</w:t>
            </w:r>
          </w:p>
        </w:tc>
      </w:tr>
      <w:tr>
        <w:tc>
          <w:tcPr>
            <w:tcW w:type="dxa" w:w="2304"/>
            <w:tcBorders>
              <w:top w:val="nil"/>
              <w:left w:val="nil"/>
              <w:bottom w:val="nil"/>
              <w:right w:val="nil"/>
              <w:insideH w:val="nil"/>
              <w:insideV w:val="nil"/>
            </w:tcBorders>
          </w:tcPr>
          <w:p>
            <w:pPr>
              <w:spacing w:line="360" w:lineRule="auto" w:before="40" w:after="40"/>
              <w:jc w:val="right"/>
            </w:pPr>
            <w:r/>
            <w:r>
              <w:rPr>
                <w:rFonts w:ascii="Times New Roman" w:hAnsi="Times New Roman" w:eastAsia="Times New Roman" w:cs="Times New Roman"/>
                <w:b/>
                <w:i w:val="0"/>
                <w:caps w:val="0"/>
                <w:color w:val="000000"/>
                <w:sz w:val="32"/>
              </w:rPr>
              <w:t>23BCI0231</w:t>
            </w:r>
          </w:p>
        </w:tc>
        <w:tc>
          <w:tcPr>
            <w:tcW w:type="dxa" w:w="4176"/>
            <w:tcBorders>
              <w:top w:val="nil"/>
              <w:left w:val="nil"/>
              <w:bottom w:val="nil"/>
              <w:right w:val="nil"/>
              <w:insideH w:val="nil"/>
              <w:insideV w:val="nil"/>
            </w:tcBorders>
          </w:tcPr>
          <w:p>
            <w:pPr>
              <w:spacing w:line="360" w:lineRule="auto" w:before="40" w:after="40"/>
              <w:jc w:val="left"/>
            </w:pPr>
            <w:r/>
            <w:r>
              <w:rPr>
                <w:rFonts w:ascii="Times New Roman" w:hAnsi="Times New Roman" w:eastAsia="Times New Roman" w:cs="Times New Roman"/>
                <w:b/>
                <w:i w:val="0"/>
                <w:caps w:val="0"/>
                <w:color w:val="000000"/>
                <w:sz w:val="32"/>
              </w:rPr>
              <w:t>T V SAI SUSANTH</w:t>
            </w:r>
          </w:p>
        </w:tc>
      </w:tr>
      <w:tr>
        <w:tc>
          <w:tcPr>
            <w:tcW w:type="dxa" w:w="2304"/>
            <w:tcBorders>
              <w:top w:val="nil"/>
              <w:left w:val="nil"/>
              <w:bottom w:val="nil"/>
              <w:right w:val="nil"/>
              <w:insideH w:val="nil"/>
              <w:insideV w:val="nil"/>
            </w:tcBorders>
          </w:tcPr>
          <w:p>
            <w:pPr>
              <w:spacing w:line="360" w:lineRule="auto" w:before="40" w:after="40"/>
              <w:jc w:val="right"/>
            </w:pPr>
            <w:r/>
            <w:r>
              <w:rPr>
                <w:rFonts w:ascii="Times New Roman" w:hAnsi="Times New Roman" w:eastAsia="Times New Roman" w:cs="Times New Roman"/>
                <w:b/>
                <w:i w:val="0"/>
                <w:caps w:val="0"/>
                <w:color w:val="000000"/>
                <w:sz w:val="32"/>
              </w:rPr>
              <w:t>23BCT0129</w:t>
            </w:r>
          </w:p>
        </w:tc>
        <w:tc>
          <w:tcPr>
            <w:tcW w:type="dxa" w:w="4176"/>
            <w:tcBorders>
              <w:top w:val="nil"/>
              <w:left w:val="nil"/>
              <w:bottom w:val="nil"/>
              <w:right w:val="nil"/>
              <w:insideH w:val="nil"/>
              <w:insideV w:val="nil"/>
            </w:tcBorders>
          </w:tcPr>
          <w:p>
            <w:pPr>
              <w:spacing w:line="360" w:lineRule="auto" w:before="40" w:after="40"/>
              <w:jc w:val="left"/>
            </w:pPr>
            <w:r/>
            <w:r>
              <w:rPr>
                <w:rFonts w:ascii="Times New Roman" w:hAnsi="Times New Roman" w:eastAsia="Times New Roman" w:cs="Times New Roman"/>
                <w:b/>
                <w:i w:val="0"/>
                <w:caps w:val="0"/>
                <w:color w:val="000000"/>
                <w:sz w:val="32"/>
              </w:rPr>
              <w:t>PUSHPAK</w:t>
            </w:r>
          </w:p>
        </w:tc>
      </w:tr>
    </w:tbl>
    <w:p>
      <w:pPr>
        <w:keepNext w:val="0"/>
        <w:spacing w:line="240" w:lineRule="auto" w:before="0" w:after="280"/>
        <w:jc w:val="both"/>
      </w:pPr>
    </w:p>
    <w:p>
      <w:pPr>
        <w:keepNext w:val="0"/>
        <w:spacing w:line="360" w:lineRule="auto" w:before="0" w:after="200"/>
        <w:jc w:val="center"/>
      </w:pPr>
      <w:r>
        <w:rPr>
          <w:rFonts w:ascii="Times New Roman" w:hAnsi="Times New Roman" w:eastAsia="Times New Roman" w:cs="Times New Roman"/>
          <w:b w:val="0"/>
          <w:i/>
          <w:caps w:val="0"/>
          <w:color w:val="000000"/>
          <w:sz w:val="28"/>
        </w:rPr>
        <w:t>Under the Supervision of</w:t>
      </w:r>
    </w:p>
    <w:p>
      <w:pPr>
        <w:keepNext w:val="0"/>
        <w:spacing w:line="360" w:lineRule="auto" w:before="0" w:after="40"/>
        <w:jc w:val="center"/>
      </w:pPr>
      <w:r>
        <w:rPr>
          <w:rFonts w:ascii="Times New Roman" w:hAnsi="Times New Roman" w:eastAsia="Times New Roman" w:cs="Times New Roman"/>
          <w:b/>
          <w:i w:val="0"/>
          <w:caps w:val="0"/>
          <w:color w:val="000000"/>
          <w:sz w:val="32"/>
        </w:rPr>
        <w:t>Dr. JIM SOLOMON RAJA</w:t>
      </w:r>
    </w:p>
    <w:p>
      <w:pPr>
        <w:keepNext w:val="0"/>
        <w:spacing w:line="360" w:lineRule="auto" w:before="0" w:after="40"/>
        <w:jc w:val="center"/>
      </w:pPr>
      <w:r>
        <w:rPr>
          <w:rFonts w:ascii="Times New Roman" w:hAnsi="Times New Roman" w:eastAsia="Times New Roman" w:cs="Times New Roman"/>
          <w:b w:val="0"/>
          <w:i w:val="0"/>
          <w:caps w:val="0"/>
          <w:color w:val="000000"/>
          <w:sz w:val="26"/>
        </w:rPr>
        <w:t>Employee ID: 22533</w:t>
      </w:r>
    </w:p>
    <w:p>
      <w:pPr>
        <w:keepNext w:val="0"/>
        <w:spacing w:line="360" w:lineRule="auto" w:before="0" w:after="400"/>
        <w:jc w:val="center"/>
      </w:pPr>
      <w:r>
        <w:rPr>
          <w:rFonts w:ascii="Times New Roman" w:hAnsi="Times New Roman" w:eastAsia="Times New Roman" w:cs="Times New Roman"/>
          <w:b w:val="0"/>
          <w:i w:val="0"/>
          <w:caps w:val="0"/>
          <w:color w:val="000000"/>
          <w:sz w:val="26"/>
        </w:rPr>
        <w:t>School of Computer Science and Engineering (SCOPE)</w:t>
      </w:r>
    </w:p>
    <w:p>
      <w:pPr>
        <w:keepNext w:val="0"/>
        <w:spacing w:line="360" w:lineRule="auto" w:before="0" w:after="360"/>
        <w:jc w:val="center"/>
      </w:pPr>
      <w:r>
        <w:rPr>
          <w:rFonts w:ascii="Times New Roman" w:hAnsi="Times New Roman" w:eastAsia="Times New Roman" w:cs="Times New Roman"/>
          <w:b w:val="0"/>
          <w:i w:val="0"/>
          <w:caps w:val="0"/>
          <w:color w:val="000000"/>
          <w:sz w:val="26"/>
        </w:rPr>
        <w:t>Vellore Institute of Technology, Vellore - 632 014</w:t>
      </w:r>
    </w:p>
    <w:p>
      <w:pPr>
        <w:keepNext w:val="0"/>
        <w:spacing w:line="360" w:lineRule="auto" w:before="0" w:after="0"/>
        <w:jc w:val="center"/>
      </w:pPr>
      <w:r>
        <w:rPr>
          <w:rFonts w:ascii="Times New Roman" w:hAnsi="Times New Roman" w:eastAsia="Times New Roman" w:cs="Times New Roman"/>
          <w:b w:val="0"/>
          <w:i w:val="0"/>
          <w:caps w:val="0"/>
          <w:color w:val="000000"/>
          <w:sz w:val="26"/>
        </w:rPr>
        <w:t>October 2026</w:t>
      </w:r>
    </w:p>
    <w:p>
      <w:r>
        <w:br w:type="page"/>
      </w:r>
    </w:p>
    <w:p>
      <w:bookmarkStart w:id="1001" w:name="bm_declaration"/>
      <w:pPr>
        <w:keepNext/>
        <w:spacing w:line="240" w:lineRule="auto" w:before="0" w:after="280"/>
        <w:ind w:left="374"/>
        <w:jc w:val="center"/>
      </w:pPr>
      <w:r>
        <w:rPr>
          <w:rFonts w:ascii="Times New Roman" w:hAnsi="Times New Roman" w:eastAsia="Times New Roman" w:cs="Times New Roman"/>
          <w:b/>
          <w:i w:val="0"/>
          <w:caps w:val="0"/>
          <w:color w:val="000000"/>
          <w:sz w:val="28"/>
          <w:u w:val="thick"/>
        </w:rPr>
        <w:t>DECLARATION</w:t>
      </w:r>
      <w:bookmarkEnd w:id="1001"/>
    </w:p>
    <w:p>
      <w:pPr>
        <w:keepNext w:val="0"/>
        <w:spacing w:line="360" w:lineRule="auto" w:before="90" w:after="0"/>
        <w:ind w:firstLine="720" w:left="475"/>
        <w:jc w:val="both"/>
      </w:pPr>
      <w:r>
        <w:rPr>
          <w:rFonts w:ascii="Times New Roman" w:hAnsi="Times New Roman" w:eastAsia="Times New Roman" w:cs="Times New Roman"/>
          <w:b w:val="0"/>
          <w:i w:val="0"/>
          <w:caps w:val="0"/>
          <w:color w:val="000000"/>
          <w:sz w:val="24"/>
        </w:rPr>
        <w:t>We hereby declare that the project entitled “SYSTEM AND METHOD FOR COUNTERFACTUAL-DRIVEN ADAPTIVE SECURITY CONTROL AND VERIFIED MODEL UPDATING IN EDGE-DEPLOYED DIGITAL TWINS FOR CONSUMER INTERNET OF THINGS NETWORKS” submitted by us, for the award of the degree of Bachelor of Technology in Computer Science and Engineering to Vellore Institute of Technology, Vellore, is a record of bonafide work carried out by us under the supervision of Dr. JIM SOLOMON RAJA, School of Computer Science and Engineering (SCOPE).</w:t>
      </w:r>
    </w:p>
    <w:p>
      <w:pPr>
        <w:keepNext w:val="0"/>
        <w:spacing w:line="360" w:lineRule="auto" w:before="280" w:after="0"/>
        <w:ind w:firstLine="720" w:left="475"/>
        <w:jc w:val="both"/>
      </w:pPr>
      <w:r>
        <w:rPr>
          <w:rFonts w:ascii="Times New Roman" w:hAnsi="Times New Roman" w:eastAsia="Times New Roman" w:cs="Times New Roman"/>
          <w:b w:val="0"/>
          <w:i w:val="0"/>
          <w:caps w:val="0"/>
          <w:color w:val="000000"/>
          <w:sz w:val="24"/>
        </w:rPr>
        <w:t>We further declare that the work reported in this project has not been submitted and will not be submitted, either in part or in full, for the award of any other degree or diploma in this institute or any other institute or university.</w:t>
      </w:r>
    </w:p>
    <w:p>
      <w:pPr>
        <w:keepNext w:val="0"/>
        <w:spacing w:line="240" w:lineRule="auto" w:before="0" w:after="680"/>
        <w:jc w:val="both"/>
      </w:pPr>
    </w:p>
    <w:p>
      <w:pPr>
        <w:keepNext w:val="0"/>
        <w:spacing w:line="360" w:lineRule="auto" w:before="90" w:after="0"/>
        <w:ind w:left="475"/>
        <w:jc w:val="left"/>
      </w:pPr>
      <w:r>
        <w:rPr>
          <w:rFonts w:ascii="Times New Roman" w:hAnsi="Times New Roman" w:eastAsia="Times New Roman" w:cs="Times New Roman"/>
          <w:b w:val="0"/>
          <w:i w:val="0"/>
          <w:caps w:val="0"/>
          <w:color w:val="000000"/>
          <w:sz w:val="24"/>
        </w:rPr>
        <w:t>Place</w:t>
        <w:tab/>
        <w:t>: Vellore</w:t>
      </w:r>
    </w:p>
    <w:p>
      <w:pPr>
        <w:keepNext w:val="0"/>
        <w:spacing w:line="360" w:lineRule="auto" w:before="0" w:after="0"/>
        <w:ind w:left="475"/>
        <w:jc w:val="left"/>
      </w:pPr>
      <w:r>
        <w:rPr>
          <w:rFonts w:ascii="Times New Roman" w:hAnsi="Times New Roman" w:eastAsia="Times New Roman" w:cs="Times New Roman"/>
          <w:b w:val="0"/>
          <w:i w:val="0"/>
          <w:caps w:val="0"/>
          <w:color w:val="000000"/>
          <w:sz w:val="24"/>
        </w:rPr>
        <w:t>Date</w:t>
        <w:tab/>
        <w:t>:</w:t>
      </w:r>
    </w:p>
    <w:p>
      <w:pPr>
        <w:keepNext w:val="0"/>
        <w:spacing w:line="240" w:lineRule="auto" w:before="0" w:after="520"/>
        <w:jc w:val="both"/>
      </w:pPr>
    </w:p>
    <w:p>
      <w:pPr>
        <w:keepNext w:val="0"/>
        <w:spacing w:line="360" w:lineRule="auto" w:before="2" w:after="120"/>
        <w:ind w:left="6019"/>
        <w:jc w:val="left"/>
      </w:pPr>
      <w:r>
        <w:rPr>
          <w:rFonts w:ascii="Times New Roman" w:hAnsi="Times New Roman" w:eastAsia="Times New Roman" w:cs="Times New Roman"/>
          <w:b/>
          <w:i w:val="0"/>
          <w:caps w:val="0"/>
          <w:color w:val="000000"/>
          <w:sz w:val="24"/>
        </w:rPr>
        <w:t>Signature of the Candidates</w:t>
      </w:r>
    </w:p>
    <w:p>
      <w:pPr>
        <w:keepNext w:val="0"/>
        <w:spacing w:line="360" w:lineRule="auto" w:before="0" w:after="40"/>
        <w:ind w:left="6019"/>
        <w:jc w:val="left"/>
      </w:pPr>
      <w:r>
        <w:rPr>
          <w:rFonts w:ascii="Times New Roman" w:hAnsi="Times New Roman" w:eastAsia="Times New Roman" w:cs="Times New Roman"/>
          <w:b w:val="0"/>
          <w:i w:val="0"/>
          <w:caps w:val="0"/>
          <w:color w:val="000000"/>
          <w:sz w:val="24"/>
        </w:rPr>
        <w:t>ATRIK  (23BAI0136)</w:t>
      </w:r>
    </w:p>
    <w:p>
      <w:pPr>
        <w:keepNext w:val="0"/>
        <w:spacing w:line="360" w:lineRule="auto" w:before="0" w:after="40"/>
        <w:ind w:left="6019"/>
        <w:jc w:val="left"/>
      </w:pPr>
      <w:r>
        <w:rPr>
          <w:rFonts w:ascii="Times New Roman" w:hAnsi="Times New Roman" w:eastAsia="Times New Roman" w:cs="Times New Roman"/>
          <w:b w:val="0"/>
          <w:i w:val="0"/>
          <w:caps w:val="0"/>
          <w:color w:val="000000"/>
          <w:sz w:val="24"/>
        </w:rPr>
        <w:t>T V SAI SUSANTH  (23BCI0231)</w:t>
      </w:r>
    </w:p>
    <w:p>
      <w:pPr>
        <w:keepNext w:val="0"/>
        <w:spacing w:line="360" w:lineRule="auto" w:before="0" w:after="40"/>
        <w:ind w:left="6019"/>
        <w:jc w:val="left"/>
      </w:pPr>
      <w:r>
        <w:rPr>
          <w:rFonts w:ascii="Times New Roman" w:hAnsi="Times New Roman" w:eastAsia="Times New Roman" w:cs="Times New Roman"/>
          <w:b w:val="0"/>
          <w:i w:val="0"/>
          <w:caps w:val="0"/>
          <w:color w:val="000000"/>
          <w:sz w:val="24"/>
        </w:rPr>
        <w:t>PUSHPAK  (23BCT0129)</w:t>
      </w:r>
    </w:p>
    <w:p>
      <w:r>
        <w:br w:type="page"/>
      </w:r>
    </w:p>
    <w:p>
      <w:bookmarkStart w:id="1002" w:name="bm_certificate"/>
      <w:pPr>
        <w:keepNext/>
        <w:spacing w:line="240" w:lineRule="auto" w:before="0" w:after="280"/>
        <w:ind w:left="374"/>
        <w:jc w:val="center"/>
      </w:pPr>
      <w:r>
        <w:rPr>
          <w:rFonts w:ascii="Times New Roman" w:hAnsi="Times New Roman" w:eastAsia="Times New Roman" w:cs="Times New Roman"/>
          <w:b/>
          <w:i w:val="0"/>
          <w:caps w:val="0"/>
          <w:color w:val="000000"/>
          <w:sz w:val="28"/>
          <w:u w:val="thick"/>
        </w:rPr>
        <w:t>CERTIFICATE</w:t>
      </w:r>
      <w:bookmarkEnd w:id="1002"/>
    </w:p>
    <w:p>
      <w:pPr>
        <w:keepNext w:val="0"/>
        <w:spacing w:line="360" w:lineRule="auto" w:before="90" w:after="0"/>
        <w:ind w:firstLine="720" w:left="475"/>
        <w:jc w:val="both"/>
      </w:pPr>
      <w:r>
        <w:rPr>
          <w:rFonts w:ascii="Times New Roman" w:hAnsi="Times New Roman" w:eastAsia="Times New Roman" w:cs="Times New Roman"/>
          <w:b w:val="0"/>
          <w:i w:val="0"/>
          <w:caps w:val="0"/>
          <w:color w:val="000000"/>
          <w:sz w:val="24"/>
        </w:rPr>
        <w:t>This is to certify that the project entitled “SYSTEM AND METHOD FOR COUNTERFACTUAL-DRIVEN ADAPTIVE SECURITY CONTROL AND VERIFIED MODEL UPDATING IN EDGE-DEPLOYED DIGITAL TWINS FOR CONSUMER INTERNET OF THINGS NETWORKS” submitted by ATRIK (23BAI0136), T V SAI SUSANTH (23BCI0231), PUSHPAK (23BCT0129), School of Computer Science and Engineering (SCOPE), Vellore Institute of Technology, Vellore, for the award of the degree of Bachelor of Technology in Computer Science and Engineering, is a record of bonafide work carried out by them under my supervision, as per the VIT code of academic and research ethics.</w:t>
      </w:r>
    </w:p>
    <w:p>
      <w:pPr>
        <w:keepNext w:val="0"/>
        <w:spacing w:line="360" w:lineRule="auto" w:before="280" w:after="0"/>
        <w:ind w:firstLine="720" w:left="475"/>
        <w:jc w:val="both"/>
      </w:pPr>
      <w:r>
        <w:rPr>
          <w:rFonts w:ascii="Times New Roman" w:hAnsi="Times New Roman" w:eastAsia="Times New Roman" w:cs="Times New Roman"/>
          <w:b w:val="0"/>
          <w:i w:val="0"/>
          <w:caps w:val="0"/>
          <w:color w:val="000000"/>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pPr>
        <w:keepNext w:val="0"/>
        <w:spacing w:line="240" w:lineRule="auto" w:before="0" w:after="600"/>
        <w:jc w:val="both"/>
      </w:pPr>
    </w:p>
    <w:p>
      <w:pPr>
        <w:keepNext w:val="0"/>
        <w:spacing w:line="360" w:lineRule="auto" w:before="161" w:after="0"/>
        <w:ind w:left="475"/>
        <w:jc w:val="left"/>
      </w:pPr>
      <w:r>
        <w:rPr>
          <w:rFonts w:ascii="Times New Roman" w:hAnsi="Times New Roman" w:eastAsia="Times New Roman" w:cs="Times New Roman"/>
          <w:b w:val="0"/>
          <w:i w:val="0"/>
          <w:caps w:val="0"/>
          <w:color w:val="000000"/>
          <w:sz w:val="24"/>
        </w:rPr>
        <w:t>Place</w:t>
        <w:tab/>
        <w:t>: Vellore</w:t>
      </w:r>
    </w:p>
    <w:p>
      <w:pPr>
        <w:keepNext w:val="0"/>
        <w:spacing w:line="360" w:lineRule="auto" w:before="137" w:after="0"/>
        <w:ind w:left="475"/>
        <w:jc w:val="left"/>
      </w:pPr>
      <w:r>
        <w:rPr>
          <w:rFonts w:ascii="Times New Roman" w:hAnsi="Times New Roman" w:eastAsia="Times New Roman" w:cs="Times New Roman"/>
          <w:b w:val="0"/>
          <w:i w:val="0"/>
          <w:caps w:val="0"/>
          <w:color w:val="000000"/>
          <w:sz w:val="24"/>
        </w:rPr>
        <w:t>Date</w:t>
        <w:tab/>
        <w:t>:</w:t>
      </w:r>
    </w:p>
    <w:p>
      <w:pPr>
        <w:keepNext w:val="0"/>
        <w:spacing w:line="240" w:lineRule="auto" w:before="0" w:after="440"/>
        <w:jc w:val="both"/>
      </w:pPr>
    </w:p>
    <w:p>
      <w:pPr>
        <w:keepNext w:val="0"/>
        <w:spacing w:line="360" w:lineRule="auto" w:before="137" w:after="40"/>
        <w:ind w:left="475"/>
        <w:jc w:val="left"/>
      </w:pPr>
      <w:r>
        <w:rPr>
          <w:rFonts w:ascii="Times New Roman" w:hAnsi="Times New Roman" w:eastAsia="Times New Roman" w:cs="Times New Roman"/>
          <w:b/>
          <w:i w:val="0"/>
          <w:caps w:val="0"/>
          <w:color w:val="000000"/>
          <w:sz w:val="24"/>
        </w:rPr>
        <w:t>Signature of the Guide</w:t>
      </w:r>
    </w:p>
    <w:p>
      <w:pPr>
        <w:keepNext w:val="0"/>
        <w:spacing w:line="360" w:lineRule="auto" w:before="0" w:after="0"/>
        <w:ind w:left="475"/>
        <w:jc w:val="left"/>
      </w:pPr>
      <w:r>
        <w:rPr>
          <w:rFonts w:ascii="Times New Roman" w:hAnsi="Times New Roman" w:eastAsia="Times New Roman" w:cs="Times New Roman"/>
          <w:b w:val="0"/>
          <w:i w:val="0"/>
          <w:caps w:val="0"/>
          <w:color w:val="000000"/>
          <w:sz w:val="24"/>
        </w:rPr>
        <w:t>Dr. JIM SOLOMON RAJA</w:t>
      </w:r>
    </w:p>
    <w:p>
      <w:pPr>
        <w:keepNext w:val="0"/>
        <w:spacing w:line="360" w:lineRule="auto" w:before="0" w:after="0"/>
        <w:ind w:left="475"/>
        <w:jc w:val="left"/>
      </w:pPr>
      <w:r>
        <w:rPr>
          <w:rFonts w:ascii="Times New Roman" w:hAnsi="Times New Roman" w:eastAsia="Times New Roman" w:cs="Times New Roman"/>
          <w:b w:val="0"/>
          <w:i w:val="0"/>
          <w:caps w:val="0"/>
          <w:color w:val="000000"/>
          <w:sz w:val="24"/>
        </w:rPr>
        <w:t>Employee ID: 22533</w:t>
      </w:r>
    </w:p>
    <w:p>
      <w:pPr>
        <w:keepNext w:val="0"/>
        <w:spacing w:line="240" w:lineRule="auto" w:before="0" w:after="600"/>
        <w:jc w:val="both"/>
      </w:pPr>
    </w:p>
    <w:p>
      <w:pPr>
        <w:keepNext w:val="0"/>
        <w:spacing w:line="360" w:lineRule="auto" w:before="0" w:after="520"/>
        <w:jc w:val="right"/>
      </w:pPr>
      <w:r>
        <w:rPr>
          <w:rFonts w:ascii="Times New Roman" w:hAnsi="Times New Roman" w:eastAsia="Times New Roman" w:cs="Times New Roman"/>
          <w:b/>
          <w:i w:val="0"/>
          <w:caps w:val="0"/>
          <w:color w:val="000000"/>
          <w:sz w:val="24"/>
        </w:rPr>
        <w:t>Examiner(s)</w:t>
      </w:r>
    </w:p>
    <w:p>
      <w:pPr>
        <w:keepNext w:val="0"/>
        <w:spacing w:line="360" w:lineRule="auto" w:before="0" w:after="0"/>
        <w:jc w:val="center"/>
      </w:pPr>
      <w:r>
        <w:rPr>
          <w:rFonts w:ascii="Times New Roman" w:hAnsi="Times New Roman" w:eastAsia="Times New Roman" w:cs="Times New Roman"/>
          <w:b/>
          <w:i w:val="0"/>
          <w:caps w:val="0"/>
          <w:color w:val="000000"/>
          <w:sz w:val="24"/>
        </w:rPr>
        <w:t>&lt;&lt; Head of the Department &gt;&gt;</w:t>
      </w:r>
    </w:p>
    <w:p>
      <w:pPr>
        <w:keepNext w:val="0"/>
        <w:spacing w:line="360" w:lineRule="auto" w:before="0" w:after="0"/>
        <w:jc w:val="center"/>
      </w:pPr>
      <w:r>
        <w:rPr>
          <w:rFonts w:ascii="Times New Roman" w:hAnsi="Times New Roman" w:eastAsia="Times New Roman" w:cs="Times New Roman"/>
          <w:b/>
          <w:i w:val="0"/>
          <w:caps w:val="0"/>
          <w:color w:val="000000"/>
          <w:sz w:val="24"/>
        </w:rPr>
        <w:t>Computer Science and Engineering</w:t>
      </w:r>
    </w:p>
    <w:p>
      <w:pPr>
        <w:sectPr>
          <w:footerReference w:type="default" r:id="rId9"/>
          <w:pgSz w:w="11909" w:h="16834"/>
          <w:pgMar w:top="1440" w:right="1440" w:bottom="1440" w:left="1800" w:header="720" w:footer="720" w:gutter="0"/>
          <w:cols w:space="720"/>
          <w:docGrid w:linePitch="360"/>
          <w:pgNumType w:fmt="decimal" w:start="1"/>
        </w:sectPr>
      </w:pPr>
    </w:p>
    <w:p>
      <w:r>
        <w:br w:type="page"/>
      </w:r>
    </w:p>
    <w:p>
      <w:bookmarkStart w:id="1003" w:name="bm_acknowledgements"/>
      <w:pPr>
        <w:keepNext/>
        <w:spacing w:line="240" w:lineRule="auto" w:before="0" w:after="280"/>
        <w:ind w:left="374"/>
        <w:jc w:val="center"/>
      </w:pPr>
      <w:r>
        <w:rPr>
          <w:rFonts w:ascii="Times New Roman" w:hAnsi="Times New Roman" w:eastAsia="Times New Roman" w:cs="Times New Roman"/>
          <w:b/>
          <w:i w:val="0"/>
          <w:caps w:val="0"/>
          <w:color w:val="000000"/>
          <w:sz w:val="28"/>
          <w:u w:val="thick"/>
        </w:rPr>
        <w:t>ACKNOWLEDGEMENTS</w:t>
      </w:r>
      <w:bookmarkEnd w:id="1003"/>
    </w:p>
    <w:p>
      <w:pPr>
        <w:keepNext w:val="0"/>
        <w:spacing w:line="360" w:lineRule="auto" w:before="0" w:after="200"/>
        <w:ind w:firstLine="374"/>
        <w:jc w:val="both"/>
      </w:pPr>
      <w:r>
        <w:rPr>
          <w:rFonts w:ascii="Times New Roman" w:hAnsi="Times New Roman" w:eastAsia="Times New Roman" w:cs="Times New Roman"/>
          <w:b w:val="0"/>
          <w:i w:val="0"/>
          <w:caps w:val="0"/>
          <w:color w:val="000000"/>
          <w:sz w:val="24"/>
        </w:rPr>
        <w:t>We are deeply grateful to the management of Vellore Institute of Technology (VIT) for providing us with the opportunity and the resources to undertake this project. The laboratory facilities and the academic environment made it possible to build and evaluate the system described in this report.</w:t>
      </w:r>
    </w:p>
    <w:p>
      <w:pPr>
        <w:keepNext w:val="0"/>
        <w:spacing w:line="360" w:lineRule="auto" w:before="0" w:after="200"/>
        <w:ind w:firstLine="374"/>
        <w:jc w:val="both"/>
      </w:pPr>
      <w:r>
        <w:rPr>
          <w:rFonts w:ascii="Times New Roman" w:hAnsi="Times New Roman" w:eastAsia="Times New Roman" w:cs="Times New Roman"/>
          <w:b w:val="0"/>
          <w:i w:val="0"/>
          <w:caps w:val="0"/>
          <w:color w:val="000000"/>
          <w:sz w:val="24"/>
        </w:rPr>
        <w:t>Our sincere thanks to Dr. Jaisankar N, the Dean of the School of Computer Science and Engineering (SCOPE), for his unwavering support and encouragement throughout the course of this work.</w:t>
      </w:r>
    </w:p>
    <w:p>
      <w:pPr>
        <w:keepNext w:val="0"/>
        <w:spacing w:line="360" w:lineRule="auto" w:before="0" w:after="200"/>
        <w:ind w:firstLine="374"/>
        <w:jc w:val="both"/>
      </w:pPr>
      <w:r>
        <w:rPr>
          <w:rFonts w:ascii="Times New Roman" w:hAnsi="Times New Roman" w:eastAsia="Times New Roman" w:cs="Times New Roman"/>
          <w:b w:val="0"/>
          <w:i w:val="0"/>
          <w:caps w:val="0"/>
          <w:color w:val="000000"/>
          <w:sz w:val="24"/>
        </w:rPr>
        <w:t>We express our profound appreciation to &lt;&lt; Head of the Department &gt;&gt;, the Head of the Department, for the insightful guidance and continuous encouragement that shaped the direction of this project.</w:t>
      </w:r>
    </w:p>
    <w:p>
      <w:pPr>
        <w:keepNext w:val="0"/>
        <w:spacing w:line="360" w:lineRule="auto" w:before="0" w:after="200"/>
        <w:ind w:firstLine="374"/>
        <w:jc w:val="both"/>
      </w:pPr>
      <w:r>
        <w:rPr>
          <w:rFonts w:ascii="Times New Roman" w:hAnsi="Times New Roman" w:eastAsia="Times New Roman" w:cs="Times New Roman"/>
          <w:b w:val="0"/>
          <w:i w:val="0"/>
          <w:caps w:val="0"/>
          <w:color w:val="000000"/>
          <w:sz w:val="24"/>
        </w:rPr>
        <w:t>We are immensely thankful to our project guide, Dr. JIM SOLOMON RAJA, for his dedicated mentorship and invaluable feedback. His patience, knowledge and willingness to question our assumptions improved this work at every stage, and several of the design decisions defended in this report exist because of that scrutiny.</w:t>
      </w:r>
    </w:p>
    <w:p>
      <w:pPr>
        <w:keepNext w:val="0"/>
        <w:spacing w:line="360" w:lineRule="auto" w:before="0" w:after="200"/>
        <w:ind w:firstLine="374"/>
        <w:jc w:val="both"/>
      </w:pPr>
      <w:r>
        <w:rPr>
          <w:rFonts w:ascii="Times New Roman" w:hAnsi="Times New Roman" w:eastAsia="Times New Roman" w:cs="Times New Roman"/>
          <w:b w:val="0"/>
          <w:i w:val="0"/>
          <w:caps w:val="0"/>
          <w:color w:val="000000"/>
          <w:sz w:val="24"/>
        </w:rPr>
        <w:t>We also thank the faculty members of SCOPE for their constructive comments during the review presentations, and our families and friends for their steady encouragement.</w:t>
      </w:r>
    </w:p>
    <w:p>
      <w:pPr>
        <w:keepNext w:val="0"/>
        <w:spacing w:line="360" w:lineRule="auto" w:before="0" w:after="200"/>
        <w:ind w:firstLine="374"/>
        <w:jc w:val="both"/>
      </w:pPr>
      <w:r>
        <w:rPr>
          <w:rFonts w:ascii="Times New Roman" w:hAnsi="Times New Roman" w:eastAsia="Times New Roman" w:cs="Times New Roman"/>
          <w:b w:val="0"/>
          <w:i w:val="0"/>
          <w:caps w:val="0"/>
          <w:color w:val="000000"/>
          <w:sz w:val="24"/>
        </w:rPr>
        <w:t>Thank you all for your contributions and support.</w:t>
      </w:r>
    </w:p>
    <w:p>
      <w:pPr>
        <w:keepNext w:val="0"/>
        <w:spacing w:line="240" w:lineRule="auto" w:before="0" w:after="520"/>
        <w:jc w:val="both"/>
      </w:pPr>
    </w:p>
    <w:p>
      <w:pPr>
        <w:keepNext w:val="0"/>
        <w:spacing w:line="360" w:lineRule="auto" w:before="2" w:after="120"/>
        <w:ind w:left="6019"/>
        <w:jc w:val="left"/>
      </w:pPr>
      <w:r>
        <w:rPr>
          <w:rFonts w:ascii="Times New Roman" w:hAnsi="Times New Roman" w:eastAsia="Times New Roman" w:cs="Times New Roman"/>
          <w:b/>
          <w:i w:val="0"/>
          <w:caps w:val="0"/>
          <w:color w:val="000000"/>
          <w:sz w:val="24"/>
        </w:rPr>
        <w:t>Name of the Candidates</w:t>
      </w:r>
    </w:p>
    <w:p>
      <w:pPr>
        <w:keepNext w:val="0"/>
        <w:spacing w:line="360" w:lineRule="auto" w:before="0" w:after="40"/>
        <w:ind w:left="6019"/>
        <w:jc w:val="left"/>
      </w:pPr>
      <w:r>
        <w:rPr>
          <w:rFonts w:ascii="Times New Roman" w:hAnsi="Times New Roman" w:eastAsia="Times New Roman" w:cs="Times New Roman"/>
          <w:b w:val="0"/>
          <w:i w:val="0"/>
          <w:caps w:val="0"/>
          <w:color w:val="000000"/>
          <w:sz w:val="24"/>
        </w:rPr>
        <w:t>ATRIK  (23BAI0136)</w:t>
      </w:r>
    </w:p>
    <w:p>
      <w:pPr>
        <w:keepNext w:val="0"/>
        <w:spacing w:line="360" w:lineRule="auto" w:before="0" w:after="40"/>
        <w:ind w:left="6019"/>
        <w:jc w:val="left"/>
      </w:pPr>
      <w:r>
        <w:rPr>
          <w:rFonts w:ascii="Times New Roman" w:hAnsi="Times New Roman" w:eastAsia="Times New Roman" w:cs="Times New Roman"/>
          <w:b w:val="0"/>
          <w:i w:val="0"/>
          <w:caps w:val="0"/>
          <w:color w:val="000000"/>
          <w:sz w:val="24"/>
        </w:rPr>
        <w:t>T V SAI SUSANTH  (23BCI0231)</w:t>
      </w:r>
    </w:p>
    <w:p>
      <w:pPr>
        <w:keepNext w:val="0"/>
        <w:spacing w:line="360" w:lineRule="auto" w:before="0" w:after="40"/>
        <w:ind w:left="6019"/>
        <w:jc w:val="left"/>
      </w:pPr>
      <w:r>
        <w:rPr>
          <w:rFonts w:ascii="Times New Roman" w:hAnsi="Times New Roman" w:eastAsia="Times New Roman" w:cs="Times New Roman"/>
          <w:b w:val="0"/>
          <w:i w:val="0"/>
          <w:caps w:val="0"/>
          <w:color w:val="000000"/>
          <w:sz w:val="24"/>
        </w:rPr>
        <w:t>PUSHPAK  (23BCT0129)</w:t>
      </w:r>
    </w:p>
    <w:p>
      <w:r>
        <w:br w:type="page"/>
      </w:r>
    </w:p>
    <w:p>
      <w:pPr>
        <w:keepNext w:val="0"/>
        <w:spacing w:line="360" w:lineRule="auto" w:before="0" w:after="240"/>
        <w:jc w:val="center"/>
      </w:pPr>
      <w:r>
        <w:rPr>
          <w:rFonts w:ascii="Times New Roman" w:hAnsi="Times New Roman" w:eastAsia="Times New Roman" w:cs="Times New Roman"/>
          <w:b/>
          <w:i w:val="0"/>
          <w:caps w:val="0"/>
          <w:color w:val="000000"/>
          <w:sz w:val="28"/>
        </w:rPr>
        <w:t>TABLE OF CONTENTS</w:t>
      </w:r>
    </w:p>
    <w:tbl>
      <w:tblPr>
        <w:tblW w:type="auto" w:w="0"/>
        <w:tblLook w:firstColumn="1" w:firstRow="1" w:lastColumn="0" w:lastRow="0" w:noHBand="0" w:noVBand="1" w:val="04A0"/>
      </w:tblPr>
      <w:tblGrid>
        <w:gridCol w:w="2890"/>
        <w:gridCol w:w="2890"/>
        <w:gridCol w:w="2890"/>
      </w:tblGrid>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Sl.No</w:t>
            </w:r>
          </w:p>
        </w:tc>
        <w:tc>
          <w:tcPr>
            <w:tcW w:type="dxa" w:w="7128"/>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Contents</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Page No.</w:t>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i w:val="0"/>
                <w:caps w:val="0"/>
                <w:color w:val="000000"/>
                <w:sz w:val="24"/>
              </w:rPr>
              <w:t>Abstract</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fldChar w:fldCharType="begin"/>
            </w:r>
            <w:r>
              <w:rPr>
                <w:rFonts w:ascii="Times New Roman" w:hAnsi="Times New Roman" w:eastAsia="Times New Roman" w:cs="Times New Roman"/>
                <w:b/>
                <w:i w:val="0"/>
                <w:caps w:val="0"/>
                <w:color w:val="000000"/>
                <w:sz w:val="24"/>
              </w:rPr>
              <w:instrText xml:space="preserve"> PAGEREF bm_abstract \h </w:instrText>
            </w:r>
            <w:r>
              <w:rPr>
                <w:rFonts w:ascii="Times New Roman" w:hAnsi="Times New Roman" w:eastAsia="Times New Roman" w:cs="Times New Roman"/>
                <w:b/>
                <w:i w:val="0"/>
                <w:caps w:val="0"/>
                <w:color w:val="000000"/>
                <w:sz w:val="24"/>
              </w:rPr>
              <w:fldChar w:fldCharType="separate"/>
            </w:r>
            <w:r>
              <w:rPr>
                <w:rFonts w:ascii="Times New Roman" w:hAnsi="Times New Roman" w:eastAsia="Times New Roman" w:cs="Times New Roman"/>
                <w:b/>
                <w:i w:val="0"/>
                <w:caps w:val="0"/>
                <w:color w:val="000000"/>
                <w:sz w:val="24"/>
              </w:rPr>
              <w:t>1</w:t>
            </w:r>
            <w:r>
              <w:rPr>
                <w:rFonts w:ascii="Times New Roman" w:hAnsi="Times New Roman" w:eastAsia="Times New Roman" w:cs="Times New Roman"/>
                <w:b/>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1.</w:t>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i w:val="0"/>
                <w:caps w:val="0"/>
                <w:color w:val="000000"/>
                <w:sz w:val="24"/>
              </w:rPr>
              <w:t>INTRODUCTION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fldChar w:fldCharType="begin"/>
            </w:r>
            <w:r>
              <w:rPr>
                <w:rFonts w:ascii="Times New Roman" w:hAnsi="Times New Roman" w:eastAsia="Times New Roman" w:cs="Times New Roman"/>
                <w:b/>
                <w:i w:val="0"/>
                <w:caps w:val="0"/>
                <w:color w:val="000000"/>
                <w:sz w:val="24"/>
              </w:rPr>
              <w:instrText xml:space="preserve"> PAGEREF bm_1 \h </w:instrText>
            </w:r>
            <w:r>
              <w:rPr>
                <w:rFonts w:ascii="Times New Roman" w:hAnsi="Times New Roman" w:eastAsia="Times New Roman" w:cs="Times New Roman"/>
                <w:b/>
                <w:i w:val="0"/>
                <w:caps w:val="0"/>
                <w:color w:val="000000"/>
                <w:sz w:val="24"/>
              </w:rPr>
              <w:fldChar w:fldCharType="separate"/>
            </w:r>
            <w:r>
              <w:rPr>
                <w:rFonts w:ascii="Times New Roman" w:hAnsi="Times New Roman" w:eastAsia="Times New Roman" w:cs="Times New Roman"/>
                <w:b/>
                <w:i w:val="0"/>
                <w:caps w:val="0"/>
                <w:color w:val="000000"/>
                <w:sz w:val="24"/>
              </w:rPr>
              <w:t>1</w:t>
            </w:r>
            <w:r>
              <w:rPr>
                <w:rFonts w:ascii="Times New Roman" w:hAnsi="Times New Roman" w:eastAsia="Times New Roman" w:cs="Times New Roman"/>
                <w:b/>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1.1  Background</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bm_1_1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1.2  Motivation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bm_1_2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1.3  Scope of the Project</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bm_1_3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2.</w:t>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i w:val="0"/>
                <w:caps w:val="0"/>
                <w:color w:val="000000"/>
                <w:sz w:val="24"/>
              </w:rPr>
              <w:t>PROJECT DESCRIPTION AND GOALS</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fldChar w:fldCharType="begin"/>
            </w:r>
            <w:r>
              <w:rPr>
                <w:rFonts w:ascii="Times New Roman" w:hAnsi="Times New Roman" w:eastAsia="Times New Roman" w:cs="Times New Roman"/>
                <w:b/>
                <w:i w:val="0"/>
                <w:caps w:val="0"/>
                <w:color w:val="000000"/>
                <w:sz w:val="24"/>
              </w:rPr>
              <w:instrText xml:space="preserve"> PAGEREF bm_2 \h </w:instrText>
            </w:r>
            <w:r>
              <w:rPr>
                <w:rFonts w:ascii="Times New Roman" w:hAnsi="Times New Roman" w:eastAsia="Times New Roman" w:cs="Times New Roman"/>
                <w:b/>
                <w:i w:val="0"/>
                <w:caps w:val="0"/>
                <w:color w:val="000000"/>
                <w:sz w:val="24"/>
              </w:rPr>
              <w:fldChar w:fldCharType="separate"/>
            </w:r>
            <w:r>
              <w:rPr>
                <w:rFonts w:ascii="Times New Roman" w:hAnsi="Times New Roman" w:eastAsia="Times New Roman" w:cs="Times New Roman"/>
                <w:b/>
                <w:i w:val="0"/>
                <w:caps w:val="0"/>
                <w:color w:val="000000"/>
                <w:sz w:val="24"/>
              </w:rPr>
              <w:t>1</w:t>
            </w:r>
            <w:r>
              <w:rPr>
                <w:rFonts w:ascii="Times New Roman" w:hAnsi="Times New Roman" w:eastAsia="Times New Roman" w:cs="Times New Roman"/>
                <w:b/>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2.1  Literature Review</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bm_2_1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2.2  Research Gap</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bm_2_2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2.3  Objectives</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bm_2_3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2.4  Problem Statement</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bm_2_4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2.5  Project Plan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bm_2_5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3.</w:t>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i w:val="0"/>
                <w:caps w:val="0"/>
                <w:color w:val="000000"/>
                <w:sz w:val="24"/>
              </w:rPr>
              <w:t>TECHNICAL SPECIFICATION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fldChar w:fldCharType="begin"/>
            </w:r>
            <w:r>
              <w:rPr>
                <w:rFonts w:ascii="Times New Roman" w:hAnsi="Times New Roman" w:eastAsia="Times New Roman" w:cs="Times New Roman"/>
                <w:b/>
                <w:i w:val="0"/>
                <w:caps w:val="0"/>
                <w:color w:val="000000"/>
                <w:sz w:val="24"/>
              </w:rPr>
              <w:instrText xml:space="preserve"> PAGEREF bm_3 \h </w:instrText>
            </w:r>
            <w:r>
              <w:rPr>
                <w:rFonts w:ascii="Times New Roman" w:hAnsi="Times New Roman" w:eastAsia="Times New Roman" w:cs="Times New Roman"/>
                <w:b/>
                <w:i w:val="0"/>
                <w:caps w:val="0"/>
                <w:color w:val="000000"/>
                <w:sz w:val="24"/>
              </w:rPr>
              <w:fldChar w:fldCharType="separate"/>
            </w:r>
            <w:r>
              <w:rPr>
                <w:rFonts w:ascii="Times New Roman" w:hAnsi="Times New Roman" w:eastAsia="Times New Roman" w:cs="Times New Roman"/>
                <w:b/>
                <w:i w:val="0"/>
                <w:caps w:val="0"/>
                <w:color w:val="000000"/>
                <w:sz w:val="24"/>
              </w:rPr>
              <w:t>1</w:t>
            </w:r>
            <w:r>
              <w:rPr>
                <w:rFonts w:ascii="Times New Roman" w:hAnsi="Times New Roman" w:eastAsia="Times New Roman" w:cs="Times New Roman"/>
                <w:b/>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3.1  Requirements</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bm_3_1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3.1.1  Functional</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bm_3_1_1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3.1.2  Non-Functional</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bm_3_1_2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3.2  Feasibility Study</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bm_3_2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3.2.1  Technical Feasibility</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bm_3_2_1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3.2.2  Economic Feasibility</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bm_3_2_2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3.2.3  Social Feasibility</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bm_3_2_3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3.3  System Specification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bm_3_3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3.3.1  Hardware Specification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bm_3_3_1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3.3.2  Software Specification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bm_3_3_2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4.</w:t>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i w:val="0"/>
                <w:caps w:val="0"/>
                <w:color w:val="000000"/>
                <w:sz w:val="24"/>
              </w:rPr>
              <w:t>DESIGN APPROACH AND DETAILS</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fldChar w:fldCharType="begin"/>
            </w:r>
            <w:r>
              <w:rPr>
                <w:rFonts w:ascii="Times New Roman" w:hAnsi="Times New Roman" w:eastAsia="Times New Roman" w:cs="Times New Roman"/>
                <w:b/>
                <w:i w:val="0"/>
                <w:caps w:val="0"/>
                <w:color w:val="000000"/>
                <w:sz w:val="24"/>
              </w:rPr>
              <w:instrText xml:space="preserve"> PAGEREF bm_4 \h </w:instrText>
            </w:r>
            <w:r>
              <w:rPr>
                <w:rFonts w:ascii="Times New Roman" w:hAnsi="Times New Roman" w:eastAsia="Times New Roman" w:cs="Times New Roman"/>
                <w:b/>
                <w:i w:val="0"/>
                <w:caps w:val="0"/>
                <w:color w:val="000000"/>
                <w:sz w:val="24"/>
              </w:rPr>
              <w:fldChar w:fldCharType="separate"/>
            </w:r>
            <w:r>
              <w:rPr>
                <w:rFonts w:ascii="Times New Roman" w:hAnsi="Times New Roman" w:eastAsia="Times New Roman" w:cs="Times New Roman"/>
                <w:b/>
                <w:i w:val="0"/>
                <w:caps w:val="0"/>
                <w:color w:val="000000"/>
                <w:sz w:val="24"/>
              </w:rPr>
              <w:t>1</w:t>
            </w:r>
            <w:r>
              <w:rPr>
                <w:rFonts w:ascii="Times New Roman" w:hAnsi="Times New Roman" w:eastAsia="Times New Roman" w:cs="Times New Roman"/>
                <w:b/>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4.1  System Architecture</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bm_4_1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4.2  Design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bm_4_2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4.2.1  Data Flow Diagram</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bm_4_2_1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4.2.2  Use Case Diagram</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bm_4_2_2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4.2.3  Class Diagram</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bm_4_2_3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4.2.4  Sequence Diagram</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bm_4_2_4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5.</w:t>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i w:val="0"/>
                <w:caps w:val="0"/>
                <w:color w:val="000000"/>
                <w:sz w:val="24"/>
              </w:rPr>
              <w:t>METHODOLOGY AND TESTING</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fldChar w:fldCharType="begin"/>
            </w:r>
            <w:r>
              <w:rPr>
                <w:rFonts w:ascii="Times New Roman" w:hAnsi="Times New Roman" w:eastAsia="Times New Roman" w:cs="Times New Roman"/>
                <w:b/>
                <w:i w:val="0"/>
                <w:caps w:val="0"/>
                <w:color w:val="000000"/>
                <w:sz w:val="24"/>
              </w:rPr>
              <w:instrText xml:space="preserve"> PAGEREF bm_5 \h </w:instrText>
            </w:r>
            <w:r>
              <w:rPr>
                <w:rFonts w:ascii="Times New Roman" w:hAnsi="Times New Roman" w:eastAsia="Times New Roman" w:cs="Times New Roman"/>
                <w:b/>
                <w:i w:val="0"/>
                <w:caps w:val="0"/>
                <w:color w:val="000000"/>
                <w:sz w:val="24"/>
              </w:rPr>
              <w:fldChar w:fldCharType="separate"/>
            </w:r>
            <w:r>
              <w:rPr>
                <w:rFonts w:ascii="Times New Roman" w:hAnsi="Times New Roman" w:eastAsia="Times New Roman" w:cs="Times New Roman"/>
                <w:b/>
                <w:i w:val="0"/>
                <w:caps w:val="0"/>
                <w:color w:val="000000"/>
                <w:sz w:val="24"/>
              </w:rPr>
              <w:t>1</w:t>
            </w:r>
            <w:r>
              <w:rPr>
                <w:rFonts w:ascii="Times New Roman" w:hAnsi="Times New Roman" w:eastAsia="Times New Roman" w:cs="Times New Roman"/>
                <w:b/>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5.1  Module Description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bm_5_1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5.2  Methodology</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bm_5_2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5.3  Testing</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bm_5_3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6.</w:t>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i w:val="0"/>
                <w:caps w:val="0"/>
                <w:color w:val="000000"/>
                <w:sz w:val="24"/>
              </w:rPr>
              <w:t>PROJECT DEMONSTRATION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fldChar w:fldCharType="begin"/>
            </w:r>
            <w:r>
              <w:rPr>
                <w:rFonts w:ascii="Times New Roman" w:hAnsi="Times New Roman" w:eastAsia="Times New Roman" w:cs="Times New Roman"/>
                <w:b/>
                <w:i w:val="0"/>
                <w:caps w:val="0"/>
                <w:color w:val="000000"/>
                <w:sz w:val="24"/>
              </w:rPr>
              <w:instrText xml:space="preserve"> PAGEREF bm_6 \h </w:instrText>
            </w:r>
            <w:r>
              <w:rPr>
                <w:rFonts w:ascii="Times New Roman" w:hAnsi="Times New Roman" w:eastAsia="Times New Roman" w:cs="Times New Roman"/>
                <w:b/>
                <w:i w:val="0"/>
                <w:caps w:val="0"/>
                <w:color w:val="000000"/>
                <w:sz w:val="24"/>
              </w:rPr>
              <w:fldChar w:fldCharType="separate"/>
            </w:r>
            <w:r>
              <w:rPr>
                <w:rFonts w:ascii="Times New Roman" w:hAnsi="Times New Roman" w:eastAsia="Times New Roman" w:cs="Times New Roman"/>
                <w:b/>
                <w:i w:val="0"/>
                <w:caps w:val="0"/>
                <w:color w:val="000000"/>
                <w:sz w:val="24"/>
              </w:rPr>
              <w:t>1</w:t>
            </w:r>
            <w:r>
              <w:rPr>
                <w:rFonts w:ascii="Times New Roman" w:hAnsi="Times New Roman" w:eastAsia="Times New Roman" w:cs="Times New Roman"/>
                <w:b/>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6.1  Access Control</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bm_6_1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6.2  Walking the Twelve Steps</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bm_6_2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6.3  Demonstration on Live USB Hardware</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bm_6_3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6.4  Conclusion of a Run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bm_6_4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7.</w:t>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i w:val="0"/>
                <w:caps w:val="0"/>
                <w:color w:val="000000"/>
                <w:sz w:val="24"/>
              </w:rPr>
              <w:t>RESULT AND DISCUSSION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fldChar w:fldCharType="begin"/>
            </w:r>
            <w:r>
              <w:rPr>
                <w:rFonts w:ascii="Times New Roman" w:hAnsi="Times New Roman" w:eastAsia="Times New Roman" w:cs="Times New Roman"/>
                <w:b/>
                <w:i w:val="0"/>
                <w:caps w:val="0"/>
                <w:color w:val="000000"/>
                <w:sz w:val="24"/>
              </w:rPr>
              <w:instrText xml:space="preserve"> PAGEREF bm_7 \h </w:instrText>
            </w:r>
            <w:r>
              <w:rPr>
                <w:rFonts w:ascii="Times New Roman" w:hAnsi="Times New Roman" w:eastAsia="Times New Roman" w:cs="Times New Roman"/>
                <w:b/>
                <w:i w:val="0"/>
                <w:caps w:val="0"/>
                <w:color w:val="000000"/>
                <w:sz w:val="24"/>
              </w:rPr>
              <w:fldChar w:fldCharType="separate"/>
            </w:r>
            <w:r>
              <w:rPr>
                <w:rFonts w:ascii="Times New Roman" w:hAnsi="Times New Roman" w:eastAsia="Times New Roman" w:cs="Times New Roman"/>
                <w:b/>
                <w:i w:val="0"/>
                <w:caps w:val="0"/>
                <w:color w:val="000000"/>
                <w:sz w:val="24"/>
              </w:rPr>
              <w:t>1</w:t>
            </w:r>
            <w:r>
              <w:rPr>
                <w:rFonts w:ascii="Times New Roman" w:hAnsi="Times New Roman" w:eastAsia="Times New Roman" w:cs="Times New Roman"/>
                <w:b/>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7.1  Threat Detection Performance</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bm_7_1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7.2  Twin Consistency</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bm_7_2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7.3  Counterfactual Validation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bm_7_3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7.4  Immunization and Promotion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bm_7_4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7.5  Results on Live USB Hardware</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bm_7_5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7.6  Cost Analysis</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bm_7_6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7.7  Discussion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bm_7_7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8.</w:t>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i w:val="0"/>
                <w:caps w:val="0"/>
                <w:color w:val="000000"/>
                <w:sz w:val="24"/>
              </w:rPr>
              <w:t>CONCLUSION</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fldChar w:fldCharType="begin"/>
            </w:r>
            <w:r>
              <w:rPr>
                <w:rFonts w:ascii="Times New Roman" w:hAnsi="Times New Roman" w:eastAsia="Times New Roman" w:cs="Times New Roman"/>
                <w:b/>
                <w:i w:val="0"/>
                <w:caps w:val="0"/>
                <w:color w:val="000000"/>
                <w:sz w:val="24"/>
              </w:rPr>
              <w:instrText xml:space="preserve"> PAGEREF bm_8 \h </w:instrText>
            </w:r>
            <w:r>
              <w:rPr>
                <w:rFonts w:ascii="Times New Roman" w:hAnsi="Times New Roman" w:eastAsia="Times New Roman" w:cs="Times New Roman"/>
                <w:b/>
                <w:i w:val="0"/>
                <w:caps w:val="0"/>
                <w:color w:val="000000"/>
                <w:sz w:val="24"/>
              </w:rPr>
              <w:fldChar w:fldCharType="separate"/>
            </w:r>
            <w:r>
              <w:rPr>
                <w:rFonts w:ascii="Times New Roman" w:hAnsi="Times New Roman" w:eastAsia="Times New Roman" w:cs="Times New Roman"/>
                <w:b/>
                <w:i w:val="0"/>
                <w:caps w:val="0"/>
                <w:color w:val="000000"/>
                <w:sz w:val="24"/>
              </w:rPr>
              <w:t>1</w:t>
            </w:r>
            <w:r>
              <w:rPr>
                <w:rFonts w:ascii="Times New Roman" w:hAnsi="Times New Roman" w:eastAsia="Times New Roman" w:cs="Times New Roman"/>
                <w:b/>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8.1  Contributions</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bm_8_1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8.2  Future Work</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fldChar w:fldCharType="begin"/>
            </w:r>
            <w:r>
              <w:rPr>
                <w:rFonts w:ascii="Times New Roman" w:hAnsi="Times New Roman" w:eastAsia="Times New Roman" w:cs="Times New Roman"/>
                <w:b w:val="0"/>
                <w:i w:val="0"/>
                <w:caps w:val="0"/>
                <w:color w:val="000000"/>
                <w:sz w:val="24"/>
              </w:rPr>
              <w:instrText xml:space="preserve"> PAGEREF bm_8_2 \h </w:instrText>
            </w:r>
            <w:r>
              <w:rPr>
                <w:rFonts w:ascii="Times New Roman" w:hAnsi="Times New Roman" w:eastAsia="Times New Roman" w:cs="Times New Roman"/>
                <w:b w:val="0"/>
                <w:i w:val="0"/>
                <w:caps w:val="0"/>
                <w:color w:val="000000"/>
                <w:sz w:val="24"/>
              </w:rPr>
              <w:fldChar w:fldCharType="separate"/>
            </w:r>
            <w:r>
              <w:rPr>
                <w:rFonts w:ascii="Times New Roman" w:hAnsi="Times New Roman" w:eastAsia="Times New Roman" w:cs="Times New Roman"/>
                <w:b w:val="0"/>
                <w:i w:val="0"/>
                <w:caps w:val="0"/>
                <w:color w:val="000000"/>
                <w:sz w:val="24"/>
              </w:rPr>
              <w:t>1</w:t>
            </w:r>
            <w:r>
              <w:rPr>
                <w:rFonts w:ascii="Times New Roman" w:hAnsi="Times New Roman" w:eastAsia="Times New Roman" w:cs="Times New Roman"/>
                <w:b w:val="0"/>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9.</w:t>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i w:val="0"/>
                <w:caps w:val="0"/>
                <w:color w:val="000000"/>
                <w:sz w:val="24"/>
              </w:rPr>
              <w:t>REFERENCES</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fldChar w:fldCharType="begin"/>
            </w:r>
            <w:r>
              <w:rPr>
                <w:rFonts w:ascii="Times New Roman" w:hAnsi="Times New Roman" w:eastAsia="Times New Roman" w:cs="Times New Roman"/>
                <w:b/>
                <w:i w:val="0"/>
                <w:caps w:val="0"/>
                <w:color w:val="000000"/>
                <w:sz w:val="24"/>
              </w:rPr>
              <w:instrText xml:space="preserve"> PAGEREF bm_9 \h </w:instrText>
            </w:r>
            <w:r>
              <w:rPr>
                <w:rFonts w:ascii="Times New Roman" w:hAnsi="Times New Roman" w:eastAsia="Times New Roman" w:cs="Times New Roman"/>
                <w:b/>
                <w:i w:val="0"/>
                <w:caps w:val="0"/>
                <w:color w:val="000000"/>
                <w:sz w:val="24"/>
              </w:rPr>
              <w:fldChar w:fldCharType="separate"/>
            </w:r>
            <w:r>
              <w:rPr>
                <w:rFonts w:ascii="Times New Roman" w:hAnsi="Times New Roman" w:eastAsia="Times New Roman" w:cs="Times New Roman"/>
                <w:b/>
                <w:i w:val="0"/>
                <w:caps w:val="0"/>
                <w:color w:val="000000"/>
                <w:sz w:val="24"/>
              </w:rPr>
              <w:t>1</w:t>
            </w:r>
            <w:r>
              <w:rPr>
                <w:rFonts w:ascii="Times New Roman" w:hAnsi="Times New Roman" w:eastAsia="Times New Roman" w:cs="Times New Roman"/>
                <w:b/>
                <w:i w:val="0"/>
                <w:caps w:val="0"/>
                <w:color w:val="000000"/>
                <w:sz w:val="24"/>
              </w:rPr>
              <w:fldChar w:fldCharType="end"/>
            </w:r>
          </w:p>
        </w:tc>
      </w:tr>
      <w:tr>
        <w:tc>
          <w:tcPr>
            <w:tcW w:type="dxa" w:w="122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r>
          </w:p>
        </w:tc>
        <w:tc>
          <w:tcPr>
            <w:tcW w:type="dxa" w:w="7128"/>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i w:val="0"/>
                <w:caps w:val="0"/>
                <w:color w:val="000000"/>
                <w:sz w:val="24"/>
              </w:rPr>
              <w:t>APPENDIX A — SAMPLE CODE</w:t>
            </w:r>
          </w:p>
        </w:tc>
        <w:tc>
          <w:tcPr>
            <w:tcW w:type="dxa" w:w="158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fldChar w:fldCharType="begin"/>
            </w:r>
            <w:r>
              <w:rPr>
                <w:rFonts w:ascii="Times New Roman" w:hAnsi="Times New Roman" w:eastAsia="Times New Roman" w:cs="Times New Roman"/>
                <w:b/>
                <w:i w:val="0"/>
                <w:caps w:val="0"/>
                <w:color w:val="000000"/>
                <w:sz w:val="24"/>
              </w:rPr>
              <w:instrText xml:space="preserve"> PAGEREF bm_appendix \h </w:instrText>
            </w:r>
            <w:r>
              <w:rPr>
                <w:rFonts w:ascii="Times New Roman" w:hAnsi="Times New Roman" w:eastAsia="Times New Roman" w:cs="Times New Roman"/>
                <w:b/>
                <w:i w:val="0"/>
                <w:caps w:val="0"/>
                <w:color w:val="000000"/>
                <w:sz w:val="24"/>
              </w:rPr>
              <w:fldChar w:fldCharType="separate"/>
            </w:r>
            <w:r>
              <w:rPr>
                <w:rFonts w:ascii="Times New Roman" w:hAnsi="Times New Roman" w:eastAsia="Times New Roman" w:cs="Times New Roman"/>
                <w:b/>
                <w:i w:val="0"/>
                <w:caps w:val="0"/>
                <w:color w:val="000000"/>
                <w:sz w:val="24"/>
              </w:rPr>
              <w:t>1</w:t>
            </w:r>
            <w:r>
              <w:rPr>
                <w:rFonts w:ascii="Times New Roman" w:hAnsi="Times New Roman" w:eastAsia="Times New Roman" w:cs="Times New Roman"/>
                <w:b/>
                <w:i w:val="0"/>
                <w:caps w:val="0"/>
                <w:color w:val="000000"/>
                <w:sz w:val="24"/>
              </w:rPr>
              <w:fldChar w:fldCharType="end"/>
            </w:r>
          </w:p>
        </w:tc>
      </w:tr>
    </w:tbl>
    <w:p>
      <w:pPr>
        <w:keepNext w:val="0"/>
        <w:spacing w:line="240" w:lineRule="auto" w:before="200" w:after="0"/>
        <w:jc w:val="center"/>
      </w:pPr>
      <w:r>
        <w:rPr>
          <w:rFonts w:ascii="Times New Roman" w:hAnsi="Times New Roman" w:eastAsia="Times New Roman" w:cs="Times New Roman"/>
          <w:b w:val="0"/>
          <w:i/>
          <w:caps w:val="0"/>
          <w:color w:val="000000"/>
          <w:sz w:val="20"/>
        </w:rPr>
        <w:t>Page numbers are live fields. In Word, press Ctrl+A then F9 and choose “Update entire table” to populate them.</w:t>
      </w:r>
    </w:p>
    <w:p>
      <w:r>
        <w:br w:type="page"/>
      </w:r>
    </w:p>
    <w:p>
      <w:pPr>
        <w:keepNext w:val="0"/>
        <w:spacing w:line="360" w:lineRule="auto" w:before="0" w:after="280"/>
        <w:jc w:val="center"/>
      </w:pPr>
      <w:r>
        <w:rPr>
          <w:rFonts w:ascii="Times New Roman" w:hAnsi="Times New Roman" w:eastAsia="Times New Roman" w:cs="Times New Roman"/>
          <w:b/>
          <w:i w:val="0"/>
          <w:caps w:val="0"/>
          <w:color w:val="000000"/>
          <w:sz w:val="32"/>
        </w:rPr>
        <w:t>List of Figures</w:t>
      </w:r>
    </w:p>
    <w:tbl>
      <w:tblPr>
        <w:tblW w:type="auto" w:w="0"/>
        <w:tblLook w:firstColumn="1" w:firstRow="1" w:lastColumn="0" w:lastRow="0" w:noHBand="0" w:noVBand="1" w:val="04A0"/>
      </w:tblPr>
      <w:tblGrid>
        <w:gridCol w:w="2890"/>
        <w:gridCol w:w="2890"/>
        <w:gridCol w:w="2890"/>
      </w:tblGrid>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Figure No.</w:t>
            </w:r>
          </w:p>
        </w:tc>
        <w:tc>
          <w:tcPr>
            <w:tcW w:type="dxa" w:w="626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Title</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Page No.</w:t>
            </w:r>
          </w:p>
        </w:tc>
      </w:tr>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t>2.1</w:t>
            </w:r>
          </w:p>
        </w:tc>
        <w:tc>
          <w:tcPr>
            <w:tcW w:type="dxa" w:w="6264"/>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Project plan and milestone schedule</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r>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t>4.1</w:t>
            </w:r>
          </w:p>
        </w:tc>
        <w:tc>
          <w:tcPr>
            <w:tcW w:type="dxa" w:w="6264"/>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System architecture of the proposed framework</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r>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t>4.2</w:t>
            </w:r>
          </w:p>
        </w:tc>
        <w:tc>
          <w:tcPr>
            <w:tcW w:type="dxa" w:w="6264"/>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Data flow diagram</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r>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t>4.3</w:t>
            </w:r>
          </w:p>
        </w:tc>
        <w:tc>
          <w:tcPr>
            <w:tcW w:type="dxa" w:w="6264"/>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Use case diagram</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r>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t>4.4</w:t>
            </w:r>
          </w:p>
        </w:tc>
        <w:tc>
          <w:tcPr>
            <w:tcW w:type="dxa" w:w="6264"/>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Sequence diagram of a validation cycle</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r>
    </w:tbl>
    <w:p>
      <w:pPr>
        <w:keepNext w:val="0"/>
        <w:spacing w:line="240" w:lineRule="auto" w:before="200" w:after="0"/>
        <w:jc w:val="center"/>
      </w:pPr>
      <w:r>
        <w:rPr>
          <w:rFonts w:ascii="Times New Roman" w:hAnsi="Times New Roman" w:eastAsia="Times New Roman" w:cs="Times New Roman"/>
          <w:b w:val="0"/>
          <w:i/>
          <w:caps w:val="0"/>
          <w:color w:val="000000"/>
          <w:sz w:val="20"/>
        </w:rPr>
        <w:t>In the chapters, a figure caption appears below the figure and a table caption above the table. Captions are Times New Roman 10, centred.</w:t>
      </w:r>
    </w:p>
    <w:p>
      <w:r>
        <w:br w:type="page"/>
      </w:r>
    </w:p>
    <w:p>
      <w:pPr>
        <w:keepNext w:val="0"/>
        <w:spacing w:line="360" w:lineRule="auto" w:before="0" w:after="280"/>
        <w:jc w:val="center"/>
      </w:pPr>
      <w:r>
        <w:rPr>
          <w:rFonts w:ascii="Times New Roman" w:hAnsi="Times New Roman" w:eastAsia="Times New Roman" w:cs="Times New Roman"/>
          <w:b/>
          <w:i w:val="0"/>
          <w:caps w:val="0"/>
          <w:color w:val="000000"/>
          <w:sz w:val="32"/>
        </w:rPr>
        <w:t>List of Tables</w:t>
      </w:r>
    </w:p>
    <w:tbl>
      <w:tblPr>
        <w:tblW w:type="auto" w:w="0"/>
        <w:tblLook w:firstColumn="1" w:firstRow="1" w:lastColumn="0" w:lastRow="0" w:noHBand="0" w:noVBand="1" w:val="04A0"/>
      </w:tblPr>
      <w:tblGrid>
        <w:gridCol w:w="2890"/>
        <w:gridCol w:w="2890"/>
        <w:gridCol w:w="2890"/>
      </w:tblGrid>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Table No.</w:t>
            </w:r>
          </w:p>
        </w:tc>
        <w:tc>
          <w:tcPr>
            <w:tcW w:type="dxa" w:w="6264"/>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Title</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i w:val="0"/>
                <w:caps w:val="0"/>
                <w:color w:val="000000"/>
                <w:sz w:val="24"/>
              </w:rPr>
              <w:t>Page No.</w:t>
            </w:r>
          </w:p>
        </w:tc>
      </w:tr>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t>5.1</w:t>
            </w:r>
          </w:p>
        </w:tc>
        <w:tc>
          <w:tcPr>
            <w:tcW w:type="dxa" w:w="6264"/>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Module responsibilities</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r>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t>5.2</w:t>
            </w:r>
          </w:p>
        </w:tc>
        <w:tc>
          <w:tcPr>
            <w:tcW w:type="dxa" w:w="6264"/>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The six components of the Counterfactual Consistency Score</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r>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t>5.3</w:t>
            </w:r>
          </w:p>
        </w:tc>
        <w:tc>
          <w:tcPr>
            <w:tcW w:type="dxa" w:w="6264"/>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Test coverage by area</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r>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t>7.1</w:t>
            </w:r>
          </w:p>
        </w:tc>
        <w:tc>
          <w:tcPr>
            <w:tcW w:type="dxa" w:w="6264"/>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Edge detector performance on held-out evaluation data</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r>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t>7.2</w:t>
            </w:r>
          </w:p>
        </w:tc>
        <w:tc>
          <w:tcPr>
            <w:tcW w:type="dxa" w:w="6264"/>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Validation decisions, 13 of 13 correct</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r>
      <w:tr>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t>7.3</w:t>
            </w:r>
          </w:p>
        </w:tc>
        <w:tc>
          <w:tcPr>
            <w:tcW w:type="dxa" w:w="6264"/>
            <w:tcBorders>
              <w:top w:val="nil"/>
              <w:left w:val="nil"/>
              <w:bottom w:val="nil"/>
              <w:right w:val="nil"/>
              <w:insideH w:val="nil"/>
              <w:insideV w:val="nil"/>
            </w:tcBorders>
          </w:tcPr>
          <w:p>
            <w:pPr>
              <w:spacing w:line="240" w:lineRule="auto" w:before="40" w:after="40"/>
              <w:jc w:val="left"/>
            </w:pPr>
            <w:r/>
            <w:r>
              <w:rPr>
                <w:rFonts w:ascii="Times New Roman" w:hAnsi="Times New Roman" w:eastAsia="Times New Roman" w:cs="Times New Roman"/>
                <w:b w:val="0"/>
                <w:i w:val="0"/>
                <w:caps w:val="0"/>
                <w:color w:val="000000"/>
                <w:sz w:val="24"/>
              </w:rPr>
              <w:t>Live hardware compared with the simulated fleet</w:t>
            </w:r>
          </w:p>
        </w:tc>
        <w:tc>
          <w:tcPr>
            <w:tcW w:type="dxa" w:w="1512"/>
            <w:tcBorders>
              <w:top w:val="nil"/>
              <w:left w:val="nil"/>
              <w:bottom w:val="nil"/>
              <w:right w:val="nil"/>
              <w:insideH w:val="nil"/>
              <w:insideV w:val="nil"/>
            </w:tcBorders>
          </w:tcPr>
          <w:p>
            <w:pPr>
              <w:spacing w:line="240" w:lineRule="auto" w:before="40" w:after="40"/>
              <w:jc w:val="center"/>
            </w:pPr>
            <w:r/>
            <w:r>
              <w:rPr>
                <w:rFonts w:ascii="Times New Roman" w:hAnsi="Times New Roman" w:eastAsia="Times New Roman" w:cs="Times New Roman"/>
                <w:b w:val="0"/>
                <w:i w:val="0"/>
                <w:caps w:val="0"/>
                <w:color w:val="000000"/>
                <w:sz w:val="24"/>
              </w:rPr>
            </w:r>
          </w:p>
        </w:tc>
      </w:tr>
    </w:tbl>
    <w:p>
      <w:r>
        <w:br w:type="page"/>
      </w:r>
    </w:p>
    <w:p>
      <w:pPr>
        <w:keepNext w:val="0"/>
        <w:spacing w:line="360" w:lineRule="auto" w:before="0" w:after="280"/>
        <w:jc w:val="center"/>
      </w:pPr>
      <w:r>
        <w:rPr>
          <w:rFonts w:ascii="Times New Roman" w:hAnsi="Times New Roman" w:eastAsia="Times New Roman" w:cs="Times New Roman"/>
          <w:b/>
          <w:i w:val="0"/>
          <w:caps w:val="0"/>
          <w:color w:val="000000"/>
          <w:sz w:val="32"/>
        </w:rPr>
        <w:t>List of Abbreviations</w:t>
      </w:r>
    </w:p>
    <w:p>
      <w:pPr>
        <w:keepNext w:val="0"/>
        <w:spacing w:line="360" w:lineRule="auto" w:before="0" w:after="80"/>
        <w:ind w:left="475"/>
        <w:jc w:val="left"/>
      </w:pPr>
      <w:r>
        <w:rPr>
          <w:rFonts w:ascii="Times New Roman" w:hAnsi="Times New Roman" w:eastAsia="Times New Roman" w:cs="Times New Roman"/>
          <w:b/>
          <w:i w:val="0"/>
          <w:caps w:val="0"/>
          <w:color w:val="000000"/>
          <w:sz w:val="24"/>
        </w:rPr>
        <w:t>API</w:t>
        <w:tab/>
      </w:r>
      <w:r>
        <w:rPr>
          <w:rFonts w:ascii="Times New Roman" w:hAnsi="Times New Roman" w:eastAsia="Times New Roman" w:cs="Times New Roman"/>
          <w:b w:val="0"/>
          <w:i w:val="0"/>
          <w:caps w:val="0"/>
          <w:color w:val="000000"/>
          <w:sz w:val="24"/>
        </w:rPr>
        <w:t>Application Programming Interface</w:t>
      </w:r>
    </w:p>
    <w:p>
      <w:pPr>
        <w:keepNext w:val="0"/>
        <w:spacing w:line="360" w:lineRule="auto" w:before="0" w:after="80"/>
        <w:ind w:left="475"/>
        <w:jc w:val="left"/>
      </w:pPr>
      <w:r>
        <w:rPr>
          <w:rFonts w:ascii="Times New Roman" w:hAnsi="Times New Roman" w:eastAsia="Times New Roman" w:cs="Times New Roman"/>
          <w:b/>
          <w:i w:val="0"/>
          <w:caps w:val="0"/>
          <w:color w:val="000000"/>
          <w:sz w:val="24"/>
        </w:rPr>
        <w:t>AR</w:t>
        <w:tab/>
      </w:r>
      <w:r>
        <w:rPr>
          <w:rFonts w:ascii="Times New Roman" w:hAnsi="Times New Roman" w:eastAsia="Times New Roman" w:cs="Times New Roman"/>
          <w:b w:val="0"/>
          <w:i w:val="0"/>
          <w:caps w:val="0"/>
          <w:color w:val="000000"/>
          <w:sz w:val="24"/>
        </w:rPr>
        <w:t>Autoregressive</w:t>
      </w:r>
    </w:p>
    <w:p>
      <w:pPr>
        <w:keepNext w:val="0"/>
        <w:spacing w:line="360" w:lineRule="auto" w:before="0" w:after="80"/>
        <w:ind w:left="475"/>
        <w:jc w:val="left"/>
      </w:pPr>
      <w:r>
        <w:rPr>
          <w:rFonts w:ascii="Times New Roman" w:hAnsi="Times New Roman" w:eastAsia="Times New Roman" w:cs="Times New Roman"/>
          <w:b/>
          <w:i w:val="0"/>
          <w:caps w:val="0"/>
          <w:color w:val="000000"/>
          <w:sz w:val="24"/>
        </w:rPr>
        <w:t>CCS</w:t>
        <w:tab/>
      </w:r>
      <w:r>
        <w:rPr>
          <w:rFonts w:ascii="Times New Roman" w:hAnsi="Times New Roman" w:eastAsia="Times New Roman" w:cs="Times New Roman"/>
          <w:b w:val="0"/>
          <w:i w:val="0"/>
          <w:caps w:val="0"/>
          <w:color w:val="000000"/>
          <w:sz w:val="24"/>
        </w:rPr>
        <w:t>Counterfactual Consistency Score</w:t>
      </w:r>
    </w:p>
    <w:p>
      <w:pPr>
        <w:keepNext w:val="0"/>
        <w:spacing w:line="360" w:lineRule="auto" w:before="0" w:after="80"/>
        <w:ind w:left="475"/>
        <w:jc w:val="left"/>
      </w:pPr>
      <w:r>
        <w:rPr>
          <w:rFonts w:ascii="Times New Roman" w:hAnsi="Times New Roman" w:eastAsia="Times New Roman" w:cs="Times New Roman"/>
          <w:b/>
          <w:i w:val="0"/>
          <w:caps w:val="0"/>
          <w:color w:val="000000"/>
          <w:sz w:val="24"/>
        </w:rPr>
        <w:t>CPU</w:t>
        <w:tab/>
      </w:r>
      <w:r>
        <w:rPr>
          <w:rFonts w:ascii="Times New Roman" w:hAnsi="Times New Roman" w:eastAsia="Times New Roman" w:cs="Times New Roman"/>
          <w:b w:val="0"/>
          <w:i w:val="0"/>
          <w:caps w:val="0"/>
          <w:color w:val="000000"/>
          <w:sz w:val="24"/>
        </w:rPr>
        <w:t>Central Processing Unit</w:t>
      </w:r>
    </w:p>
    <w:p>
      <w:pPr>
        <w:keepNext w:val="0"/>
        <w:spacing w:line="360" w:lineRule="auto" w:before="0" w:after="80"/>
        <w:ind w:left="475"/>
        <w:jc w:val="left"/>
      </w:pPr>
      <w:r>
        <w:rPr>
          <w:rFonts w:ascii="Times New Roman" w:hAnsi="Times New Roman" w:eastAsia="Times New Roman" w:cs="Times New Roman"/>
          <w:b/>
          <w:i w:val="0"/>
          <w:caps w:val="0"/>
          <w:color w:val="000000"/>
          <w:sz w:val="24"/>
        </w:rPr>
        <w:t>CSV</w:t>
        <w:tab/>
      </w:r>
      <w:r>
        <w:rPr>
          <w:rFonts w:ascii="Times New Roman" w:hAnsi="Times New Roman" w:eastAsia="Times New Roman" w:cs="Times New Roman"/>
          <w:b w:val="0"/>
          <w:i w:val="0"/>
          <w:caps w:val="0"/>
          <w:color w:val="000000"/>
          <w:sz w:val="24"/>
        </w:rPr>
        <w:t>Comma-Separated Values</w:t>
      </w:r>
    </w:p>
    <w:p>
      <w:pPr>
        <w:keepNext w:val="0"/>
        <w:spacing w:line="360" w:lineRule="auto" w:before="0" w:after="80"/>
        <w:ind w:left="475"/>
        <w:jc w:val="left"/>
      </w:pPr>
      <w:r>
        <w:rPr>
          <w:rFonts w:ascii="Times New Roman" w:hAnsi="Times New Roman" w:eastAsia="Times New Roman" w:cs="Times New Roman"/>
          <w:b/>
          <w:i w:val="0"/>
          <w:caps w:val="0"/>
          <w:color w:val="000000"/>
          <w:sz w:val="24"/>
        </w:rPr>
        <w:t>DDoS</w:t>
        <w:tab/>
      </w:r>
      <w:r>
        <w:rPr>
          <w:rFonts w:ascii="Times New Roman" w:hAnsi="Times New Roman" w:eastAsia="Times New Roman" w:cs="Times New Roman"/>
          <w:b w:val="0"/>
          <w:i w:val="0"/>
          <w:caps w:val="0"/>
          <w:color w:val="000000"/>
          <w:sz w:val="24"/>
        </w:rPr>
        <w:t>Distributed Denial of Service</w:t>
      </w:r>
    </w:p>
    <w:p>
      <w:pPr>
        <w:keepNext w:val="0"/>
        <w:spacing w:line="360" w:lineRule="auto" w:before="0" w:after="80"/>
        <w:ind w:left="475"/>
        <w:jc w:val="left"/>
      </w:pPr>
      <w:r>
        <w:rPr>
          <w:rFonts w:ascii="Times New Roman" w:hAnsi="Times New Roman" w:eastAsia="Times New Roman" w:cs="Times New Roman"/>
          <w:b/>
          <w:i w:val="0"/>
          <w:caps w:val="0"/>
          <w:color w:val="000000"/>
          <w:sz w:val="24"/>
        </w:rPr>
        <w:t>DFD</w:t>
        <w:tab/>
      </w:r>
      <w:r>
        <w:rPr>
          <w:rFonts w:ascii="Times New Roman" w:hAnsi="Times New Roman" w:eastAsia="Times New Roman" w:cs="Times New Roman"/>
          <w:b w:val="0"/>
          <w:i w:val="0"/>
          <w:caps w:val="0"/>
          <w:color w:val="000000"/>
          <w:sz w:val="24"/>
        </w:rPr>
        <w:t>Data Flow Diagram</w:t>
      </w:r>
    </w:p>
    <w:p>
      <w:pPr>
        <w:keepNext w:val="0"/>
        <w:spacing w:line="360" w:lineRule="auto" w:before="0" w:after="80"/>
        <w:ind w:left="475"/>
        <w:jc w:val="left"/>
      </w:pPr>
      <w:r>
        <w:rPr>
          <w:rFonts w:ascii="Times New Roman" w:hAnsi="Times New Roman" w:eastAsia="Times New Roman" w:cs="Times New Roman"/>
          <w:b/>
          <w:i w:val="0"/>
          <w:caps w:val="0"/>
          <w:color w:val="000000"/>
          <w:sz w:val="24"/>
        </w:rPr>
        <w:t>EWMA</w:t>
        <w:tab/>
      </w:r>
      <w:r>
        <w:rPr>
          <w:rFonts w:ascii="Times New Roman" w:hAnsi="Times New Roman" w:eastAsia="Times New Roman" w:cs="Times New Roman"/>
          <w:b w:val="0"/>
          <w:i w:val="0"/>
          <w:caps w:val="0"/>
          <w:color w:val="000000"/>
          <w:sz w:val="24"/>
        </w:rPr>
        <w:t>Exponentially Weighted Moving Average</w:t>
      </w:r>
    </w:p>
    <w:p>
      <w:pPr>
        <w:keepNext w:val="0"/>
        <w:spacing w:line="360" w:lineRule="auto" w:before="0" w:after="80"/>
        <w:ind w:left="475"/>
        <w:jc w:val="left"/>
      </w:pPr>
      <w:r>
        <w:rPr>
          <w:rFonts w:ascii="Times New Roman" w:hAnsi="Times New Roman" w:eastAsia="Times New Roman" w:cs="Times New Roman"/>
          <w:b/>
          <w:i w:val="0"/>
          <w:caps w:val="0"/>
          <w:color w:val="000000"/>
          <w:sz w:val="24"/>
        </w:rPr>
        <w:t>FNR</w:t>
        <w:tab/>
      </w:r>
      <w:r>
        <w:rPr>
          <w:rFonts w:ascii="Times New Roman" w:hAnsi="Times New Roman" w:eastAsia="Times New Roman" w:cs="Times New Roman"/>
          <w:b w:val="0"/>
          <w:i w:val="0"/>
          <w:caps w:val="0"/>
          <w:color w:val="000000"/>
          <w:sz w:val="24"/>
        </w:rPr>
        <w:t>False Negative Rate</w:t>
      </w:r>
    </w:p>
    <w:p>
      <w:pPr>
        <w:keepNext w:val="0"/>
        <w:spacing w:line="360" w:lineRule="auto" w:before="0" w:after="80"/>
        <w:ind w:left="475"/>
        <w:jc w:val="left"/>
      </w:pPr>
      <w:r>
        <w:rPr>
          <w:rFonts w:ascii="Times New Roman" w:hAnsi="Times New Roman" w:eastAsia="Times New Roman" w:cs="Times New Roman"/>
          <w:b/>
          <w:i w:val="0"/>
          <w:caps w:val="0"/>
          <w:color w:val="000000"/>
          <w:sz w:val="24"/>
        </w:rPr>
        <w:t>FPR</w:t>
        <w:tab/>
      </w:r>
      <w:r>
        <w:rPr>
          <w:rFonts w:ascii="Times New Roman" w:hAnsi="Times New Roman" w:eastAsia="Times New Roman" w:cs="Times New Roman"/>
          <w:b w:val="0"/>
          <w:i w:val="0"/>
          <w:caps w:val="0"/>
          <w:color w:val="000000"/>
          <w:sz w:val="24"/>
        </w:rPr>
        <w:t>False Positive Rate</w:t>
      </w:r>
    </w:p>
    <w:p>
      <w:pPr>
        <w:keepNext w:val="0"/>
        <w:spacing w:line="360" w:lineRule="auto" w:before="0" w:after="80"/>
        <w:ind w:left="475"/>
        <w:jc w:val="left"/>
      </w:pPr>
      <w:r>
        <w:rPr>
          <w:rFonts w:ascii="Times New Roman" w:hAnsi="Times New Roman" w:eastAsia="Times New Roman" w:cs="Times New Roman"/>
          <w:b/>
          <w:i w:val="0"/>
          <w:caps w:val="0"/>
          <w:color w:val="000000"/>
          <w:sz w:val="24"/>
        </w:rPr>
        <w:t>HTTP</w:t>
        <w:tab/>
      </w:r>
      <w:r>
        <w:rPr>
          <w:rFonts w:ascii="Times New Roman" w:hAnsi="Times New Roman" w:eastAsia="Times New Roman" w:cs="Times New Roman"/>
          <w:b w:val="0"/>
          <w:i w:val="0"/>
          <w:caps w:val="0"/>
          <w:color w:val="000000"/>
          <w:sz w:val="24"/>
        </w:rPr>
        <w:t>Hypertext Transfer Protocol</w:t>
      </w:r>
    </w:p>
    <w:p>
      <w:pPr>
        <w:keepNext w:val="0"/>
        <w:spacing w:line="360" w:lineRule="auto" w:before="0" w:after="80"/>
        <w:ind w:left="475"/>
        <w:jc w:val="left"/>
      </w:pPr>
      <w:r>
        <w:rPr>
          <w:rFonts w:ascii="Times New Roman" w:hAnsi="Times New Roman" w:eastAsia="Times New Roman" w:cs="Times New Roman"/>
          <w:b/>
          <w:i w:val="0"/>
          <w:caps w:val="0"/>
          <w:color w:val="000000"/>
          <w:sz w:val="24"/>
        </w:rPr>
        <w:t>IoT</w:t>
        <w:tab/>
      </w:r>
      <w:r>
        <w:rPr>
          <w:rFonts w:ascii="Times New Roman" w:hAnsi="Times New Roman" w:eastAsia="Times New Roman" w:cs="Times New Roman"/>
          <w:b w:val="0"/>
          <w:i w:val="0"/>
          <w:caps w:val="0"/>
          <w:color w:val="000000"/>
          <w:sz w:val="24"/>
        </w:rPr>
        <w:t>Internet of Things</w:t>
      </w:r>
    </w:p>
    <w:p>
      <w:pPr>
        <w:keepNext w:val="0"/>
        <w:spacing w:line="360" w:lineRule="auto" w:before="0" w:after="80"/>
        <w:ind w:left="475"/>
        <w:jc w:val="left"/>
      </w:pPr>
      <w:r>
        <w:rPr>
          <w:rFonts w:ascii="Times New Roman" w:hAnsi="Times New Roman" w:eastAsia="Times New Roman" w:cs="Times New Roman"/>
          <w:b/>
          <w:i w:val="0"/>
          <w:caps w:val="0"/>
          <w:color w:val="000000"/>
          <w:sz w:val="24"/>
        </w:rPr>
        <w:t>JSON</w:t>
        <w:tab/>
      </w:r>
      <w:r>
        <w:rPr>
          <w:rFonts w:ascii="Times New Roman" w:hAnsi="Times New Roman" w:eastAsia="Times New Roman" w:cs="Times New Roman"/>
          <w:b w:val="0"/>
          <w:i w:val="0"/>
          <w:caps w:val="0"/>
          <w:color w:val="000000"/>
          <w:sz w:val="24"/>
        </w:rPr>
        <w:t>JavaScript Object Notation</w:t>
      </w:r>
    </w:p>
    <w:p>
      <w:pPr>
        <w:keepNext w:val="0"/>
        <w:spacing w:line="360" w:lineRule="auto" w:before="0" w:after="80"/>
        <w:ind w:left="475"/>
        <w:jc w:val="left"/>
      </w:pPr>
      <w:r>
        <w:rPr>
          <w:rFonts w:ascii="Times New Roman" w:hAnsi="Times New Roman" w:eastAsia="Times New Roman" w:cs="Times New Roman"/>
          <w:b/>
          <w:i w:val="0"/>
          <w:caps w:val="0"/>
          <w:color w:val="000000"/>
          <w:sz w:val="24"/>
        </w:rPr>
        <w:t>MAD</w:t>
        <w:tab/>
      </w:r>
      <w:r>
        <w:rPr>
          <w:rFonts w:ascii="Times New Roman" w:hAnsi="Times New Roman" w:eastAsia="Times New Roman" w:cs="Times New Roman"/>
          <w:b w:val="0"/>
          <w:i w:val="0"/>
          <w:caps w:val="0"/>
          <w:color w:val="000000"/>
          <w:sz w:val="24"/>
        </w:rPr>
        <w:t>Median Absolute Deviation</w:t>
      </w:r>
    </w:p>
    <w:p>
      <w:pPr>
        <w:keepNext w:val="0"/>
        <w:spacing w:line="360" w:lineRule="auto" w:before="0" w:after="80"/>
        <w:ind w:left="475"/>
        <w:jc w:val="left"/>
      </w:pPr>
      <w:r>
        <w:rPr>
          <w:rFonts w:ascii="Times New Roman" w:hAnsi="Times New Roman" w:eastAsia="Times New Roman" w:cs="Times New Roman"/>
          <w:b/>
          <w:i w:val="0"/>
          <w:caps w:val="0"/>
          <w:color w:val="000000"/>
          <w:sz w:val="24"/>
        </w:rPr>
        <w:t>ML</w:t>
        <w:tab/>
      </w:r>
      <w:r>
        <w:rPr>
          <w:rFonts w:ascii="Times New Roman" w:hAnsi="Times New Roman" w:eastAsia="Times New Roman" w:cs="Times New Roman"/>
          <w:b w:val="0"/>
          <w:i w:val="0"/>
          <w:caps w:val="0"/>
          <w:color w:val="000000"/>
          <w:sz w:val="24"/>
        </w:rPr>
        <w:t>Machine Learning</w:t>
      </w:r>
    </w:p>
    <w:p>
      <w:pPr>
        <w:keepNext w:val="0"/>
        <w:spacing w:line="360" w:lineRule="auto" w:before="0" w:after="80"/>
        <w:ind w:left="475"/>
        <w:jc w:val="left"/>
      </w:pPr>
      <w:r>
        <w:rPr>
          <w:rFonts w:ascii="Times New Roman" w:hAnsi="Times New Roman" w:eastAsia="Times New Roman" w:cs="Times New Roman"/>
          <w:b/>
          <w:i w:val="0"/>
          <w:caps w:val="0"/>
          <w:color w:val="000000"/>
          <w:sz w:val="24"/>
        </w:rPr>
        <w:t>MPA</w:t>
        <w:tab/>
      </w:r>
      <w:r>
        <w:rPr>
          <w:rFonts w:ascii="Times New Roman" w:hAnsi="Times New Roman" w:eastAsia="Times New Roman" w:cs="Times New Roman"/>
          <w:b w:val="0"/>
          <w:i w:val="0"/>
          <w:caps w:val="0"/>
          <w:color w:val="000000"/>
          <w:sz w:val="24"/>
        </w:rPr>
        <w:t>Multi-Page Application</w:t>
      </w:r>
    </w:p>
    <w:p>
      <w:pPr>
        <w:keepNext w:val="0"/>
        <w:spacing w:line="360" w:lineRule="auto" w:before="0" w:after="80"/>
        <w:ind w:left="475"/>
        <w:jc w:val="left"/>
      </w:pPr>
      <w:r>
        <w:rPr>
          <w:rFonts w:ascii="Times New Roman" w:hAnsi="Times New Roman" w:eastAsia="Times New Roman" w:cs="Times New Roman"/>
          <w:b/>
          <w:i w:val="0"/>
          <w:caps w:val="0"/>
          <w:color w:val="000000"/>
          <w:sz w:val="24"/>
        </w:rPr>
        <w:t>PBKDF2</w:t>
        <w:tab/>
      </w:r>
      <w:r>
        <w:rPr>
          <w:rFonts w:ascii="Times New Roman" w:hAnsi="Times New Roman" w:eastAsia="Times New Roman" w:cs="Times New Roman"/>
          <w:b w:val="0"/>
          <w:i w:val="0"/>
          <w:caps w:val="0"/>
          <w:color w:val="000000"/>
          <w:sz w:val="24"/>
        </w:rPr>
        <w:t>Password-Based Key Derivation Function 2</w:t>
      </w:r>
    </w:p>
    <w:p>
      <w:pPr>
        <w:keepNext w:val="0"/>
        <w:spacing w:line="360" w:lineRule="auto" w:before="0" w:after="80"/>
        <w:ind w:left="475"/>
        <w:jc w:val="left"/>
      </w:pPr>
      <w:r>
        <w:rPr>
          <w:rFonts w:ascii="Times New Roman" w:hAnsi="Times New Roman" w:eastAsia="Times New Roman" w:cs="Times New Roman"/>
          <w:b/>
          <w:i w:val="0"/>
          <w:caps w:val="0"/>
          <w:color w:val="000000"/>
          <w:sz w:val="24"/>
        </w:rPr>
        <w:t>PnP</w:t>
        <w:tab/>
      </w:r>
      <w:r>
        <w:rPr>
          <w:rFonts w:ascii="Times New Roman" w:hAnsi="Times New Roman" w:eastAsia="Times New Roman" w:cs="Times New Roman"/>
          <w:b w:val="0"/>
          <w:i w:val="0"/>
          <w:caps w:val="0"/>
          <w:color w:val="000000"/>
          <w:sz w:val="24"/>
        </w:rPr>
        <w:t>Plug and Play</w:t>
      </w:r>
    </w:p>
    <w:p>
      <w:pPr>
        <w:keepNext w:val="0"/>
        <w:spacing w:line="360" w:lineRule="auto" w:before="0" w:after="80"/>
        <w:ind w:left="475"/>
        <w:jc w:val="left"/>
      </w:pPr>
      <w:r>
        <w:rPr>
          <w:rFonts w:ascii="Times New Roman" w:hAnsi="Times New Roman" w:eastAsia="Times New Roman" w:cs="Times New Roman"/>
          <w:b/>
          <w:i w:val="0"/>
          <w:caps w:val="0"/>
          <w:color w:val="000000"/>
          <w:sz w:val="24"/>
        </w:rPr>
        <w:t>PRG</w:t>
        <w:tab/>
      </w:r>
      <w:r>
        <w:rPr>
          <w:rFonts w:ascii="Times New Roman" w:hAnsi="Times New Roman" w:eastAsia="Times New Roman" w:cs="Times New Roman"/>
          <w:b w:val="0"/>
          <w:i w:val="0"/>
          <w:caps w:val="0"/>
          <w:color w:val="000000"/>
          <w:sz w:val="24"/>
        </w:rPr>
        <w:t>Post/Redirect/Get</w:t>
      </w:r>
    </w:p>
    <w:p>
      <w:pPr>
        <w:keepNext w:val="0"/>
        <w:spacing w:line="360" w:lineRule="auto" w:before="0" w:after="80"/>
        <w:ind w:left="475"/>
        <w:jc w:val="left"/>
      </w:pPr>
      <w:r>
        <w:rPr>
          <w:rFonts w:ascii="Times New Roman" w:hAnsi="Times New Roman" w:eastAsia="Times New Roman" w:cs="Times New Roman"/>
          <w:b/>
          <w:i w:val="0"/>
          <w:caps w:val="0"/>
          <w:color w:val="000000"/>
          <w:sz w:val="24"/>
        </w:rPr>
        <w:t>SQL</w:t>
        <w:tab/>
      </w:r>
      <w:r>
        <w:rPr>
          <w:rFonts w:ascii="Times New Roman" w:hAnsi="Times New Roman" w:eastAsia="Times New Roman" w:cs="Times New Roman"/>
          <w:b w:val="0"/>
          <w:i w:val="0"/>
          <w:caps w:val="0"/>
          <w:color w:val="000000"/>
          <w:sz w:val="24"/>
        </w:rPr>
        <w:t>Structured Query Language</w:t>
      </w:r>
    </w:p>
    <w:p>
      <w:pPr>
        <w:keepNext w:val="0"/>
        <w:spacing w:line="360" w:lineRule="auto" w:before="0" w:after="80"/>
        <w:ind w:left="475"/>
        <w:jc w:val="left"/>
      </w:pPr>
      <w:r>
        <w:rPr>
          <w:rFonts w:ascii="Times New Roman" w:hAnsi="Times New Roman" w:eastAsia="Times New Roman" w:cs="Times New Roman"/>
          <w:b/>
          <w:i w:val="0"/>
          <w:caps w:val="0"/>
          <w:color w:val="000000"/>
          <w:sz w:val="24"/>
        </w:rPr>
        <w:t>USB</w:t>
        <w:tab/>
      </w:r>
      <w:r>
        <w:rPr>
          <w:rFonts w:ascii="Times New Roman" w:hAnsi="Times New Roman" w:eastAsia="Times New Roman" w:cs="Times New Roman"/>
          <w:b w:val="0"/>
          <w:i w:val="0"/>
          <w:caps w:val="0"/>
          <w:color w:val="000000"/>
          <w:sz w:val="24"/>
        </w:rPr>
        <w:t>Universal Serial Bus</w:t>
      </w:r>
    </w:p>
    <w:p>
      <w:pPr>
        <w:keepNext w:val="0"/>
        <w:spacing w:line="360" w:lineRule="auto" w:before="0" w:after="80"/>
        <w:ind w:left="475"/>
        <w:jc w:val="left"/>
      </w:pPr>
      <w:r>
        <w:rPr>
          <w:rFonts w:ascii="Times New Roman" w:hAnsi="Times New Roman" w:eastAsia="Times New Roman" w:cs="Times New Roman"/>
          <w:b/>
          <w:i w:val="0"/>
          <w:caps w:val="0"/>
          <w:color w:val="000000"/>
          <w:sz w:val="24"/>
        </w:rPr>
        <w:t>UVC</w:t>
        <w:tab/>
      </w:r>
      <w:r>
        <w:rPr>
          <w:rFonts w:ascii="Times New Roman" w:hAnsi="Times New Roman" w:eastAsia="Times New Roman" w:cs="Times New Roman"/>
          <w:b w:val="0"/>
          <w:i w:val="0"/>
          <w:caps w:val="0"/>
          <w:color w:val="000000"/>
          <w:sz w:val="24"/>
        </w:rPr>
        <w:t>USB Video Class</w:t>
      </w:r>
    </w:p>
    <w:p>
      <w:pPr>
        <w:keepNext w:val="0"/>
        <w:spacing w:line="360" w:lineRule="auto" w:before="0" w:after="80"/>
        <w:ind w:left="475"/>
        <w:jc w:val="left"/>
      </w:pPr>
      <w:r>
        <w:rPr>
          <w:rFonts w:ascii="Times New Roman" w:hAnsi="Times New Roman" w:eastAsia="Times New Roman" w:cs="Times New Roman"/>
          <w:b/>
          <w:i w:val="0"/>
          <w:caps w:val="0"/>
          <w:color w:val="000000"/>
          <w:sz w:val="24"/>
        </w:rPr>
        <w:t>VAR</w:t>
        <w:tab/>
      </w:r>
      <w:r>
        <w:rPr>
          <w:rFonts w:ascii="Times New Roman" w:hAnsi="Times New Roman" w:eastAsia="Times New Roman" w:cs="Times New Roman"/>
          <w:b w:val="0"/>
          <w:i w:val="0"/>
          <w:caps w:val="0"/>
          <w:color w:val="000000"/>
          <w:sz w:val="24"/>
        </w:rPr>
        <w:t>Vector Autoregression</w:t>
      </w:r>
    </w:p>
    <w:p>
      <w:pPr>
        <w:keepNext w:val="0"/>
        <w:spacing w:line="360" w:lineRule="auto" w:before="0" w:after="80"/>
        <w:ind w:left="475"/>
        <w:jc w:val="left"/>
      </w:pPr>
      <w:r>
        <w:rPr>
          <w:rFonts w:ascii="Times New Roman" w:hAnsi="Times New Roman" w:eastAsia="Times New Roman" w:cs="Times New Roman"/>
          <w:b/>
          <w:i w:val="0"/>
          <w:caps w:val="0"/>
          <w:color w:val="000000"/>
          <w:sz w:val="24"/>
        </w:rPr>
        <w:t>WAL</w:t>
        <w:tab/>
      </w:r>
      <w:r>
        <w:rPr>
          <w:rFonts w:ascii="Times New Roman" w:hAnsi="Times New Roman" w:eastAsia="Times New Roman" w:cs="Times New Roman"/>
          <w:b w:val="0"/>
          <w:i w:val="0"/>
          <w:caps w:val="0"/>
          <w:color w:val="000000"/>
          <w:sz w:val="24"/>
        </w:rPr>
        <w:t>Write-Ahead Logging</w:t>
      </w:r>
    </w:p>
    <w:p>
      <w:pPr>
        <w:keepNext w:val="0"/>
        <w:spacing w:line="360" w:lineRule="auto" w:before="0" w:after="80"/>
        <w:ind w:left="475"/>
        <w:jc w:val="left"/>
      </w:pPr>
      <w:r>
        <w:rPr>
          <w:rFonts w:ascii="Times New Roman" w:hAnsi="Times New Roman" w:eastAsia="Times New Roman" w:cs="Times New Roman"/>
          <w:b/>
          <w:i w:val="0"/>
          <w:caps w:val="0"/>
          <w:color w:val="000000"/>
          <w:sz w:val="24"/>
        </w:rPr>
        <w:t>WMI</w:t>
        <w:tab/>
      </w:r>
      <w:r>
        <w:rPr>
          <w:rFonts w:ascii="Times New Roman" w:hAnsi="Times New Roman" w:eastAsia="Times New Roman" w:cs="Times New Roman"/>
          <w:b w:val="0"/>
          <w:i w:val="0"/>
          <w:caps w:val="0"/>
          <w:color w:val="000000"/>
          <w:sz w:val="24"/>
        </w:rPr>
        <w:t>Windows Management Instrumentation</w:t>
      </w:r>
    </w:p>
    <w:p>
      <w:pPr>
        <w:keepNext w:val="0"/>
        <w:spacing w:line="240" w:lineRule="auto" w:before="240" w:after="0"/>
        <w:jc w:val="center"/>
      </w:pPr>
      <w:r>
        <w:rPr>
          <w:rFonts w:ascii="Times New Roman" w:hAnsi="Times New Roman" w:eastAsia="Times New Roman" w:cs="Times New Roman"/>
          <w:b w:val="0"/>
          <w:i/>
          <w:caps w:val="0"/>
          <w:color w:val="000000"/>
          <w:sz w:val="20"/>
        </w:rPr>
        <w:t>Abbreviations are listed in alphabetical order.</w:t>
      </w:r>
    </w:p>
    <w:p>
      <w:r>
        <w:br w:type="page"/>
      </w:r>
    </w:p>
    <w:p>
      <w:pPr>
        <w:keepNext w:val="0"/>
        <w:spacing w:line="360" w:lineRule="auto" w:before="0" w:after="280"/>
        <w:jc w:val="center"/>
      </w:pPr>
      <w:r>
        <w:rPr>
          <w:rFonts w:ascii="Times New Roman" w:hAnsi="Times New Roman" w:eastAsia="Times New Roman" w:cs="Times New Roman"/>
          <w:b/>
          <w:i w:val="0"/>
          <w:caps w:val="0"/>
          <w:color w:val="000000"/>
          <w:sz w:val="32"/>
        </w:rPr>
        <w:t>Symbols and Notations</w:t>
      </w:r>
    </w:p>
    <w:p>
      <w:pPr>
        <w:keepNext w:val="0"/>
        <w:spacing w:line="360" w:lineRule="auto" w:before="0" w:after="80"/>
        <w:ind w:left="518"/>
        <w:jc w:val="left"/>
      </w:pPr>
      <w:r>
        <w:rPr>
          <w:rFonts w:ascii="Times New Roman" w:hAnsi="Times New Roman" w:eastAsia="Times New Roman" w:cs="Times New Roman"/>
          <w:b/>
          <w:i/>
          <w:caps w:val="0"/>
          <w:color w:val="000000"/>
          <w:sz w:val="24"/>
        </w:rPr>
        <w:t>z</w:t>
        <w:tab/>
      </w:r>
      <w:r>
        <w:rPr>
          <w:rFonts w:ascii="Times New Roman" w:hAnsi="Times New Roman" w:eastAsia="Times New Roman" w:cs="Times New Roman"/>
          <w:b w:val="0"/>
          <w:i w:val="0"/>
          <w:caps w:val="0"/>
          <w:color w:val="000000"/>
          <w:sz w:val="24"/>
        </w:rPr>
        <w:t>Standard-deviation multiplier used to place the accept threshold below the honest mean</w:t>
      </w:r>
    </w:p>
    <w:p>
      <w:pPr>
        <w:keepNext w:val="0"/>
        <w:spacing w:line="360" w:lineRule="auto" w:before="0" w:after="80"/>
        <w:ind w:left="518"/>
        <w:jc w:val="left"/>
      </w:pPr>
      <w:r>
        <w:rPr>
          <w:rFonts w:ascii="Times New Roman" w:hAnsi="Times New Roman" w:eastAsia="Times New Roman" w:cs="Times New Roman"/>
          <w:b/>
          <w:i/>
          <w:caps w:val="0"/>
          <w:color w:val="000000"/>
          <w:sz w:val="24"/>
        </w:rPr>
        <w:t>σ</w:t>
        <w:tab/>
      </w:r>
      <w:r>
        <w:rPr>
          <w:rFonts w:ascii="Times New Roman" w:hAnsi="Times New Roman" w:eastAsia="Times New Roman" w:cs="Times New Roman"/>
          <w:b w:val="0"/>
          <w:i w:val="0"/>
          <w:caps w:val="0"/>
          <w:color w:val="000000"/>
          <w:sz w:val="24"/>
        </w:rPr>
        <w:t>Standard deviation of the honest Counterfactual Consistency Scores</w:t>
      </w:r>
    </w:p>
    <w:p>
      <w:pPr>
        <w:keepNext w:val="0"/>
        <w:spacing w:line="360" w:lineRule="auto" w:before="0" w:after="80"/>
        <w:ind w:left="518"/>
        <w:jc w:val="left"/>
      </w:pPr>
      <w:r>
        <w:rPr>
          <w:rFonts w:ascii="Times New Roman" w:hAnsi="Times New Roman" w:eastAsia="Times New Roman" w:cs="Times New Roman"/>
          <w:b/>
          <w:i/>
          <w:caps w:val="0"/>
          <w:color w:val="000000"/>
          <w:sz w:val="24"/>
        </w:rPr>
        <w:t>α</w:t>
        <w:tab/>
      </w:r>
      <w:r>
        <w:rPr>
          <w:rFonts w:ascii="Times New Roman" w:hAnsi="Times New Roman" w:eastAsia="Times New Roman" w:cs="Times New Roman"/>
          <w:b w:val="0"/>
          <w:i w:val="0"/>
          <w:caps w:val="0"/>
          <w:color w:val="000000"/>
          <w:sz w:val="24"/>
        </w:rPr>
        <w:t>Smoothing factor of the twin's exponentially weighted moving average</w:t>
      </w:r>
    </w:p>
    <w:p>
      <w:pPr>
        <w:keepNext w:val="0"/>
        <w:spacing w:line="360" w:lineRule="auto" w:before="0" w:after="80"/>
        <w:ind w:left="518"/>
        <w:jc w:val="left"/>
      </w:pPr>
      <w:r>
        <w:rPr>
          <w:rFonts w:ascii="Times New Roman" w:hAnsi="Times New Roman" w:eastAsia="Times New Roman" w:cs="Times New Roman"/>
          <w:b/>
          <w:i/>
          <w:caps w:val="0"/>
          <w:color w:val="000000"/>
          <w:sz w:val="24"/>
        </w:rPr>
        <w:t>w</w:t>
        <w:tab/>
      </w:r>
      <w:r>
        <w:rPr>
          <w:rFonts w:ascii="Times New Roman" w:hAnsi="Times New Roman" w:eastAsia="Times New Roman" w:cs="Times New Roman"/>
          <w:b w:val="0"/>
          <w:i w:val="0"/>
          <w:caps w:val="0"/>
          <w:color w:val="000000"/>
          <w:sz w:val="24"/>
        </w:rPr>
        <w:t>Weight of a component within the Counterfactual Consistency Score</w:t>
      </w:r>
    </w:p>
    <w:p>
      <w:pPr>
        <w:keepNext w:val="0"/>
        <w:spacing w:line="360" w:lineRule="auto" w:before="0" w:after="80"/>
        <w:ind w:left="518"/>
        <w:jc w:val="left"/>
      </w:pPr>
      <w:r>
        <w:rPr>
          <w:rFonts w:ascii="Times New Roman" w:hAnsi="Times New Roman" w:eastAsia="Times New Roman" w:cs="Times New Roman"/>
          <w:b/>
          <w:i/>
          <w:caps w:val="0"/>
          <w:color w:val="000000"/>
          <w:sz w:val="24"/>
        </w:rPr>
        <w:t>H</w:t>
        <w:tab/>
      </w:r>
      <w:r>
        <w:rPr>
          <w:rFonts w:ascii="Times New Roman" w:hAnsi="Times New Roman" w:eastAsia="Times New Roman" w:cs="Times New Roman"/>
          <w:b w:val="0"/>
          <w:i w:val="0"/>
          <w:caps w:val="0"/>
          <w:color w:val="000000"/>
          <w:sz w:val="24"/>
        </w:rPr>
        <w:t>Prediction horizon, in ticks, of a committed future</w:t>
      </w:r>
    </w:p>
    <w:p>
      <w:pPr>
        <w:keepNext w:val="0"/>
        <w:spacing w:line="360" w:lineRule="auto" w:before="0" w:after="80"/>
        <w:ind w:left="518"/>
        <w:jc w:val="left"/>
      </w:pPr>
      <w:r>
        <w:rPr>
          <w:rFonts w:ascii="Times New Roman" w:hAnsi="Times New Roman" w:eastAsia="Times New Roman" w:cs="Times New Roman"/>
          <w:b/>
          <w:i/>
          <w:caps w:val="0"/>
          <w:color w:val="000000"/>
          <w:sz w:val="24"/>
        </w:rPr>
        <w:t>N</w:t>
        <w:tab/>
      </w:r>
      <w:r>
        <w:rPr>
          <w:rFonts w:ascii="Times New Roman" w:hAnsi="Times New Roman" w:eastAsia="Times New Roman" w:cs="Times New Roman"/>
          <w:b w:val="0"/>
          <w:i w:val="0"/>
          <w:caps w:val="0"/>
          <w:color w:val="000000"/>
          <w:sz w:val="24"/>
        </w:rPr>
        <w:t>Number of counterfactual futures committed per twin</w:t>
      </w:r>
    </w:p>
    <w:p>
      <w:pPr>
        <w:keepNext w:val="0"/>
        <w:spacing w:line="360" w:lineRule="auto" w:before="0" w:after="80"/>
        <w:ind w:left="518"/>
        <w:jc w:val="left"/>
      </w:pPr>
      <w:r>
        <w:rPr>
          <w:rFonts w:ascii="Times New Roman" w:hAnsi="Times New Roman" w:eastAsia="Times New Roman" w:cs="Times New Roman"/>
          <w:b/>
          <w:i/>
          <w:caps w:val="0"/>
          <w:color w:val="000000"/>
          <w:sz w:val="24"/>
        </w:rPr>
        <w:t>λ</w:t>
        <w:tab/>
      </w:r>
      <w:r>
        <w:rPr>
          <w:rFonts w:ascii="Times New Roman" w:hAnsi="Times New Roman" w:eastAsia="Times New Roman" w:cs="Times New Roman"/>
          <w:b w:val="0"/>
          <w:i w:val="0"/>
          <w:caps w:val="0"/>
          <w:color w:val="000000"/>
          <w:sz w:val="24"/>
        </w:rPr>
        <w:t>Ridge regularisation coefficient of the forward model</w:t>
      </w:r>
    </w:p>
    <w:p>
      <w:r>
        <w:br w:type="page"/>
      </w:r>
    </w:p>
    <w:p>
      <w:bookmarkStart w:id="1004" w:name="bm_abstract"/>
      <w:pPr>
        <w:keepNext w:val="0"/>
        <w:spacing w:line="360" w:lineRule="auto" w:before="0" w:after="280"/>
        <w:jc w:val="center"/>
      </w:pPr>
      <w:r>
        <w:rPr>
          <w:rFonts w:ascii="Times New Roman" w:hAnsi="Times New Roman" w:eastAsia="Times New Roman" w:cs="Times New Roman"/>
          <w:b/>
          <w:i w:val="0"/>
          <w:caps w:val="0"/>
          <w:color w:val="000000"/>
          <w:sz w:val="32"/>
        </w:rPr>
        <w:t>ABSTRACT</w:t>
      </w:r>
      <w:bookmarkEnd w:id="1004"/>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Consumer Internet-of-Things networks — smart cameras, locks, plugs, bulbs, sensors and speakers — are increasingly defended by artificial-intelligence models that execute on a local edge gateway and retrain continuously on the telemetry they collect. That continuous retraining is what keeps the detector current as a household's devices and habits change, and it is also the system's most exposed surface: an adversary able to introduce falsified or mislabelled training data can steer the model into accepting hostile behaviour as ordinary. Existing poisoning defences are reactive. Anomaly filtering, trust and reputation scoring, and robust aggregation each inspect a contribution only after it has been submitted, and each judges it only against present or historical observations, so a contribution engineered to resemble ordinary traffic passes unchallenged.</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This project develops a proactive alternative. Every physical device is mirrored by a holographic digital twin that models the device as five partial behavioural projections and commits, in advance, to twenty counterfactual future trajectories describing how that device would behave if nothing were wrong. Those futures — half left benign, half deformed by each attack class in the taxonomy — form an audit bank. An incoming retraining update is grafted onto a small trusted core, a shadow model is trained, and the shadow model's behaviour on the audit bank yields a Counterfactual Consistency Score, judged against a threshold calibrated from honest traffic on that specific fleet. A predictive immunization engine synthesises vaccine rows from the same committed futures so that resistance exists before any real attack is attempted, and a self-healing controller restores the last trusted model and purges the offending contributor's rows should degradation nonetheless occur.</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framework has been implemented end to end and evaluated on a simulated eight-device network against five poisoning strategies, including clean-label poisoning that carries no label shift and is therefore invisible to distributional defences.</w:t>
      </w:r>
    </w:p>
    <w:p>
      <w:pPr>
        <w:keepNext w:val="0"/>
        <w:spacing w:line="276" w:lineRule="auto" w:before="200" w:after="0"/>
        <w:jc w:val="both"/>
      </w:pPr>
      <w:r>
        <w:rPr>
          <w:rFonts w:ascii="Times New Roman" w:hAnsi="Times New Roman" w:eastAsia="Times New Roman" w:cs="Times New Roman"/>
          <w:b w:val="0"/>
          <w:i/>
          <w:caps w:val="0"/>
          <w:color w:val="000000"/>
          <w:sz w:val="24"/>
        </w:rPr>
        <w:t>Keywords — Digital Twin, Counterfactual Validation, Model Poisoning, Edge Artificial Intelligence, Consumer IoT Security, Predictive Immunization, Self-Healing Systems.</w:t>
      </w:r>
    </w:p>
    <w:p>
      <w:pPr>
        <w:sectPr>
          <w:footerReference w:type="default" r:id="rId10"/>
          <w:pgSz w:w="11909" w:h="16834"/>
          <w:pgMar w:top="1440" w:right="1440" w:bottom="1440" w:left="1800" w:header="720" w:footer="720" w:gutter="0"/>
          <w:cols w:space="720"/>
          <w:docGrid w:linePitch="360"/>
          <w:pgNumType w:fmt="lowerRoman" w:start="1"/>
        </w:sectPr>
      </w:pPr>
    </w:p>
    <w:p>
      <w:r>
        <w:br w:type="page"/>
      </w:r>
    </w:p>
    <w:p>
      <w:pPr>
        <w:keepNext/>
        <w:spacing w:line="259" w:lineRule="auto" w:before="0" w:after="160"/>
        <w:jc w:val="center"/>
      </w:pPr>
      <w:r>
        <w:rPr>
          <w:rFonts w:ascii="Times New Roman" w:hAnsi="Times New Roman" w:eastAsia="Times New Roman" w:cs="Times New Roman"/>
          <w:b/>
          <w:i w:val="0"/>
          <w:caps w:val="0"/>
          <w:color w:val="000000"/>
          <w:sz w:val="32"/>
        </w:rPr>
        <w:t>CHAPTER 1</w:t>
      </w:r>
    </w:p>
    <w:p>
      <w:bookmarkStart w:id="1005" w:name="bm_1"/>
      <w:pPr>
        <w:keepNext/>
        <w:spacing w:line="259" w:lineRule="auto" w:before="0" w:after="200"/>
        <w:jc w:val="left"/>
      </w:pPr>
      <w:r>
        <w:rPr>
          <w:rFonts w:ascii="Times New Roman" w:hAnsi="Times New Roman" w:eastAsia="Times New Roman" w:cs="Times New Roman"/>
          <w:b/>
          <w:i w:val="0"/>
          <w:caps w:val="0"/>
          <w:color w:val="000000"/>
          <w:sz w:val="28"/>
        </w:rPr>
        <w:t>1. INTRODUCTION</w:t>
      </w:r>
      <w:bookmarkEnd w:id="1005"/>
    </w:p>
    <w:p>
      <w:bookmarkStart w:id="1006" w:name="bm_1_1"/>
      <w:pPr>
        <w:keepNext/>
        <w:spacing w:line="276" w:lineRule="auto" w:before="240" w:after="120"/>
        <w:jc w:val="left"/>
      </w:pPr>
      <w:r>
        <w:rPr>
          <w:rFonts w:ascii="Times New Roman" w:hAnsi="Times New Roman" w:eastAsia="Times New Roman" w:cs="Times New Roman"/>
          <w:b/>
          <w:i w:val="0"/>
          <w:caps w:val="0"/>
          <w:color w:val="000000"/>
          <w:sz w:val="26"/>
        </w:rPr>
        <w:t>1.1  Background</w:t>
      </w:r>
      <w:bookmarkEnd w:id="1006"/>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A typical household now runs a dozen networked appliances — cameras, door locks, power plugs, lighting, environmental sensors and voice assistants — that differ enormously in compute, in traffic volume and in what constitutes normal behaviour. Because these devices are rarely patched and are individually weak, the accepted defence is to place an intelligent monitor on the local gateway rather than on the devices themselves. That monitor learns the behavioural signature of each device and raises an alarm when the signature is violated.</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Such a monitor cannot be trained once and left alone. Firmware changes, household routines shift, and devices are added and removed, so the model must retrain on locally collected telemetry to remain useful. Continuous retraining at the edge is therefore not an optional refinement but a requirement of the deployment. It is also, as this project argues, the point at which the defence becomes attackable, because anything that keeps learning can be taught something false.</w:t>
      </w:r>
    </w:p>
    <w:p>
      <w:bookmarkStart w:id="1007" w:name="bm_1_2"/>
      <w:pPr>
        <w:keepNext/>
        <w:spacing w:line="276" w:lineRule="auto" w:before="240" w:after="120"/>
        <w:jc w:val="left"/>
      </w:pPr>
      <w:r>
        <w:rPr>
          <w:rFonts w:ascii="Times New Roman" w:hAnsi="Times New Roman" w:eastAsia="Times New Roman" w:cs="Times New Roman"/>
          <w:b/>
          <w:i w:val="0"/>
          <w:caps w:val="0"/>
          <w:color w:val="000000"/>
          <w:sz w:val="26"/>
        </w:rPr>
        <w:t>1.2  Motivation</w:t>
      </w:r>
      <w:bookmarkEnd w:id="1007"/>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Poisoning a model that retrains continuously is attractive precisely because it is quiet. An attacker does not need to defeat the detector at the moment of attack; it is sufficient to contribute training data which shifts the decision boundary so that, later, hostile traffic falls inside the region the model considers normal. Nothing alarms at the time of contribution, and the failure surfaces only when an attack is missed.</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defences available today all answer a variant of the same question: does this contribution resemble the others? That is a question about the past, and a competent adversary answers it by staying close to the crowd. Clean-label poisoning is the sharpest illustration — no label is altered, so the label distribution is untouched and every distributional check passes the contribution without comment. The motivation for this project is to replace that question with a different one: not whether an update looks suspicious, but what accepting it would cost the system's ability to detect tomorrow's attack.</w:t>
      </w:r>
    </w:p>
    <w:p>
      <w:bookmarkStart w:id="1008" w:name="bm_1_3"/>
      <w:pPr>
        <w:keepNext/>
        <w:spacing w:line="276" w:lineRule="auto" w:before="240" w:after="120"/>
        <w:jc w:val="left"/>
      </w:pPr>
      <w:r>
        <w:rPr>
          <w:rFonts w:ascii="Times New Roman" w:hAnsi="Times New Roman" w:eastAsia="Times New Roman" w:cs="Times New Roman"/>
          <w:b/>
          <w:i w:val="0"/>
          <w:caps w:val="0"/>
          <w:color w:val="000000"/>
          <w:sz w:val="26"/>
        </w:rPr>
        <w:t>1.3  Scope of the Project</w:t>
      </w:r>
      <w:bookmarkEnd w:id="1008"/>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project covers a complete, working edge-security pipeline for a simulated consumer IoT network: device simulation across six appliance types, an edge gateway, a holographic digital twin per device, counterfactual future generation, a multi-class threat detector, a poisoning-attack simulator covering five strategies, the counterfactual validation gate, a predictive immunization engine, a quarantine zone with forensics, gated retraining, and self-healing rollback.</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scope is deliberately bounded in three respects. The fleet is simulated from physically motivated behavioural profiles rather than captured from hardware, so results demonstrate the mechanism rather than field performance. The system defends the training pipeline of an edge detector; it does not address device firmware integrity, network segmentation or cryptographic device identity, which are complementary controls. Finally, comparative benchmarking against re-implemented reactive baselines is specified in this report and scheduled for the second phase of the project, so the results presented here characterise the proposed framework itself rather than its margin over prior work.</w:t>
      </w:r>
    </w:p>
    <w:p>
      <w:r>
        <w:br w:type="page"/>
      </w:r>
    </w:p>
    <w:p>
      <w:pPr>
        <w:keepNext/>
        <w:spacing w:line="259" w:lineRule="auto" w:before="0" w:after="160"/>
        <w:jc w:val="center"/>
      </w:pPr>
      <w:r>
        <w:rPr>
          <w:rFonts w:ascii="Times New Roman" w:hAnsi="Times New Roman" w:eastAsia="Times New Roman" w:cs="Times New Roman"/>
          <w:b/>
          <w:i w:val="0"/>
          <w:caps w:val="0"/>
          <w:color w:val="000000"/>
          <w:sz w:val="32"/>
        </w:rPr>
        <w:t>CHAPTER 2</w:t>
      </w:r>
    </w:p>
    <w:p>
      <w:bookmarkStart w:id="1009" w:name="bm_2"/>
      <w:pPr>
        <w:keepNext/>
        <w:spacing w:line="259" w:lineRule="auto" w:before="0" w:after="200"/>
        <w:jc w:val="left"/>
      </w:pPr>
      <w:r>
        <w:rPr>
          <w:rFonts w:ascii="Times New Roman" w:hAnsi="Times New Roman" w:eastAsia="Times New Roman" w:cs="Times New Roman"/>
          <w:b/>
          <w:i w:val="0"/>
          <w:caps w:val="0"/>
          <w:color w:val="000000"/>
          <w:sz w:val="28"/>
        </w:rPr>
        <w:t>2. PROJECT DESCRIPTION AND GOALS</w:t>
      </w:r>
      <w:bookmarkEnd w:id="1009"/>
    </w:p>
    <w:p>
      <w:bookmarkStart w:id="1010" w:name="bm_2_1"/>
      <w:pPr>
        <w:keepNext/>
        <w:spacing w:line="276" w:lineRule="auto" w:before="240" w:after="120"/>
        <w:jc w:val="left"/>
      </w:pPr>
      <w:r>
        <w:rPr>
          <w:rFonts w:ascii="Times New Roman" w:hAnsi="Times New Roman" w:eastAsia="Times New Roman" w:cs="Times New Roman"/>
          <w:b/>
          <w:i w:val="0"/>
          <w:caps w:val="0"/>
          <w:color w:val="000000"/>
          <w:sz w:val="26"/>
        </w:rPr>
        <w:t>2.1  Literature Review</w:t>
      </w:r>
      <w:bookmarkEnd w:id="1010"/>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literature relevant to this project falls into four strands: the security of digital twins, machine-learning intrusion detection for IoT, poisoning attacks and their defences, and counterfactual reasoning. Each strand is mature in isolation; the gap this project addresses lies at their intersection.</w:t>
      </w:r>
    </w:p>
    <w:p>
      <w:pPr>
        <w:keepNext/>
        <w:spacing w:line="276" w:lineRule="auto" w:before="200" w:after="80"/>
        <w:jc w:val="left"/>
      </w:pPr>
      <w:r>
        <w:rPr>
          <w:rFonts w:ascii="Times New Roman" w:hAnsi="Times New Roman" w:eastAsia="Times New Roman" w:cs="Times New Roman"/>
          <w:b/>
          <w:i w:val="0"/>
          <w:caps w:val="0"/>
          <w:color w:val="000000"/>
          <w:sz w:val="24"/>
        </w:rPr>
        <w:t>Security of Digital Twins</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Alcaraz and Lopez [1] survey the threat landscape of digital twins across their life cycle and reach a conclusion that directly shapes this design: the twin is itself a target for poisoning and spoofing, and trusted state synchronisation is essential. Their survey characterises the attack surface thoroughly but proposes no runtime defence, and in the surveyed literature the twin remains a monitoring or replay replica rather than a participant in a security decision.</w:t>
      </w:r>
    </w:p>
    <w:p>
      <w:pPr>
        <w:keepNext/>
        <w:spacing w:line="276" w:lineRule="auto" w:before="200" w:after="80"/>
        <w:jc w:val="left"/>
      </w:pPr>
      <w:r>
        <w:rPr>
          <w:rFonts w:ascii="Times New Roman" w:hAnsi="Times New Roman" w:eastAsia="Times New Roman" w:cs="Times New Roman"/>
          <w:b/>
          <w:i w:val="0"/>
          <w:caps w:val="0"/>
          <w:color w:val="000000"/>
          <w:sz w:val="24"/>
        </w:rPr>
        <w:t>Machine-Learning Intrusion Detection for Consumer IoT</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Nguyen et al. [4] demonstrate federated self-learning anomaly detection on a gateway, reporting 95.6 per cent detection of Mirai-infected devices without labelled attack data. The work is directly relevant in its device-type-specific modelling, but it assumes every participating client is honest — which is precisely the assumption poisoning breaks. Meidan et al. [15] establish deep autoencoders over network behaviour as an effective botnet detector, and Antonakakis et al. [14] document why consumer devices are such attractive targets in the first place through their analysis of the Mirai botnet.</w:t>
      </w:r>
    </w:p>
    <w:p>
      <w:pPr>
        <w:keepNext/>
        <w:spacing w:line="276" w:lineRule="auto" w:before="200" w:after="80"/>
        <w:jc w:val="left"/>
      </w:pPr>
      <w:r>
        <w:rPr>
          <w:rFonts w:ascii="Times New Roman" w:hAnsi="Times New Roman" w:eastAsia="Times New Roman" w:cs="Times New Roman"/>
          <w:b/>
          <w:i w:val="0"/>
          <w:caps w:val="0"/>
          <w:color w:val="000000"/>
          <w:sz w:val="24"/>
        </w:rPr>
        <w:t>Poisoning Attacks and Their Defences</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Tian et al. [2] provide the comprehensive taxonomy of poisoning attacks and countermeasures, and note explicitly that the defences surveyed are post-hoc and detection-based, identifying proactive immunization as an open problem. Biggio and Roli [13] trace ten years of adversarial machine learning and frame poisoning as an attack on the training pipeline rather than on inference. On the attack side, Gu et al. [8] introduce backdoor triggers that leave overall accuracy essentially unchanged, which defeats any accuracy-based promotion gate; Shafahi et al. [7] demonstrate clean-label poisoning in which no label is altered at all; Tolpegin et al. [11] and Bagdasaryan et al. [10] transfer both to the federated setting. On the defence side, Blanchard et al. [9] propose Byzantine-tolerant aggregation, Fung et al. [12] target Sybil contributors, and Yang et al. [3] filter malicious client updates for IoT intrusion detection specifically. Every one of these defences acts on a contribution after it has been submitted, and judges it against the current or historical distribution.</w:t>
      </w:r>
    </w:p>
    <w:p>
      <w:pPr>
        <w:keepNext/>
        <w:spacing w:line="276" w:lineRule="auto" w:before="200" w:after="80"/>
        <w:jc w:val="left"/>
      </w:pPr>
      <w:r>
        <w:rPr>
          <w:rFonts w:ascii="Times New Roman" w:hAnsi="Times New Roman" w:eastAsia="Times New Roman" w:cs="Times New Roman"/>
          <w:b/>
          <w:i w:val="0"/>
          <w:caps w:val="0"/>
          <w:color w:val="000000"/>
          <w:sz w:val="24"/>
        </w:rPr>
        <w:t>Counterfactual Reasoning and Proactive Robustness</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Sulem et al. [5] generate diverse counterfactual ensembles to explain anomalies in time series, showing that counterfactual alternatives reliably separate genuine anomalies from benign variation. Their use is explanatory; the counterfactuals never gate a decision. Madry et al. [6] establish that training on generated worst-case examples produces durable robustness, which is the principle this project transfers from test-time evasion to training-data poisoning. Aggarwal [16] and Goodfellow et al. [17] provide the underlying treatment of outlier analysis and of the learning methods employed.</w:t>
      </w:r>
    </w:p>
    <w:p>
      <w:pPr>
        <w:keepNext w:val="0"/>
        <w:spacing w:line="240" w:lineRule="auto" w:before="200" w:after="80"/>
        <w:jc w:val="center"/>
      </w:pPr>
      <w:r>
        <w:rPr>
          <w:rFonts w:ascii="Times New Roman" w:hAnsi="Times New Roman" w:eastAsia="Times New Roman" w:cs="Times New Roman"/>
          <w:b w:val="0"/>
          <w:i/>
          <w:caps w:val="0"/>
          <w:color w:val="000000"/>
          <w:sz w:val="22"/>
        </w:rPr>
        <w:t>Table 2.1  Summary of the reviewed literature</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1080"/>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Ref.</w:t>
            </w:r>
          </w:p>
        </w:tc>
        <w:tc>
          <w:tcPr>
            <w:tcW w:type="dxa" w:w="2088"/>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Focus</w:t>
            </w:r>
          </w:p>
        </w:tc>
        <w:tc>
          <w:tcPr>
            <w:tcW w:type="dxa" w:w="3240"/>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Contribution</w:t>
            </w:r>
          </w:p>
        </w:tc>
        <w:tc>
          <w:tcPr>
            <w:tcW w:type="dxa" w:w="3528"/>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Limitation for this problem</w:t>
            </w:r>
          </w:p>
        </w:tc>
      </w:tr>
      <w:tr>
        <w:tc>
          <w:tcPr>
            <w:tcW w:type="dxa" w:w="108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[1]</w:t>
            </w:r>
          </w:p>
        </w:tc>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Digital-twin security</w:t>
            </w:r>
          </w:p>
        </w:tc>
        <w:tc>
          <w:tcPr>
            <w:tcW w:type="dxa" w:w="32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Life-cycle threat taxonomy for twins</w:t>
            </w:r>
          </w:p>
        </w:tc>
        <w:tc>
          <w:tcPr>
            <w:tcW w:type="dxa" w:w="35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No runtime defence; twin stays passive</w:t>
            </w:r>
          </w:p>
        </w:tc>
      </w:tr>
      <w:tr>
        <w:tc>
          <w:tcPr>
            <w:tcW w:type="dxa" w:w="108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[2]</w:t>
            </w:r>
          </w:p>
        </w:tc>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Poisoning survey</w:t>
            </w:r>
          </w:p>
        </w:tc>
        <w:tc>
          <w:tcPr>
            <w:tcW w:type="dxa" w:w="32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Taxonomy of attacks and defence families</w:t>
            </w:r>
          </w:p>
        </w:tc>
        <w:tc>
          <w:tcPr>
            <w:tcW w:type="dxa" w:w="35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All defences surveyed are post-hoc</w:t>
            </w:r>
          </w:p>
        </w:tc>
      </w:tr>
      <w:tr>
        <w:tc>
          <w:tcPr>
            <w:tcW w:type="dxa" w:w="108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[3]</w:t>
            </w:r>
          </w:p>
        </w:tc>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Federated IoT IDS</w:t>
            </w:r>
          </w:p>
        </w:tc>
        <w:tc>
          <w:tcPr>
            <w:tcW w:type="dxa" w:w="32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Filters malicious client updates</w:t>
            </w:r>
          </w:p>
        </w:tc>
        <w:tc>
          <w:tcPr>
            <w:tcW w:type="dxa" w:w="35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Reacts only after submission</w:t>
            </w:r>
          </w:p>
        </w:tc>
      </w:tr>
      <w:tr>
        <w:tc>
          <w:tcPr>
            <w:tcW w:type="dxa" w:w="108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[4]</w:t>
            </w:r>
          </w:p>
        </w:tc>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Gateway anomaly detection</w:t>
            </w:r>
          </w:p>
        </w:tc>
        <w:tc>
          <w:tcPr>
            <w:tcW w:type="dxa" w:w="32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Federated self-learning, label-free</w:t>
            </w:r>
          </w:p>
        </w:tc>
        <w:tc>
          <w:tcPr>
            <w:tcW w:type="dxa" w:w="35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Assumes all clients honest</w:t>
            </w:r>
          </w:p>
        </w:tc>
      </w:tr>
      <w:tr>
        <w:tc>
          <w:tcPr>
            <w:tcW w:type="dxa" w:w="108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[5]</w:t>
            </w:r>
          </w:p>
        </w:tc>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Counterfactual explanation</w:t>
            </w:r>
          </w:p>
        </w:tc>
        <w:tc>
          <w:tcPr>
            <w:tcW w:type="dxa" w:w="32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Diverse counterfactuals for time series</w:t>
            </w:r>
          </w:p>
        </w:tc>
        <w:tc>
          <w:tcPr>
            <w:tcW w:type="dxa" w:w="35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Explanatory only, never a gate</w:t>
            </w:r>
          </w:p>
        </w:tc>
      </w:tr>
      <w:tr>
        <w:tc>
          <w:tcPr>
            <w:tcW w:type="dxa" w:w="108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[6]</w:t>
            </w:r>
          </w:p>
        </w:tc>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Adversarial training</w:t>
            </w:r>
          </w:p>
        </w:tc>
        <w:tc>
          <w:tcPr>
            <w:tcW w:type="dxa" w:w="32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Robustness from generated attacks</w:t>
            </w:r>
          </w:p>
        </w:tc>
        <w:tc>
          <w:tcPr>
            <w:tcW w:type="dxa" w:w="35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Test-time evasion, not poisoning</w:t>
            </w:r>
          </w:p>
        </w:tc>
      </w:tr>
      <w:tr>
        <w:tc>
          <w:tcPr>
            <w:tcW w:type="dxa" w:w="108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[7]</w:t>
            </w:r>
          </w:p>
        </w:tc>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Clean-label poisoning</w:t>
            </w:r>
          </w:p>
        </w:tc>
        <w:tc>
          <w:tcPr>
            <w:tcW w:type="dxa" w:w="32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Poisoning with no label alteration</w:t>
            </w:r>
          </w:p>
        </w:tc>
        <w:tc>
          <w:tcPr>
            <w:tcW w:type="dxa" w:w="35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Defeats label-distribution checks</w:t>
            </w:r>
          </w:p>
        </w:tc>
      </w:tr>
      <w:tr>
        <w:tc>
          <w:tcPr>
            <w:tcW w:type="dxa" w:w="108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[8]</w:t>
            </w:r>
          </w:p>
        </w:tc>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Backdoor attacks</w:t>
            </w:r>
          </w:p>
        </w:tc>
        <w:tc>
          <w:tcPr>
            <w:tcW w:type="dxa" w:w="32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Triggers that preserve accuracy</w:t>
            </w:r>
          </w:p>
        </w:tc>
        <w:tc>
          <w:tcPr>
            <w:tcW w:type="dxa" w:w="35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Defeats accuracy-based gates</w:t>
            </w:r>
          </w:p>
        </w:tc>
      </w:tr>
      <w:tr>
        <w:tc>
          <w:tcPr>
            <w:tcW w:type="dxa" w:w="108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[9]-[12]</w:t>
            </w:r>
          </w:p>
        </w:tc>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Robust aggregation</w:t>
            </w:r>
          </w:p>
        </w:tc>
        <w:tc>
          <w:tcPr>
            <w:tcW w:type="dxa" w:w="32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Byzantine, Sybil and federated defences</w:t>
            </w:r>
          </w:p>
        </w:tc>
        <w:tc>
          <w:tcPr>
            <w:tcW w:type="dxa" w:w="35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Current-state, post-submission</w:t>
            </w:r>
          </w:p>
        </w:tc>
      </w:tr>
    </w:tbl>
    <w:p>
      <w:bookmarkStart w:id="1011" w:name="bm_2_2"/>
      <w:pPr>
        <w:keepNext/>
        <w:spacing w:line="276" w:lineRule="auto" w:before="240" w:after="120"/>
        <w:jc w:val="left"/>
      </w:pPr>
      <w:r>
        <w:rPr>
          <w:rFonts w:ascii="Times New Roman" w:hAnsi="Times New Roman" w:eastAsia="Times New Roman" w:cs="Times New Roman"/>
          <w:b/>
          <w:i w:val="0"/>
          <w:caps w:val="0"/>
          <w:color w:val="000000"/>
          <w:sz w:val="26"/>
        </w:rPr>
        <w:t>2.2  Research Gap</w:t>
      </w:r>
      <w:bookmarkEnd w:id="1011"/>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Eight gaps follow from the survey. They are stated in decreasing order of how directly they motivate the proposed mechanism.</w:t>
      </w:r>
    </w:p>
    <w:p>
      <w:pPr>
        <w:pStyle w:val="ListNumber"/>
        <w:spacing w:line="276" w:lineRule="auto" w:after="80"/>
        <w:ind w:left="576"/>
        <w:jc w:val="both"/>
      </w:pPr>
      <w:r>
        <w:rPr>
          <w:rFonts w:ascii="Times New Roman" w:hAnsi="Times New Roman" w:eastAsia="Times New Roman" w:cs="Times New Roman"/>
          <w:b/>
          <w:i w:val="0"/>
          <w:caps w:val="0"/>
          <w:color w:val="000000"/>
          <w:sz w:val="24"/>
        </w:rPr>
        <w:t xml:space="preserve">Validation against the current state only.  </w:t>
      </w:r>
      <w:r>
        <w:rPr>
          <w:rFonts w:ascii="Times New Roman" w:hAnsi="Times New Roman" w:eastAsia="Times New Roman" w:cs="Times New Roman"/>
          <w:b w:val="0"/>
          <w:i w:val="0"/>
          <w:caps w:val="0"/>
          <w:color w:val="000000"/>
          <w:sz w:val="24"/>
        </w:rPr>
        <w:t>Trust scores, reputation and robust aggregation compare an update with current or historical observations. None tests it against where the device is expected to be next, so multi-future behavioural consistency remains unused as a validation signal.</w:t>
      </w:r>
    </w:p>
    <w:p>
      <w:pPr>
        <w:pStyle w:val="ListNumber"/>
        <w:spacing w:line="276" w:lineRule="auto" w:after="80"/>
        <w:ind w:left="576"/>
        <w:jc w:val="both"/>
      </w:pPr>
      <w:r>
        <w:rPr>
          <w:rFonts w:ascii="Times New Roman" w:hAnsi="Times New Roman" w:eastAsia="Times New Roman" w:cs="Times New Roman"/>
          <w:b/>
          <w:i w:val="0"/>
          <w:caps w:val="0"/>
          <w:color w:val="000000"/>
          <w:sz w:val="24"/>
        </w:rPr>
        <w:t xml:space="preserve">Counterfactual reasoning and digital twins are never combined.  </w:t>
      </w:r>
      <w:r>
        <w:rPr>
          <w:rFonts w:ascii="Times New Roman" w:hAnsi="Times New Roman" w:eastAsia="Times New Roman" w:cs="Times New Roman"/>
          <w:b w:val="0"/>
          <w:i w:val="0"/>
          <w:caps w:val="0"/>
          <w:color w:val="000000"/>
          <w:sz w:val="24"/>
        </w:rPr>
        <w:t>Counterfactual reasoning has been applied to anomaly explanation and digital twins to monitoring, but the two have not been joined into a decision mechanism for validating model updates.</w:t>
      </w:r>
    </w:p>
    <w:p>
      <w:pPr>
        <w:pStyle w:val="ListNumber"/>
        <w:spacing w:line="276" w:lineRule="auto" w:after="80"/>
        <w:ind w:left="576"/>
        <w:jc w:val="both"/>
      </w:pPr>
      <w:r>
        <w:rPr>
          <w:rFonts w:ascii="Times New Roman" w:hAnsi="Times New Roman" w:eastAsia="Times New Roman" w:cs="Times New Roman"/>
          <w:b/>
          <w:i w:val="0"/>
          <w:caps w:val="0"/>
          <w:color w:val="000000"/>
          <w:sz w:val="24"/>
        </w:rPr>
        <w:t xml:space="preserve">Attack simulation does not close the loop.  </w:t>
      </w:r>
      <w:r>
        <w:rPr>
          <w:rFonts w:ascii="Times New Roman" w:hAnsi="Times New Roman" w:eastAsia="Times New Roman" w:cs="Times New Roman"/>
          <w:b w:val="0"/>
          <w:i w:val="0"/>
          <w:caps w:val="0"/>
          <w:color w:val="000000"/>
          <w:sz w:val="24"/>
        </w:rPr>
        <w:t>Simulation generates an attack, tests the detector and measures accuracy. It is rarely carried onward to identify the weakness, synthesise training examples and retrain against them.</w:t>
      </w:r>
    </w:p>
    <w:p>
      <w:pPr>
        <w:pStyle w:val="ListNumber"/>
        <w:spacing w:line="276" w:lineRule="auto" w:after="80"/>
        <w:ind w:left="576"/>
        <w:jc w:val="both"/>
      </w:pPr>
      <w:r>
        <w:rPr>
          <w:rFonts w:ascii="Times New Roman" w:hAnsi="Times New Roman" w:eastAsia="Times New Roman" w:cs="Times New Roman"/>
          <w:b/>
          <w:i w:val="0"/>
          <w:caps w:val="0"/>
          <w:color w:val="000000"/>
          <w:sz w:val="24"/>
        </w:rPr>
        <w:t xml:space="preserve">Twins monitor rather than immunize.  </w:t>
      </w:r>
      <w:r>
        <w:rPr>
          <w:rFonts w:ascii="Times New Roman" w:hAnsi="Times New Roman" w:eastAsia="Times New Roman" w:cs="Times New Roman"/>
          <w:b w:val="0"/>
          <w:i w:val="0"/>
          <w:caps w:val="0"/>
          <w:color w:val="000000"/>
          <w:sz w:val="24"/>
        </w:rPr>
        <w:t>Digital-twin research targets monitoring, visualisation, fault prediction and device management. Few approaches use the twin as an active security environment that predicts behaviour under attack.</w:t>
      </w:r>
    </w:p>
    <w:p>
      <w:pPr>
        <w:pStyle w:val="ListNumber"/>
        <w:spacing w:line="276" w:lineRule="auto" w:after="80"/>
        <w:ind w:left="576"/>
        <w:jc w:val="both"/>
      </w:pPr>
      <w:r>
        <w:rPr>
          <w:rFonts w:ascii="Times New Roman" w:hAnsi="Times New Roman" w:eastAsia="Times New Roman" w:cs="Times New Roman"/>
          <w:b/>
          <w:i w:val="0"/>
          <w:caps w:val="0"/>
          <w:color w:val="000000"/>
          <w:sz w:val="24"/>
        </w:rPr>
        <w:t xml:space="preserve">Threat detection remains reactive.  </w:t>
      </w:r>
      <w:r>
        <w:rPr>
          <w:rFonts w:ascii="Times New Roman" w:hAnsi="Times New Roman" w:eastAsia="Times New Roman" w:cs="Times New Roman"/>
          <w:b w:val="0"/>
          <w:i w:val="0"/>
          <w:caps w:val="0"/>
          <w:color w:val="000000"/>
          <w:sz w:val="24"/>
        </w:rPr>
        <w:t>Most IoT intrusion detection follows attack, collect, detect, alert. Predictive detection is seldom integrated with proactive adaptation of the security model at the edge.</w:t>
      </w:r>
    </w:p>
    <w:p>
      <w:pPr>
        <w:pStyle w:val="ListNumber"/>
        <w:spacing w:line="276" w:lineRule="auto" w:after="80"/>
        <w:ind w:left="576"/>
        <w:jc w:val="both"/>
      </w:pPr>
      <w:r>
        <w:rPr>
          <w:rFonts w:ascii="Times New Roman" w:hAnsi="Times New Roman" w:eastAsia="Times New Roman" w:cs="Times New Roman"/>
          <w:b/>
          <w:i w:val="0"/>
          <w:caps w:val="0"/>
          <w:color w:val="000000"/>
          <w:sz w:val="24"/>
        </w:rPr>
        <w:t xml:space="preserve">Poisoning is inadequately addressed in real time.  </w:t>
      </w:r>
      <w:r>
        <w:rPr>
          <w:rFonts w:ascii="Times New Roman" w:hAnsi="Times New Roman" w:eastAsia="Times New Roman" w:cs="Times New Roman"/>
          <w:b w:val="0"/>
          <w:i w:val="0"/>
          <w:caps w:val="0"/>
          <w:color w:val="000000"/>
          <w:sz w:val="24"/>
        </w:rPr>
        <w:t>Existing defences identify abnormal samples, aggregate robustly, filter data or validate statistically — and clean-label poisoning, which alters no label at all, passes the entire family.</w:t>
      </w:r>
    </w:p>
    <w:p>
      <w:pPr>
        <w:pStyle w:val="ListNumber"/>
        <w:spacing w:line="276" w:lineRule="auto" w:after="80"/>
        <w:ind w:left="576"/>
        <w:jc w:val="both"/>
      </w:pPr>
      <w:r>
        <w:rPr>
          <w:rFonts w:ascii="Times New Roman" w:hAnsi="Times New Roman" w:eastAsia="Times New Roman" w:cs="Times New Roman"/>
          <w:b/>
          <w:i w:val="0"/>
          <w:caps w:val="0"/>
          <w:color w:val="000000"/>
          <w:sz w:val="24"/>
        </w:rPr>
        <w:t xml:space="preserve">Edge retraining forces a security–adaptability trade-off.  </w:t>
      </w:r>
      <w:r>
        <w:rPr>
          <w:rFonts w:ascii="Times New Roman" w:hAnsi="Times New Roman" w:eastAsia="Times New Roman" w:cs="Times New Roman"/>
          <w:b w:val="0"/>
          <w:i w:val="0"/>
          <w:caps w:val="0"/>
          <w:color w:val="000000"/>
          <w:sz w:val="24"/>
        </w:rPr>
        <w:t>Frequent retraining adapts quickly but widens poisoning exposure, while infrequent retraining is safer but leaves the detector stale. Selecting a frequency resolves neither horn; what is missing is a gate on update content.</w:t>
      </w:r>
    </w:p>
    <w:p>
      <w:pPr>
        <w:pStyle w:val="ListNumber"/>
        <w:spacing w:line="276" w:lineRule="auto" w:after="80"/>
        <w:ind w:left="576"/>
        <w:jc w:val="both"/>
      </w:pPr>
      <w:r>
        <w:rPr>
          <w:rFonts w:ascii="Times New Roman" w:hAnsi="Times New Roman" w:eastAsia="Times New Roman" w:cs="Times New Roman"/>
          <w:b/>
          <w:i w:val="0"/>
          <w:caps w:val="0"/>
          <w:color w:val="000000"/>
          <w:sz w:val="24"/>
        </w:rPr>
        <w:t xml:space="preserve">Recovery is manual and total.  </w:t>
      </w:r>
      <w:r>
        <w:rPr>
          <w:rFonts w:ascii="Times New Roman" w:hAnsi="Times New Roman" w:eastAsia="Times New Roman" w:cs="Times New Roman"/>
          <w:b w:val="0"/>
          <w:i w:val="0"/>
          <w:caps w:val="0"/>
          <w:color w:val="000000"/>
          <w:sz w:val="24"/>
        </w:rPr>
        <w:t>Detection, quarantine and retraining exist as separate systems. Restoring a clean model and purging contaminated data is an operator task, and the usual remedy discards the entire pool.</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Stated as a single gap: existing IoT security performs reactive anomaly detection while digital twins are used for monitoring and prediction; there is limited work integrating twins with counterfactual future-state simulation to validate machine-learning updates against multiple plausible future behaviours, and predictive attack simulation is rarely connected to secure edge-model retraining. A gap therefore exists for an integrated framework that uses counterfactual twin states to validate incoming updates, quarantines inconsistent updates, and proactively immunizes edge models against predicted threats.</w:t>
      </w:r>
    </w:p>
    <w:p>
      <w:bookmarkStart w:id="1012" w:name="bm_2_3"/>
      <w:pPr>
        <w:keepNext/>
        <w:spacing w:line="276" w:lineRule="auto" w:before="240" w:after="120"/>
        <w:jc w:val="left"/>
      </w:pPr>
      <w:r>
        <w:rPr>
          <w:rFonts w:ascii="Times New Roman" w:hAnsi="Times New Roman" w:eastAsia="Times New Roman" w:cs="Times New Roman"/>
          <w:b/>
          <w:i w:val="0"/>
          <w:caps w:val="0"/>
          <w:color w:val="000000"/>
          <w:sz w:val="26"/>
        </w:rPr>
        <w:t>2.3  Objectives</w:t>
      </w:r>
      <w:bookmarkEnd w:id="1012"/>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Seven objectives are defined, each mapped to a research gap and to a measurable acceptance criterion.</w:t>
      </w:r>
    </w:p>
    <w:p>
      <w:pPr>
        <w:keepNext w:val="0"/>
        <w:spacing w:line="240" w:lineRule="auto" w:before="160" w:after="80"/>
        <w:jc w:val="center"/>
      </w:pPr>
      <w:r>
        <w:rPr>
          <w:rFonts w:ascii="Times New Roman" w:hAnsi="Times New Roman" w:eastAsia="Times New Roman" w:cs="Times New Roman"/>
          <w:b w:val="0"/>
          <w:i/>
          <w:caps w:val="0"/>
          <w:color w:val="000000"/>
          <w:sz w:val="22"/>
        </w:rPr>
        <w:t>Table 2.2  Objectives, mapped gaps and acceptance criteria</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648"/>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w:t>
            </w:r>
          </w:p>
        </w:tc>
        <w:tc>
          <w:tcPr>
            <w:tcW w:type="dxa" w:w="3384"/>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Objective</w:t>
            </w:r>
          </w:p>
        </w:tc>
        <w:tc>
          <w:tcPr>
            <w:tcW w:type="dxa" w:w="792"/>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Gap</w:t>
            </w:r>
          </w:p>
        </w:tc>
        <w:tc>
          <w:tcPr>
            <w:tcW w:type="dxa" w:w="3384"/>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Measurable criterion</w:t>
            </w:r>
          </w:p>
        </w:tc>
        <w:tc>
          <w:tcPr>
            <w:tcW w:type="dxa" w:w="1728"/>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Status</w:t>
            </w:r>
          </w:p>
        </w:tc>
      </w:tr>
      <w:tr>
        <w:tc>
          <w:tcPr>
            <w:tcW w:type="dxa" w:w="64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O1</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Simulate a heterogeneous consumer IoT fleet and an on-demand edge gateway.</w:t>
            </w:r>
          </w:p>
        </w:tc>
        <w:tc>
          <w:tcPr>
            <w:tcW w:type="dxa" w:w="79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G4</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Six device types separable on baseline behaviour</w:t>
            </w:r>
          </w:p>
        </w:tc>
        <w:tc>
          <w:tcPr>
            <w:tcW w:type="dxa" w:w="17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Complete</w:t>
            </w:r>
          </w:p>
        </w:tc>
      </w:tr>
      <w:tr>
        <w:tc>
          <w:tcPr>
            <w:tcW w:type="dxa" w:w="64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O2</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Build a holographic twin per device across five behavioural planes.</w:t>
            </w:r>
          </w:p>
        </w:tc>
        <w:tc>
          <w:tcPr>
            <w:tcW w:type="dxa" w:w="79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G4</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Zero false flags on healthy traffic</w:t>
            </w:r>
          </w:p>
        </w:tc>
        <w:tc>
          <w:tcPr>
            <w:tcW w:type="dxa" w:w="17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Complete</w:t>
            </w:r>
          </w:p>
        </w:tc>
      </w:tr>
      <w:tr>
        <w:tc>
          <w:tcPr>
            <w:tcW w:type="dxa" w:w="64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O3</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Commit counterfactual futures before the observation they judge exists.</w:t>
            </w:r>
          </w:p>
        </w:tc>
        <w:tc>
          <w:tcPr>
            <w:tcW w:type="dxa" w:w="79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G1</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20 futures x 5-tick horizon, committed in advance</w:t>
            </w:r>
          </w:p>
        </w:tc>
        <w:tc>
          <w:tcPr>
            <w:tcW w:type="dxa" w:w="17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Complete</w:t>
            </w:r>
          </w:p>
        </w:tc>
      </w:tr>
      <w:tr>
        <w:tc>
          <w:tcPr>
            <w:tcW w:type="dxa" w:w="64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O4</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Design a Counterfactual Consistency Score gating every retraining update.</w:t>
            </w:r>
          </w:p>
        </w:tc>
        <w:tc>
          <w:tcPr>
            <w:tcW w:type="dxa" w:w="79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G2</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Separation between honest and poisoned scores</w:t>
            </w:r>
          </w:p>
        </w:tc>
        <w:tc>
          <w:tcPr>
            <w:tcW w:type="dxa" w:w="17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Complete</w:t>
            </w:r>
          </w:p>
        </w:tc>
      </w:tr>
      <w:tr>
        <w:tc>
          <w:tcPr>
            <w:tcW w:type="dxa" w:w="64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O5</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Detect clean-label poisoning that carries no label shift.</w:t>
            </w:r>
          </w:p>
        </w:tc>
        <w:tc>
          <w:tcPr>
            <w:tcW w:type="dxa" w:w="79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G6</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Quarantined at a label shift below 0.10</w:t>
            </w:r>
          </w:p>
        </w:tc>
        <w:tc>
          <w:tcPr>
            <w:tcW w:type="dxa" w:w="17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Complete</w:t>
            </w:r>
          </w:p>
        </w:tc>
      </w:tr>
      <w:tr>
        <w:tc>
          <w:tcPr>
            <w:tcW w:type="dxa" w:w="64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O6</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Immunize the detector against synthesised poisoning before real attacks.</w:t>
            </w:r>
          </w:p>
        </w:tc>
        <w:tc>
          <w:tcPr>
            <w:tcW w:type="dxa" w:w="79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G3</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Poison resistance measured across five strategies</w:t>
            </w:r>
          </w:p>
        </w:tc>
        <w:tc>
          <w:tcPr>
            <w:tcW w:type="dxa" w:w="17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Complete</w:t>
            </w:r>
          </w:p>
        </w:tc>
      </w:tr>
      <w:tr>
        <w:tc>
          <w:tcPr>
            <w:tcW w:type="dxa" w:w="64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O7</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Benchmark against reactive baselines across poisoning rates.</w:t>
            </w:r>
          </w:p>
        </w:tc>
        <w:tc>
          <w:tcPr>
            <w:tcW w:type="dxa" w:w="79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G1</w:t>
            </w:r>
          </w:p>
        </w:tc>
        <w:tc>
          <w:tcPr>
            <w:tcW w:type="dxa" w:w="338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Attack success rate versus each baseline</w:t>
            </w:r>
          </w:p>
        </w:tc>
        <w:tc>
          <w:tcPr>
            <w:tcW w:type="dxa" w:w="17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Phase II</w:t>
            </w:r>
          </w:p>
        </w:tc>
      </w:tr>
    </w:tbl>
    <w:p>
      <w:bookmarkStart w:id="1013" w:name="bm_2_4"/>
      <w:pPr>
        <w:keepNext/>
        <w:spacing w:line="276" w:lineRule="auto" w:before="240" w:after="120"/>
        <w:jc w:val="left"/>
      </w:pPr>
      <w:r>
        <w:rPr>
          <w:rFonts w:ascii="Times New Roman" w:hAnsi="Times New Roman" w:eastAsia="Times New Roman" w:cs="Times New Roman"/>
          <w:b/>
          <w:i w:val="0"/>
          <w:caps w:val="0"/>
          <w:color w:val="000000"/>
          <w:sz w:val="26"/>
        </w:rPr>
        <w:t>2.4  Problem Statement</w:t>
      </w:r>
      <w:bookmarkEnd w:id="1013"/>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An edge-AI threat detector protecting a consumer IoT network must retrain continuously on locally collected telemetry in order to remain accurate as the network changes. This creates an open ingestion path: a contributor — a device, a hub, or a vendor cloud, any of which may be attacker-controlled — can submit training data that shifts the model's decision boundary so that hostile behaviour is later classified as normal.</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Existing defences evaluate such a contribution only after it has been submitted and only against the current or historical state of the network. They are therefore blind to a contribution that is statistically ordinary but functionally damaging, and blind entirely to clean-label poisoning, in which every label is honest.</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problem addressed by this project is therefore: given a candidate retraining update for an edge threat-detection model in a consumer IoT network, determine before the update is accepted whether it is consistent with the expected future behaviour of that specific network, quarantine it if it is not, and independently harden the model against poisoning strategies that have not yet been attempted.</w:t>
      </w:r>
    </w:p>
    <w:p>
      <w:bookmarkStart w:id="1014" w:name="bm_2_5"/>
      <w:pPr>
        <w:keepNext/>
        <w:spacing w:line="276" w:lineRule="auto" w:before="240" w:after="120"/>
        <w:jc w:val="left"/>
      </w:pPr>
      <w:r>
        <w:rPr>
          <w:rFonts w:ascii="Times New Roman" w:hAnsi="Times New Roman" w:eastAsia="Times New Roman" w:cs="Times New Roman"/>
          <w:b/>
          <w:i w:val="0"/>
          <w:caps w:val="0"/>
          <w:color w:val="000000"/>
          <w:sz w:val="26"/>
        </w:rPr>
        <w:t>2.5  Project Plan</w:t>
      </w:r>
      <w:bookmarkEnd w:id="1014"/>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work is organised into two phases across the Fall Semester 2026. Phase I, concluding at Review-2, delivers the complete implemented framework and its internal measurement. Phase II, concluding at Review-3, delivers comparative evaluation against re-implemented reactive baselines, the poisoning-rate sweep, and dissemination. Figure 1 shows the schedule.</w:t>
      </w:r>
    </w:p>
    <w:p>
      <w:pPr>
        <w:spacing w:before="160" w:after="80"/>
        <w:jc w:val="center"/>
      </w:pPr>
      <w:r>
        <w:drawing>
          <wp:inline xmlns:a="http://schemas.openxmlformats.org/drawingml/2006/main" xmlns:pic="http://schemas.openxmlformats.org/drawingml/2006/picture">
            <wp:extent cx="5577840" cy="2731025"/>
            <wp:docPr id="1" name="Picture 1"/>
            <wp:cNvGraphicFramePr>
              <a:graphicFrameLocks noChangeAspect="1"/>
            </wp:cNvGraphicFramePr>
            <a:graphic>
              <a:graphicData uri="http://schemas.openxmlformats.org/drawingml/2006/picture">
                <pic:pic>
                  <pic:nvPicPr>
                    <pic:cNvPr id="0" name="fig1_gantt.png"/>
                    <pic:cNvPicPr/>
                  </pic:nvPicPr>
                  <pic:blipFill>
                    <a:blip r:embed="rId12"/>
                    <a:stretch>
                      <a:fillRect/>
                    </a:stretch>
                  </pic:blipFill>
                  <pic:spPr>
                    <a:xfrm>
                      <a:off x="0" y="0"/>
                      <a:ext cx="5577840" cy="2731025"/>
                    </a:xfrm>
                    <a:prstGeom prst="rect"/>
                  </pic:spPr>
                </pic:pic>
              </a:graphicData>
            </a:graphic>
          </wp:inline>
        </w:drawing>
      </w:r>
    </w:p>
    <w:p>
      <w:pPr>
        <w:keepNext w:val="0"/>
        <w:spacing w:line="240" w:lineRule="auto" w:before="0" w:after="240"/>
        <w:jc w:val="center"/>
      </w:pPr>
      <w:r>
        <w:rPr>
          <w:rFonts w:ascii="Times New Roman" w:hAnsi="Times New Roman" w:eastAsia="Times New Roman" w:cs="Times New Roman"/>
          <w:b w:val="0"/>
          <w:i w:val="0"/>
          <w:caps w:val="0"/>
          <w:color w:val="000000"/>
          <w:sz w:val="22"/>
        </w:rPr>
        <w:t>Fig. 1.  Project plan (Gantt chart)</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Tasks shown in teal are complete and demonstrable; tasks in amber are planned for Phase II. The dashed marker indicates the Review-2 checkpoint on 4 September 2026.</w:t>
      </w:r>
    </w:p>
    <w:p>
      <w:r>
        <w:br w:type="page"/>
      </w:r>
    </w:p>
    <w:p>
      <w:pPr>
        <w:keepNext/>
        <w:spacing w:line="259" w:lineRule="auto" w:before="0" w:after="160"/>
        <w:jc w:val="center"/>
      </w:pPr>
      <w:r>
        <w:rPr>
          <w:rFonts w:ascii="Times New Roman" w:hAnsi="Times New Roman" w:eastAsia="Times New Roman" w:cs="Times New Roman"/>
          <w:b/>
          <w:i w:val="0"/>
          <w:caps w:val="0"/>
          <w:color w:val="000000"/>
          <w:sz w:val="32"/>
        </w:rPr>
        <w:t>CHAPTER 3</w:t>
      </w:r>
    </w:p>
    <w:p>
      <w:bookmarkStart w:id="1015" w:name="bm_3"/>
      <w:pPr>
        <w:keepNext/>
        <w:spacing w:line="259" w:lineRule="auto" w:before="0" w:after="200"/>
        <w:jc w:val="left"/>
      </w:pPr>
      <w:r>
        <w:rPr>
          <w:rFonts w:ascii="Times New Roman" w:hAnsi="Times New Roman" w:eastAsia="Times New Roman" w:cs="Times New Roman"/>
          <w:b/>
          <w:i w:val="0"/>
          <w:caps w:val="0"/>
          <w:color w:val="000000"/>
          <w:sz w:val="28"/>
        </w:rPr>
        <w:t>3. TECHNICAL SPECIFICATION</w:t>
      </w:r>
      <w:bookmarkEnd w:id="1015"/>
    </w:p>
    <w:p>
      <w:bookmarkStart w:id="1016" w:name="bm_3_1"/>
      <w:pPr>
        <w:keepNext/>
        <w:spacing w:line="276" w:lineRule="auto" w:before="240" w:after="120"/>
        <w:jc w:val="left"/>
      </w:pPr>
      <w:r>
        <w:rPr>
          <w:rFonts w:ascii="Times New Roman" w:hAnsi="Times New Roman" w:eastAsia="Times New Roman" w:cs="Times New Roman"/>
          <w:b/>
          <w:i w:val="0"/>
          <w:caps w:val="0"/>
          <w:color w:val="000000"/>
          <w:sz w:val="26"/>
        </w:rPr>
        <w:t>3.1  Requirements</w:t>
      </w:r>
      <w:bookmarkEnd w:id="1016"/>
    </w:p>
    <w:p>
      <w:bookmarkStart w:id="1017" w:name="bm_3_1_1"/>
      <w:pPr>
        <w:keepNext/>
        <w:spacing w:line="276" w:lineRule="auto" w:before="200" w:after="80"/>
        <w:jc w:val="left"/>
      </w:pPr>
      <w:r>
        <w:rPr>
          <w:rFonts w:ascii="Times New Roman" w:hAnsi="Times New Roman" w:eastAsia="Times New Roman" w:cs="Times New Roman"/>
          <w:b/>
          <w:i w:val="0"/>
          <w:caps w:val="0"/>
          <w:color w:val="000000"/>
          <w:sz w:val="24"/>
        </w:rPr>
        <w:t>3.1.1  Functional</w:t>
      </w:r>
      <w:bookmarkEnd w:id="1017"/>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FR-01  Device simulation.  </w:t>
      </w:r>
      <w:r>
        <w:rPr>
          <w:rFonts w:ascii="Times New Roman" w:hAnsi="Times New Roman" w:eastAsia="Times New Roman" w:cs="Times New Roman"/>
          <w:b w:val="0"/>
          <w:i w:val="0"/>
          <w:caps w:val="0"/>
          <w:color w:val="000000"/>
          <w:sz w:val="24"/>
        </w:rPr>
        <w:t>The system shall generate continuous sixteen-feature telemetry for six consumer device types, each with a distinct behavioural baseline, and shall deform that telemetry according to a named attack class on demand.</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FR-02  On-demand ingestion.  </w:t>
      </w:r>
      <w:r>
        <w:rPr>
          <w:rFonts w:ascii="Times New Roman" w:hAnsi="Times New Roman" w:eastAsia="Times New Roman" w:cs="Times New Roman"/>
          <w:b w:val="0"/>
          <w:i w:val="0"/>
          <w:caps w:val="0"/>
          <w:color w:val="000000"/>
          <w:sz w:val="24"/>
        </w:rPr>
        <w:t>The gateway shall collect, timestamp and buffer per-device telemetry only when an operator requests a tick; no collection shall occur autonomously.</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FR-03  Twin synchronisation.  </w:t>
      </w:r>
      <w:r>
        <w:rPr>
          <w:rFonts w:ascii="Times New Roman" w:hAnsi="Times New Roman" w:eastAsia="Times New Roman" w:cs="Times New Roman"/>
          <w:b w:val="0"/>
          <w:i w:val="0"/>
          <w:caps w:val="0"/>
          <w:color w:val="000000"/>
          <w:sz w:val="24"/>
        </w:rPr>
        <w:t>Each device shall have a holographic twin whose five-plane state is updated from trusted telemetry, and which shall refuse any observation judged hostile by either detector.</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FR-04  Future commitment.  </w:t>
      </w:r>
      <w:r>
        <w:rPr>
          <w:rFonts w:ascii="Times New Roman" w:hAnsi="Times New Roman" w:eastAsia="Times New Roman" w:cs="Times New Roman"/>
          <w:b w:val="0"/>
          <w:i w:val="0"/>
          <w:caps w:val="0"/>
          <w:color w:val="000000"/>
          <w:sz w:val="24"/>
        </w:rPr>
        <w:t>Each ready twin shall commit twenty predicted trajectories over a five-tick horizon before the observation those trajectories will be used to judge exists.</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FR-05  Threat detection.  </w:t>
      </w:r>
      <w:r>
        <w:rPr>
          <w:rFonts w:ascii="Times New Roman" w:hAnsi="Times New Roman" w:eastAsia="Times New Roman" w:cs="Times New Roman"/>
          <w:b w:val="0"/>
          <w:i w:val="0"/>
          <w:caps w:val="0"/>
          <w:color w:val="000000"/>
          <w:sz w:val="24"/>
        </w:rPr>
        <w:t>The system shall classify normal traffic and six attack classes, returning a predicted class, a confidence and an operator-facing risk level for every observation.</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FR-06  Counterfactual validation.  </w:t>
      </w:r>
      <w:r>
        <w:rPr>
          <w:rFonts w:ascii="Times New Roman" w:hAnsi="Times New Roman" w:eastAsia="Times New Roman" w:cs="Times New Roman"/>
          <w:b w:val="0"/>
          <w:i w:val="0"/>
          <w:caps w:val="0"/>
          <w:color w:val="000000"/>
          <w:sz w:val="24"/>
        </w:rPr>
        <w:t>Every retraining update shall be scored on six weighted components against the counterfactual audit bank and judged against a threshold calibrated from honest updates on the deployed fleet.</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FR-07  Operator control.  </w:t>
      </w:r>
      <w:r>
        <w:rPr>
          <w:rFonts w:ascii="Times New Roman" w:hAnsi="Times New Roman" w:eastAsia="Times New Roman" w:cs="Times New Roman"/>
          <w:b w:val="0"/>
          <w:i w:val="0"/>
          <w:caps w:val="0"/>
          <w:color w:val="000000"/>
          <w:sz w:val="24"/>
        </w:rPr>
        <w:t>The system shall apply an accept or quarantine decision only on explicit operator instruction, shall permit that decision to be overridden in either direction, and shall record any override.</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FR-08  Quarantine ledger.  </w:t>
      </w:r>
      <w:r>
        <w:rPr>
          <w:rFonts w:ascii="Times New Roman" w:hAnsi="Times New Roman" w:eastAsia="Times New Roman" w:cs="Times New Roman"/>
          <w:b w:val="0"/>
          <w:i w:val="0"/>
          <w:caps w:val="0"/>
          <w:color w:val="000000"/>
          <w:sz w:val="24"/>
        </w:rPr>
        <w:t>Quarantined updates shall be retained intact with update identifier, source, suspected strategy, consistency score and timestamp, and shall be re-scorable against a later audit bank.</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FR-09  Predictive immunization.  </w:t>
      </w:r>
      <w:r>
        <w:rPr>
          <w:rFonts w:ascii="Times New Roman" w:hAnsi="Times New Roman" w:eastAsia="Times New Roman" w:cs="Times New Roman"/>
          <w:b w:val="0"/>
          <w:i w:val="0"/>
          <w:caps w:val="0"/>
          <w:color w:val="000000"/>
          <w:sz w:val="24"/>
        </w:rPr>
        <w:t>The system shall synthesise vaccine rows from committed futures and shall measure poison resistance by rehearsing five poisoning strategies against the current training pool.</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FR-10  Guarded promotion and rollback.  </w:t>
      </w:r>
      <w:r>
        <w:rPr>
          <w:rFonts w:ascii="Times New Roman" w:hAnsi="Times New Roman" w:eastAsia="Times New Roman" w:cs="Times New Roman"/>
          <w:b w:val="0"/>
          <w:i w:val="0"/>
          <w:caps w:val="0"/>
          <w:color w:val="000000"/>
          <w:sz w:val="24"/>
        </w:rPr>
        <w:t>A retrained candidate shall replace the incumbent only if accuracy, poison resistance, false-positive rate and pool size all pass their gates; otherwise the incumbent is retained and remains available for rollback.</w:t>
      </w:r>
    </w:p>
    <w:p>
      <w:bookmarkStart w:id="1018" w:name="bm_3_1_2"/>
      <w:pPr>
        <w:keepNext/>
        <w:spacing w:line="276" w:lineRule="auto" w:before="200" w:after="80"/>
        <w:jc w:val="left"/>
      </w:pPr>
      <w:r>
        <w:rPr>
          <w:rFonts w:ascii="Times New Roman" w:hAnsi="Times New Roman" w:eastAsia="Times New Roman" w:cs="Times New Roman"/>
          <w:b/>
          <w:i w:val="0"/>
          <w:caps w:val="0"/>
          <w:color w:val="000000"/>
          <w:sz w:val="24"/>
        </w:rPr>
        <w:t>3.1.2  Non-Functional</w:t>
      </w:r>
      <w:bookmarkEnd w:id="1018"/>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Performance.  </w:t>
      </w:r>
      <w:r>
        <w:rPr>
          <w:rFonts w:ascii="Times New Roman" w:hAnsi="Times New Roman" w:eastAsia="Times New Roman" w:cs="Times New Roman"/>
          <w:b w:val="0"/>
          <w:i w:val="0"/>
          <w:caps w:val="0"/>
          <w:color w:val="000000"/>
          <w:sz w:val="24"/>
        </w:rPr>
        <w:t>Validation of a single update shall complete within one second on laptop-class CPU hardware; the measured figure is 412 milliseconds.</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Resource economy.  </w:t>
      </w:r>
      <w:r>
        <w:rPr>
          <w:rFonts w:ascii="Times New Roman" w:hAnsi="Times New Roman" w:eastAsia="Times New Roman" w:cs="Times New Roman"/>
          <w:b w:val="0"/>
          <w:i w:val="0"/>
          <w:caps w:val="0"/>
          <w:color w:val="000000"/>
          <w:sz w:val="24"/>
        </w:rPr>
        <w:t>The pipeline shall execute without GPU acceleration, so that it remains deployable on a single-board gateway.</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Determinism.  </w:t>
      </w:r>
      <w:r>
        <w:rPr>
          <w:rFonts w:ascii="Times New Roman" w:hAnsi="Times New Roman" w:eastAsia="Times New Roman" w:cs="Times New Roman"/>
          <w:b w:val="0"/>
          <w:i w:val="0"/>
          <w:caps w:val="0"/>
          <w:color w:val="000000"/>
          <w:sz w:val="24"/>
        </w:rPr>
        <w:t>A given random seed shall reproduce an identical end-to-end run, so that reported results are verifiable.</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Auditability.  </w:t>
      </w:r>
      <w:r>
        <w:rPr>
          <w:rFonts w:ascii="Times New Roman" w:hAnsi="Times New Roman" w:eastAsia="Times New Roman" w:cs="Times New Roman"/>
          <w:b w:val="0"/>
          <w:i w:val="0"/>
          <w:caps w:val="0"/>
          <w:color w:val="000000"/>
          <w:sz w:val="24"/>
        </w:rPr>
        <w:t>Every automated decision shall expose the components that produced it, and every training row shall record its contributing update and source.</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Fail-safe behaviour.  </w:t>
      </w:r>
      <w:r>
        <w:rPr>
          <w:rFonts w:ascii="Times New Roman" w:hAnsi="Times New Roman" w:eastAsia="Times New Roman" w:cs="Times New Roman"/>
          <w:b w:val="0"/>
          <w:i w:val="0"/>
          <w:caps w:val="0"/>
          <w:color w:val="000000"/>
          <w:sz w:val="24"/>
        </w:rPr>
        <w:t>A failed promotion, a failed validation or an internal error shall leave the incumbent trusted model in service.</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Locality.  </w:t>
      </w:r>
      <w:r>
        <w:rPr>
          <w:rFonts w:ascii="Times New Roman" w:hAnsi="Times New Roman" w:eastAsia="Times New Roman" w:cs="Times New Roman"/>
          <w:b w:val="0"/>
          <w:i w:val="0"/>
          <w:caps w:val="0"/>
          <w:color w:val="000000"/>
          <w:sz w:val="24"/>
        </w:rPr>
        <w:t>No telemetry, model or update shall leave the local network during normal operation.</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Usability.  </w:t>
      </w:r>
      <w:r>
        <w:rPr>
          <w:rFonts w:ascii="Times New Roman" w:hAnsi="Times New Roman" w:eastAsia="Times New Roman" w:cs="Times New Roman"/>
          <w:b w:val="0"/>
          <w:i w:val="0"/>
          <w:caps w:val="0"/>
          <w:color w:val="000000"/>
          <w:sz w:val="24"/>
        </w:rPr>
        <w:t>The operator interface shall state, for each stage, what the stage does before it runs and what its result means afterwards.</w:t>
      </w:r>
    </w:p>
    <w:p>
      <w:pPr>
        <w:pStyle w:val="ListBullet"/>
        <w:spacing w:line="276" w:lineRule="auto" w:after="80"/>
        <w:ind w:left="576"/>
        <w:jc w:val="both"/>
      </w:pPr>
      <w:r>
        <w:rPr>
          <w:rFonts w:ascii="Times New Roman" w:hAnsi="Times New Roman" w:eastAsia="Times New Roman" w:cs="Times New Roman"/>
          <w:b/>
          <w:i w:val="0"/>
          <w:caps w:val="0"/>
          <w:color w:val="000000"/>
          <w:sz w:val="24"/>
        </w:rPr>
        <w:t xml:space="preserve">Maintainability.  </w:t>
      </w:r>
      <w:r>
        <w:rPr>
          <w:rFonts w:ascii="Times New Roman" w:hAnsi="Times New Roman" w:eastAsia="Times New Roman" w:cs="Times New Roman"/>
          <w:b w:val="0"/>
          <w:i w:val="0"/>
          <w:caps w:val="0"/>
          <w:color w:val="000000"/>
          <w:sz w:val="24"/>
        </w:rPr>
        <w:t>Every tunable constant shall reside in a single configuration module, and the system shall be covered by an automated test suite.</w:t>
      </w:r>
    </w:p>
    <w:p>
      <w:bookmarkStart w:id="1019" w:name="bm_3_2"/>
      <w:pPr>
        <w:keepNext/>
        <w:spacing w:line="276" w:lineRule="auto" w:before="240" w:after="120"/>
        <w:jc w:val="left"/>
      </w:pPr>
      <w:r>
        <w:rPr>
          <w:rFonts w:ascii="Times New Roman" w:hAnsi="Times New Roman" w:eastAsia="Times New Roman" w:cs="Times New Roman"/>
          <w:b/>
          <w:i w:val="0"/>
          <w:caps w:val="0"/>
          <w:color w:val="000000"/>
          <w:sz w:val="26"/>
        </w:rPr>
        <w:t>3.2  Feasibility Study</w:t>
      </w:r>
      <w:bookmarkEnd w:id="1019"/>
    </w:p>
    <w:p>
      <w:bookmarkStart w:id="1020" w:name="bm_3_2_1"/>
      <w:pPr>
        <w:keepNext/>
        <w:spacing w:line="276" w:lineRule="auto" w:before="200" w:after="80"/>
        <w:jc w:val="left"/>
      </w:pPr>
      <w:r>
        <w:rPr>
          <w:rFonts w:ascii="Times New Roman" w:hAnsi="Times New Roman" w:eastAsia="Times New Roman" w:cs="Times New Roman"/>
          <w:b/>
          <w:i w:val="0"/>
          <w:caps w:val="0"/>
          <w:color w:val="000000"/>
          <w:sz w:val="24"/>
        </w:rPr>
        <w:t>3.2.1  Technical Feasibility</w:t>
      </w:r>
      <w:bookmarkEnd w:id="1020"/>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framework is built from established components: a ridge-regularised vector autoregression for the twin's forward model, a random-forest classifier for threat detection, and standard scientific Python libraries throughout. The choice of a closed-form ridge fit over a recurrent network is deliberate and is what makes the design feasible on constrained hardware: the twin must refit repeatedly from a few dozen observations per device and must produce a distribution of futures rather than a point estimate, both of which a closed-form fit provides in microseconds and without a GPU.</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Technical feasibility is evidenced rather than asserted. The complete twelve-stage pipeline executes end to end in approximately fifteen seconds on a laptop-class CPU, and is covered by sixty-four automated tests. No component requires specialised hardware, and no stage depends on network connectivity beyond the local gateway.</w:t>
      </w:r>
    </w:p>
    <w:p>
      <w:bookmarkStart w:id="1021" w:name="bm_3_2_2"/>
      <w:pPr>
        <w:keepNext/>
        <w:spacing w:line="276" w:lineRule="auto" w:before="200" w:after="80"/>
        <w:jc w:val="left"/>
      </w:pPr>
      <w:r>
        <w:rPr>
          <w:rFonts w:ascii="Times New Roman" w:hAnsi="Times New Roman" w:eastAsia="Times New Roman" w:cs="Times New Roman"/>
          <w:b/>
          <w:i w:val="0"/>
          <w:caps w:val="0"/>
          <w:color w:val="000000"/>
          <w:sz w:val="24"/>
        </w:rPr>
        <w:t>3.2.2  Economic Feasibility</w:t>
      </w:r>
      <w:bookmarkEnd w:id="1021"/>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Development cost is confined to student effort and commodity hardware; every library used is open source and permissively licensed, so licence cost is nil. Because inference and retraining both execute on the gateway, the recurring cost of a deployment is the gateway itself — a single-board computer of the Raspberry Pi class — with no cloud compute, no data-egress charges and no per-device subscription.</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economic argument for the defence is asymmetric. The marginal cost of validating an update is a fraction of a second of CPU time, whereas the cost of a successfully poisoned detector is the silent loss of protection across the whole household for as long as the compromise goes unnoticed.</w:t>
      </w:r>
    </w:p>
    <w:p>
      <w:bookmarkStart w:id="1022" w:name="bm_3_2_3"/>
      <w:pPr>
        <w:keepNext/>
        <w:spacing w:line="276" w:lineRule="auto" w:before="200" w:after="80"/>
        <w:jc w:val="left"/>
      </w:pPr>
      <w:r>
        <w:rPr>
          <w:rFonts w:ascii="Times New Roman" w:hAnsi="Times New Roman" w:eastAsia="Times New Roman" w:cs="Times New Roman"/>
          <w:b/>
          <w:i w:val="0"/>
          <w:caps w:val="0"/>
          <w:color w:val="000000"/>
          <w:sz w:val="24"/>
        </w:rPr>
        <w:t>3.2.3  Social Feasibility</w:t>
      </w:r>
      <w:bookmarkEnd w:id="1022"/>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Because all processing is local, no household telemetry is transmitted to a vendor, which addresses the privacy objection that limits acceptance of monitored home security. The operator interface is designed so that every automated judgement is inspectable and can be overruled; a security control that a human can neither examine nor countermand is an oracle rather than a control, and is unlikely to be trusted or retained.</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Two ethical considerations bound the work. First, the poisoning simulator exists to test the defence and is confined to a simulated fleet. Second, an automated system that can reject a legitimate contribution carries a fairness cost, which is why the accept threshold is calibrated from honest traffic rather than fixed, and why quarantine holds an update intact for re-judgement rather than discarding it.</w:t>
      </w:r>
    </w:p>
    <w:p>
      <w:bookmarkStart w:id="1023" w:name="bm_3_3"/>
      <w:pPr>
        <w:keepNext/>
        <w:spacing w:line="276" w:lineRule="auto" w:before="240" w:after="120"/>
        <w:jc w:val="left"/>
      </w:pPr>
      <w:r>
        <w:rPr>
          <w:rFonts w:ascii="Times New Roman" w:hAnsi="Times New Roman" w:eastAsia="Times New Roman" w:cs="Times New Roman"/>
          <w:b/>
          <w:i w:val="0"/>
          <w:caps w:val="0"/>
          <w:color w:val="000000"/>
          <w:sz w:val="26"/>
        </w:rPr>
        <w:t>3.3  System Specification</w:t>
      </w:r>
      <w:bookmarkEnd w:id="1023"/>
    </w:p>
    <w:p>
      <w:bookmarkStart w:id="1024" w:name="bm_3_3_1"/>
      <w:pPr>
        <w:keepNext/>
        <w:spacing w:line="276" w:lineRule="auto" w:before="200" w:after="80"/>
        <w:jc w:val="left"/>
      </w:pPr>
      <w:r>
        <w:rPr>
          <w:rFonts w:ascii="Times New Roman" w:hAnsi="Times New Roman" w:eastAsia="Times New Roman" w:cs="Times New Roman"/>
          <w:b/>
          <w:i w:val="0"/>
          <w:caps w:val="0"/>
          <w:color w:val="000000"/>
          <w:sz w:val="24"/>
        </w:rPr>
        <w:t>3.3.1  Hardware Specification</w:t>
      </w:r>
      <w:bookmarkEnd w:id="1024"/>
    </w:p>
    <w:tbl>
      <w:tblPr>
        <w:tblW w:type="auto" w:w="0"/>
        <w:jc w:val="center"/>
        <w:tblLayout w:type="fixed"/>
        <w:tblLook w:firstColumn="1" w:firstRow="1" w:lastColumn="0" w:lastRow="0" w:noHBand="0" w:noVBand="1" w:val="04A0"/>
      </w:tblPr>
      <w:tblGrid>
        <w:gridCol w:w="2890"/>
        <w:gridCol w:w="2890"/>
        <w:gridCol w:w="2890"/>
      </w:tblGrid>
      <w:tr>
        <w:tc>
          <w:tcPr>
            <w:tcW w:type="dxa" w:w="1944"/>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Component</w:t>
            </w:r>
          </w:p>
        </w:tc>
        <w:tc>
          <w:tcPr>
            <w:tcW w:type="dxa" w:w="3672"/>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Development specification</w:t>
            </w:r>
          </w:p>
        </w:tc>
        <w:tc>
          <w:tcPr>
            <w:tcW w:type="dxa" w:w="4176"/>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Minimum for deployment</w:t>
            </w:r>
          </w:p>
        </w:tc>
      </w:tr>
      <w:tr>
        <w:tc>
          <w:tcPr>
            <w:tcW w:type="dxa" w:w="19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Processor</w:t>
            </w:r>
          </w:p>
        </w:tc>
        <w:tc>
          <w:tcPr>
            <w:tcW w:type="dxa" w:w="367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x86-64, quad core, 2.4 GHz</w:t>
            </w:r>
          </w:p>
        </w:tc>
        <w:tc>
          <w:tcPr>
            <w:tcW w:type="dxa" w:w="41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ARM Cortex-A72 quad core (Raspberry Pi 4 class)</w:t>
            </w:r>
          </w:p>
        </w:tc>
      </w:tr>
      <w:tr>
        <w:tc>
          <w:tcPr>
            <w:tcW w:type="dxa" w:w="19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Memory</w:t>
            </w:r>
          </w:p>
        </w:tc>
        <w:tc>
          <w:tcPr>
            <w:tcW w:type="dxa" w:w="367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16 GB</w:t>
            </w:r>
          </w:p>
        </w:tc>
        <w:tc>
          <w:tcPr>
            <w:tcW w:type="dxa" w:w="41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4 GB</w:t>
            </w:r>
          </w:p>
        </w:tc>
      </w:tr>
      <w:tr>
        <w:tc>
          <w:tcPr>
            <w:tcW w:type="dxa" w:w="19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Storage</w:t>
            </w:r>
          </w:p>
        </w:tc>
        <w:tc>
          <w:tcPr>
            <w:tcW w:type="dxa" w:w="367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20 GB free</w:t>
            </w:r>
          </w:p>
        </w:tc>
        <w:tc>
          <w:tcPr>
            <w:tcW w:type="dxa" w:w="41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8 GB (models, ledger and logs)</w:t>
            </w:r>
          </w:p>
        </w:tc>
      </w:tr>
      <w:tr>
        <w:tc>
          <w:tcPr>
            <w:tcW w:type="dxa" w:w="19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Graphics</w:t>
            </w:r>
          </w:p>
        </w:tc>
        <w:tc>
          <w:tcPr>
            <w:tcW w:type="dxa" w:w="367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Not required</w:t>
            </w:r>
          </w:p>
        </w:tc>
        <w:tc>
          <w:tcPr>
            <w:tcW w:type="dxa" w:w="41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Not required</w:t>
            </w:r>
          </w:p>
        </w:tc>
      </w:tr>
      <w:tr>
        <w:tc>
          <w:tcPr>
            <w:tcW w:type="dxa" w:w="19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Network</w:t>
            </w:r>
          </w:p>
        </w:tc>
        <w:tc>
          <w:tcPr>
            <w:tcW w:type="dxa" w:w="367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Local Ethernet or Wi-Fi</w:t>
            </w:r>
          </w:p>
        </w:tc>
        <w:tc>
          <w:tcPr>
            <w:tcW w:type="dxa" w:w="41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Local network only; no internet dependency</w:t>
            </w:r>
          </w:p>
        </w:tc>
      </w:tr>
      <w:tr>
        <w:tc>
          <w:tcPr>
            <w:tcW w:type="dxa" w:w="19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Display</w:t>
            </w:r>
          </w:p>
        </w:tc>
        <w:tc>
          <w:tcPr>
            <w:tcW w:type="dxa" w:w="367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1920 x 1080 for the operator console</w:t>
            </w:r>
          </w:p>
        </w:tc>
        <w:tc>
          <w:tcPr>
            <w:tcW w:type="dxa" w:w="41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Any browser-capable client on the LAN</w:t>
            </w:r>
          </w:p>
        </w:tc>
      </w:tr>
    </w:tbl>
    <w:p>
      <w:bookmarkStart w:id="1025" w:name="bm_3_3_2"/>
      <w:pPr>
        <w:keepNext/>
        <w:spacing w:line="276" w:lineRule="auto" w:before="200" w:after="80"/>
        <w:jc w:val="left"/>
      </w:pPr>
      <w:r>
        <w:rPr>
          <w:rFonts w:ascii="Times New Roman" w:hAnsi="Times New Roman" w:eastAsia="Times New Roman" w:cs="Times New Roman"/>
          <w:b/>
          <w:i w:val="0"/>
          <w:caps w:val="0"/>
          <w:color w:val="000000"/>
          <w:sz w:val="24"/>
        </w:rPr>
        <w:t>3.3.2  Software Specification</w:t>
      </w:r>
      <w:bookmarkEnd w:id="1025"/>
    </w:p>
    <w:tbl>
      <w:tblPr>
        <w:tblW w:type="auto" w:w="0"/>
        <w:jc w:val="center"/>
        <w:tblLayout w:type="fixed"/>
        <w:tblLook w:firstColumn="1" w:firstRow="1" w:lastColumn="0" w:lastRow="0" w:noHBand="0" w:noVBand="1" w:val="04A0"/>
      </w:tblPr>
      <w:tblGrid>
        <w:gridCol w:w="2890"/>
        <w:gridCol w:w="2890"/>
        <w:gridCol w:w="2890"/>
      </w:tblGrid>
      <w:tr>
        <w:tc>
          <w:tcPr>
            <w:tcW w:type="dxa" w:w="2088"/>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Layer</w:t>
            </w:r>
          </w:p>
        </w:tc>
        <w:tc>
          <w:tcPr>
            <w:tcW w:type="dxa" w:w="3096"/>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Technology</w:t>
            </w:r>
          </w:p>
        </w:tc>
        <w:tc>
          <w:tcPr>
            <w:tcW w:type="dxa" w:w="4608"/>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Role in the system</w:t>
            </w:r>
          </w:p>
        </w:tc>
      </w:tr>
      <w:tr>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Operating system</w:t>
            </w:r>
          </w:p>
        </w:tc>
        <w:tc>
          <w:tcPr>
            <w:tcW w:type="dxa" w:w="309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Windows 11 / 64-bit Linux</w:t>
            </w:r>
          </w:p>
        </w:tc>
        <w:tc>
          <w:tcPr>
            <w:tcW w:type="dxa" w:w="46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Development and deployment host</w:t>
            </w:r>
          </w:p>
        </w:tc>
      </w:tr>
      <w:tr>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Language</w:t>
            </w:r>
          </w:p>
        </w:tc>
        <w:tc>
          <w:tcPr>
            <w:tcW w:type="dxa" w:w="309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Python 3.11 or later</w:t>
            </w:r>
          </w:p>
        </w:tc>
        <w:tc>
          <w:tcPr>
            <w:tcW w:type="dxa" w:w="46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Simulation, twins, models, validation</w:t>
            </w:r>
          </w:p>
        </w:tc>
      </w:tr>
      <w:tr>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Numerical</w:t>
            </w:r>
          </w:p>
        </w:tc>
        <w:tc>
          <w:tcPr>
            <w:tcW w:type="dxa" w:w="309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NumPy</w:t>
            </w:r>
          </w:p>
        </w:tc>
        <w:tc>
          <w:tcPr>
            <w:tcW w:type="dxa" w:w="46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Feature vectors, ridge fit, future roll-out</w:t>
            </w:r>
          </w:p>
        </w:tc>
      </w:tr>
      <w:tr>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Machine learning</w:t>
            </w:r>
          </w:p>
        </w:tc>
        <w:tc>
          <w:tcPr>
            <w:tcW w:type="dxa" w:w="309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scikit-learn</w:t>
            </w:r>
          </w:p>
        </w:tc>
        <w:tc>
          <w:tcPr>
            <w:tcW w:type="dxa" w:w="46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Random-forest detector, shadow and probe models</w:t>
            </w:r>
          </w:p>
        </w:tc>
      </w:tr>
      <w:tr>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Web framework</w:t>
            </w:r>
          </w:p>
        </w:tc>
        <w:tc>
          <w:tcPr>
            <w:tcW w:type="dxa" w:w="309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FastAPI with Uvicorn</w:t>
            </w:r>
          </w:p>
        </w:tc>
        <w:tc>
          <w:tcPr>
            <w:tcW w:type="dxa" w:w="46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One HTTP endpoint per operator action</w:t>
            </w:r>
          </w:p>
        </w:tc>
      </w:tr>
      <w:tr>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Front end</w:t>
            </w:r>
          </w:p>
        </w:tc>
        <w:tc>
          <w:tcPr>
            <w:tcW w:type="dxa" w:w="309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HTML, CSS and vanilla JavaScript</w:t>
            </w:r>
          </w:p>
        </w:tc>
        <w:tc>
          <w:tcPr>
            <w:tcW w:type="dxa" w:w="46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Operator console; no build step required</w:t>
            </w:r>
          </w:p>
        </w:tc>
      </w:tr>
      <w:tr>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Persistence</w:t>
            </w:r>
          </w:p>
        </w:tc>
        <w:tc>
          <w:tcPr>
            <w:tcW w:type="dxa" w:w="309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joblib model registry with a JSON ledger</w:t>
            </w:r>
          </w:p>
        </w:tc>
        <w:tc>
          <w:tcPr>
            <w:tcW w:type="dxa" w:w="46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Versioned models and promotion history</w:t>
            </w:r>
          </w:p>
        </w:tc>
      </w:tr>
      <w:tr>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Testing</w:t>
            </w:r>
          </w:p>
        </w:tc>
        <w:tc>
          <w:tcPr>
            <w:tcW w:type="dxa" w:w="309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pytest</w:t>
            </w:r>
          </w:p>
        </w:tc>
        <w:tc>
          <w:tcPr>
            <w:tcW w:type="dxa" w:w="46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Sixty-four automated tests across all stages</w:t>
            </w:r>
          </w:p>
        </w:tc>
      </w:tr>
      <w:tr>
        <w:tc>
          <w:tcPr>
            <w:tcW w:type="dxa" w:w="208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Documentation</w:t>
            </w:r>
          </w:p>
        </w:tc>
        <w:tc>
          <w:tcPr>
            <w:tcW w:type="dxa" w:w="309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Matplotlib</w:t>
            </w:r>
          </w:p>
        </w:tc>
        <w:tc>
          <w:tcPr>
            <w:tcW w:type="dxa" w:w="46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0"/>
              </w:rPr>
              <w:t>Generation of the figures in this report</w:t>
            </w:r>
          </w:p>
        </w:tc>
      </w:tr>
    </w:tbl>
    <w:p>
      <w:r>
        <w:br w:type="page"/>
      </w:r>
    </w:p>
    <w:p>
      <w:pPr>
        <w:keepNext/>
        <w:spacing w:line="259" w:lineRule="auto" w:before="0" w:after="160"/>
        <w:jc w:val="center"/>
      </w:pPr>
      <w:r>
        <w:rPr>
          <w:rFonts w:ascii="Times New Roman" w:hAnsi="Times New Roman" w:eastAsia="Times New Roman" w:cs="Times New Roman"/>
          <w:b/>
          <w:i w:val="0"/>
          <w:caps w:val="0"/>
          <w:color w:val="000000"/>
          <w:sz w:val="32"/>
        </w:rPr>
        <w:t>CHAPTER 4</w:t>
      </w:r>
    </w:p>
    <w:p>
      <w:bookmarkStart w:id="1026" w:name="bm_4"/>
      <w:pPr>
        <w:keepNext/>
        <w:spacing w:line="259" w:lineRule="auto" w:before="0" w:after="200"/>
        <w:jc w:val="left"/>
      </w:pPr>
      <w:r>
        <w:rPr>
          <w:rFonts w:ascii="Times New Roman" w:hAnsi="Times New Roman" w:eastAsia="Times New Roman" w:cs="Times New Roman"/>
          <w:b/>
          <w:i w:val="0"/>
          <w:caps w:val="0"/>
          <w:color w:val="000000"/>
          <w:sz w:val="28"/>
        </w:rPr>
        <w:t>4. DESIGN APPROACH AND DETAILS</w:t>
      </w:r>
      <w:bookmarkEnd w:id="1026"/>
    </w:p>
    <w:p>
      <w:bookmarkStart w:id="1027" w:name="bm_4_1"/>
      <w:pPr>
        <w:keepNext/>
        <w:spacing w:line="276" w:lineRule="auto" w:before="240" w:after="120"/>
        <w:jc w:val="left"/>
      </w:pPr>
      <w:r>
        <w:rPr>
          <w:rFonts w:ascii="Times New Roman" w:hAnsi="Times New Roman" w:eastAsia="Times New Roman" w:cs="Times New Roman"/>
          <w:b/>
          <w:i w:val="0"/>
          <w:caps w:val="0"/>
          <w:color w:val="000000"/>
          <w:sz w:val="26"/>
        </w:rPr>
        <w:t>4.1  System Architecture</w:t>
      </w:r>
      <w:bookmarkEnd w:id="1027"/>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architecture is a closed loop with three vertical concerns: a device plane that produces telemetry, an edge gateway that turns telemetry into judgements, and a decision and recovery column that acts on those judgements and feeds the result back into detection. Figure 2 shows the arrangement.</w:t>
      </w:r>
    </w:p>
    <w:p>
      <w:pPr>
        <w:spacing w:before="160" w:after="80"/>
        <w:jc w:val="center"/>
      </w:pPr>
      <w:r>
        <w:drawing>
          <wp:inline xmlns:a="http://schemas.openxmlformats.org/drawingml/2006/main" xmlns:pic="http://schemas.openxmlformats.org/drawingml/2006/picture">
            <wp:extent cx="5577840" cy="3792498"/>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3"/>
                    <a:stretch>
                      <a:fillRect/>
                    </a:stretch>
                  </pic:blipFill>
                  <pic:spPr>
                    <a:xfrm>
                      <a:off x="0" y="0"/>
                      <a:ext cx="5577840" cy="3792498"/>
                    </a:xfrm>
                    <a:prstGeom prst="rect"/>
                  </pic:spPr>
                </pic:pic>
              </a:graphicData>
            </a:graphic>
          </wp:inline>
        </w:drawing>
      </w:r>
    </w:p>
    <w:p>
      <w:pPr>
        <w:keepNext w:val="0"/>
        <w:spacing w:line="240" w:lineRule="auto" w:before="0" w:after="240"/>
        <w:jc w:val="center"/>
      </w:pPr>
      <w:r>
        <w:rPr>
          <w:rFonts w:ascii="Times New Roman" w:hAnsi="Times New Roman" w:eastAsia="Times New Roman" w:cs="Times New Roman"/>
          <w:b w:val="0"/>
          <w:i w:val="0"/>
          <w:caps w:val="0"/>
          <w:color w:val="000000"/>
          <w:sz w:val="22"/>
        </w:rPr>
        <w:t>Fig. 2.  System architecture of the proposed framework</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Telemetry from each simulated device enters the gateway, where it is collected only on operator request. The holographic twin layer maintains, for every device, five partial projections of its behaviour — resource, network, access, topology and actuation. Modelling the device as separate projections rather than one combined state vector is what keeps single-plane attacks visible: a port scan detonates the topology plane and barely touches resources, while tampered firmware does the reverse, and averaging the two would hide both.</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Each ready twin fits a ridge vector autoregression over its recent history and rolls out twenty future trajectories. Half are retained as benign futures and half are deformed by each attack class in the taxonomy, together forming the counterfactual audit bank. The bank is filtered against the current trusted detector so that it contains only scenarios that detector already handles correctly; any subsequent degradation is then attributable to the update under test and to nothing else.</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Live observations are scored against the committed futures and classified by the threat detector. An incoming retraining update takes the second path: it is grafted onto a trusted core, a shadow model is trained, and that shadow model's behaviour on the audit bank produces the Counterfactual Consistency Score. Updates clearing the calibrated threshold join the safe pool; the remainder are quarantined intact. The immunization engine synthesises vaccine rows from the same committed futures, secure retraining applies four promotion gates, and the self-healing controller restores the last trusted model and purges the offending contributor's rows by provenance. The promoted model then re-filters the audit bank, closing the loop.</w:t>
      </w:r>
    </w:p>
    <w:p>
      <w:bookmarkStart w:id="1028" w:name="bm_4_2"/>
      <w:pPr>
        <w:keepNext/>
        <w:spacing w:line="276" w:lineRule="auto" w:before="240" w:after="120"/>
        <w:jc w:val="left"/>
      </w:pPr>
      <w:r>
        <w:rPr>
          <w:rFonts w:ascii="Times New Roman" w:hAnsi="Times New Roman" w:eastAsia="Times New Roman" w:cs="Times New Roman"/>
          <w:b/>
          <w:i w:val="0"/>
          <w:caps w:val="0"/>
          <w:color w:val="000000"/>
          <w:sz w:val="26"/>
        </w:rPr>
        <w:t>4.2  Design</w:t>
      </w:r>
      <w:bookmarkEnd w:id="1028"/>
    </w:p>
    <w:p>
      <w:bookmarkStart w:id="1029" w:name="bm_4_2_1"/>
      <w:pPr>
        <w:keepNext/>
        <w:spacing w:line="276" w:lineRule="auto" w:before="200" w:after="80"/>
        <w:jc w:val="left"/>
      </w:pPr>
      <w:r>
        <w:rPr>
          <w:rFonts w:ascii="Times New Roman" w:hAnsi="Times New Roman" w:eastAsia="Times New Roman" w:cs="Times New Roman"/>
          <w:b/>
          <w:i w:val="0"/>
          <w:caps w:val="0"/>
          <w:color w:val="000000"/>
          <w:sz w:val="24"/>
        </w:rPr>
        <w:t>4.2.1  Data Flow Diagram</w:t>
      </w:r>
      <w:bookmarkEnd w:id="1029"/>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Figure 3 presents the context diagram and its first-level decomposition. Three external entities interact with the system: the IoT devices that emit telemetry, the network operator who drives every stage and receives verdicts, and the update contributor, which may be attacker-controlled.</w:t>
      </w:r>
    </w:p>
    <w:p>
      <w:pPr>
        <w:spacing w:before="160" w:after="80"/>
        <w:jc w:val="center"/>
      </w:pPr>
      <w:r>
        <w:drawing>
          <wp:inline xmlns:a="http://schemas.openxmlformats.org/drawingml/2006/main" xmlns:pic="http://schemas.openxmlformats.org/drawingml/2006/picture">
            <wp:extent cx="5577840" cy="4641888"/>
            <wp:docPr id="3" name="Picture 3"/>
            <wp:cNvGraphicFramePr>
              <a:graphicFrameLocks noChangeAspect="1"/>
            </wp:cNvGraphicFramePr>
            <a:graphic>
              <a:graphicData uri="http://schemas.openxmlformats.org/drawingml/2006/picture">
                <pic:pic>
                  <pic:nvPicPr>
                    <pic:cNvPr id="0" name="fig3_dfd.png"/>
                    <pic:cNvPicPr/>
                  </pic:nvPicPr>
                  <pic:blipFill>
                    <a:blip r:embed="rId14"/>
                    <a:stretch>
                      <a:fillRect/>
                    </a:stretch>
                  </pic:blipFill>
                  <pic:spPr>
                    <a:xfrm>
                      <a:off x="0" y="0"/>
                      <a:ext cx="5577840" cy="4641888"/>
                    </a:xfrm>
                    <a:prstGeom prst="rect"/>
                  </pic:spPr>
                </pic:pic>
              </a:graphicData>
            </a:graphic>
          </wp:inline>
        </w:drawing>
      </w:r>
    </w:p>
    <w:p>
      <w:pPr>
        <w:keepNext w:val="0"/>
        <w:spacing w:line="240" w:lineRule="auto" w:before="0" w:after="240"/>
        <w:jc w:val="center"/>
      </w:pPr>
      <w:r>
        <w:rPr>
          <w:rFonts w:ascii="Times New Roman" w:hAnsi="Times New Roman" w:eastAsia="Times New Roman" w:cs="Times New Roman"/>
          <w:b w:val="0"/>
          <w:i w:val="0"/>
          <w:caps w:val="0"/>
          <w:color w:val="000000"/>
          <w:sz w:val="22"/>
        </w:rPr>
        <w:t>Fig. 3.  Data flow diagram (Level 0 and Level 1)</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At Level 1 the framework decomposes into seven processes and five data stores. Processes 1.0 to 4.0 form the telemetry path; process 5.0 is the validation gate, drawing audit scenarios from the future bank (D2) and routing each update either to the safe pool (D3) or to quarantine (D4). Process 6.0 retrains on validated rows and writes promoted models to the registry (D5); process 7.0 restores an earlier registry entry when health degrades.</w:t>
      </w:r>
    </w:p>
    <w:p>
      <w:bookmarkStart w:id="1030" w:name="bm_4_2_2"/>
      <w:pPr>
        <w:keepNext/>
        <w:spacing w:line="276" w:lineRule="auto" w:before="200" w:after="80"/>
        <w:jc w:val="left"/>
      </w:pPr>
      <w:r>
        <w:rPr>
          <w:rFonts w:ascii="Times New Roman" w:hAnsi="Times New Roman" w:eastAsia="Times New Roman" w:cs="Times New Roman"/>
          <w:b/>
          <w:i w:val="0"/>
          <w:caps w:val="0"/>
          <w:color w:val="000000"/>
          <w:sz w:val="24"/>
        </w:rPr>
        <w:t>4.2.2  Use Case Diagram</w:t>
      </w:r>
      <w:bookmarkEnd w:id="1030"/>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Figure 4 shows the actors and use cases. The network operator drives every stage explicitly, which is a design property rather than an interface convenience: no stage advances without an instruction, so the boundary between any two stages can be inspected.</w:t>
      </w:r>
    </w:p>
    <w:p>
      <w:pPr>
        <w:spacing w:before="160" w:after="80"/>
        <w:jc w:val="center"/>
      </w:pPr>
      <w:r>
        <w:drawing>
          <wp:inline xmlns:a="http://schemas.openxmlformats.org/drawingml/2006/main" xmlns:pic="http://schemas.openxmlformats.org/drawingml/2006/picture">
            <wp:extent cx="5577840" cy="4127926"/>
            <wp:docPr id="4" name="Picture 4"/>
            <wp:cNvGraphicFramePr>
              <a:graphicFrameLocks noChangeAspect="1"/>
            </wp:cNvGraphicFramePr>
            <a:graphic>
              <a:graphicData uri="http://schemas.openxmlformats.org/drawingml/2006/picture">
                <pic:pic>
                  <pic:nvPicPr>
                    <pic:cNvPr id="0" name="fig4_usecase.png"/>
                    <pic:cNvPicPr/>
                  </pic:nvPicPr>
                  <pic:blipFill>
                    <a:blip r:embed="rId15"/>
                    <a:stretch>
                      <a:fillRect/>
                    </a:stretch>
                  </pic:blipFill>
                  <pic:spPr>
                    <a:xfrm>
                      <a:off x="0" y="0"/>
                      <a:ext cx="5577840" cy="4127926"/>
                    </a:xfrm>
                    <a:prstGeom prst="rect"/>
                  </pic:spPr>
                </pic:pic>
              </a:graphicData>
            </a:graphic>
          </wp:inline>
        </w:drawing>
      </w:r>
    </w:p>
    <w:p>
      <w:pPr>
        <w:keepNext w:val="0"/>
        <w:spacing w:line="240" w:lineRule="auto" w:before="0" w:after="240"/>
        <w:jc w:val="center"/>
      </w:pPr>
      <w:r>
        <w:rPr>
          <w:rFonts w:ascii="Times New Roman" w:hAnsi="Times New Roman" w:eastAsia="Times New Roman" w:cs="Times New Roman"/>
          <w:b w:val="0"/>
          <w:i w:val="0"/>
          <w:caps w:val="0"/>
          <w:color w:val="000000"/>
          <w:sz w:val="22"/>
        </w:rPr>
        <w:t>Fig. 4.  Use case diagram</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update contributor is modelled as a separate actor and is explicitly untrusted. Submitting a model update triggers validation against the committed futures; validation includes the operator's application of the verdict; and quarantine analysis extends that flow only when an update has been held.</w:t>
      </w:r>
    </w:p>
    <w:p>
      <w:bookmarkStart w:id="1031" w:name="bm_4_2_3"/>
      <w:pPr>
        <w:keepNext/>
        <w:spacing w:line="276" w:lineRule="auto" w:before="200" w:after="80"/>
        <w:jc w:val="left"/>
      </w:pPr>
      <w:r>
        <w:rPr>
          <w:rFonts w:ascii="Times New Roman" w:hAnsi="Times New Roman" w:eastAsia="Times New Roman" w:cs="Times New Roman"/>
          <w:b/>
          <w:i w:val="0"/>
          <w:caps w:val="0"/>
          <w:color w:val="000000"/>
          <w:sz w:val="24"/>
        </w:rPr>
        <w:t>4.2.3  Class Diagram</w:t>
      </w:r>
      <w:bookmarkEnd w:id="1031"/>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principal classes and their responsibilities are summarised in Table 4.1. Each maps to one module of the implementation.</w:t>
      </w:r>
    </w:p>
    <w:p>
      <w:pPr>
        <w:keepNext w:val="0"/>
        <w:spacing w:line="240" w:lineRule="auto" w:before="160" w:after="80"/>
        <w:jc w:val="center"/>
      </w:pPr>
      <w:r>
        <w:rPr>
          <w:rFonts w:ascii="Times New Roman" w:hAnsi="Times New Roman" w:eastAsia="Times New Roman" w:cs="Times New Roman"/>
          <w:b w:val="0"/>
          <w:i/>
          <w:caps w:val="0"/>
          <w:color w:val="000000"/>
          <w:sz w:val="22"/>
        </w:rPr>
        <w:t>Table 4.1  Principal classes and responsibilities</w:t>
      </w:r>
    </w:p>
    <w:tbl>
      <w:tblPr>
        <w:tblW w:type="auto" w:w="0"/>
        <w:jc w:val="center"/>
        <w:tblLayout w:type="fixed"/>
        <w:tblLook w:firstColumn="1" w:firstRow="1" w:lastColumn="0" w:lastRow="0" w:noHBand="0" w:noVBand="1" w:val="04A0"/>
      </w:tblPr>
      <w:tblGrid>
        <w:gridCol w:w="2890"/>
        <w:gridCol w:w="2890"/>
        <w:gridCol w:w="2890"/>
      </w:tblGrid>
      <w:tr>
        <w:tc>
          <w:tcPr>
            <w:tcW w:type="dxa" w:w="2664"/>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Class</w:t>
            </w:r>
          </w:p>
        </w:tc>
        <w:tc>
          <w:tcPr>
            <w:tcW w:type="dxa" w:w="3816"/>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Responsibility</w:t>
            </w:r>
          </w:p>
        </w:tc>
        <w:tc>
          <w:tcPr>
            <w:tcW w:type="dxa" w:w="3312"/>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1"/>
              </w:rPr>
              <w:t>Key operations</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SimulatedDevice</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Emit telemetry; apply an attack deformation</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tick(), start_attack(), stop_attack()</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IoTFleet</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Own the deployed devices and the labelled corpus</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add_device(), collect(), build_corpus()</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HolographicTwin</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Maintain five-plane state; commit futures; score</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observe(), generate_futures(), score()</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ARPredictor</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Ridge vector autoregression with residual roll-out</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fit(), predict_next(), rollout()</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ThreatDetector</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Multi-class classification of an observation</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fit(), predict_proba(), verdict(), evaluate()</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FutureBank</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Hold labelled counterfactual scenarios</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build_bank(), summary()</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CounterfactualValidator</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Compute the CCS and reach a verdict</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calibrate(), validate(), forensics()</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PoisonForge</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Craft honest and poisoned model updates</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clean_update(), craft()</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QuarantineZone</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Hold, analyse, rescore and release updates</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add(), release(), rescore()</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ImmunizationEngine</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Synthesise vaccines; measure resistance</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synthesise(), poison_resistance()</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SecureRetrainer</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Own the safe pool and the promotion gates</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accept(), purge(), retrain()</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SelfHealingMonitor</w:t>
            </w:r>
          </w:p>
        </w:tc>
        <w:tc>
          <w:tcPr>
            <w:tcW w:type="dxa" w:w="381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Track health; roll back and purge</w:t>
            </w:r>
          </w:p>
        </w:tc>
        <w:tc>
          <w:tcPr>
            <w:tcW w:type="dxa" w:w="33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19"/>
              </w:rPr>
              <w:t>record(), check(), heal()</w:t>
            </w:r>
          </w:p>
        </w:tc>
      </w:tr>
    </w:tbl>
    <w:p>
      <w:bookmarkStart w:id="1032" w:name="bm_4_2_4"/>
      <w:pPr>
        <w:keepNext/>
        <w:spacing w:line="276" w:lineRule="auto" w:before="200" w:after="80"/>
        <w:jc w:val="left"/>
      </w:pPr>
      <w:r>
        <w:rPr>
          <w:rFonts w:ascii="Times New Roman" w:hAnsi="Times New Roman" w:eastAsia="Times New Roman" w:cs="Times New Roman"/>
          <w:b/>
          <w:i w:val="0"/>
          <w:caps w:val="0"/>
          <w:color w:val="000000"/>
          <w:sz w:val="24"/>
        </w:rPr>
        <w:t>4.2.4  Sequence Diagram</w:t>
      </w:r>
      <w:bookmarkEnd w:id="1032"/>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Figure 5 traces the validation of a single retraining update, which is the sequence that carries the framework's contribution.</w:t>
      </w:r>
    </w:p>
    <w:p>
      <w:pPr>
        <w:spacing w:before="160" w:after="80"/>
        <w:jc w:val="center"/>
      </w:pPr>
      <w:r>
        <w:drawing>
          <wp:inline xmlns:a="http://schemas.openxmlformats.org/drawingml/2006/main" xmlns:pic="http://schemas.openxmlformats.org/drawingml/2006/picture">
            <wp:extent cx="5577840" cy="3792498"/>
            <wp:docPr id="5" name="Picture 5"/>
            <wp:cNvGraphicFramePr>
              <a:graphicFrameLocks noChangeAspect="1"/>
            </wp:cNvGraphicFramePr>
            <a:graphic>
              <a:graphicData uri="http://schemas.openxmlformats.org/drawingml/2006/picture">
                <pic:pic>
                  <pic:nvPicPr>
                    <pic:cNvPr id="0" name="fig5_sequence.png"/>
                    <pic:cNvPicPr/>
                  </pic:nvPicPr>
                  <pic:blipFill>
                    <a:blip r:embed="rId16"/>
                    <a:stretch>
                      <a:fillRect/>
                    </a:stretch>
                  </pic:blipFill>
                  <pic:spPr>
                    <a:xfrm>
                      <a:off x="0" y="0"/>
                      <a:ext cx="5577840" cy="3792498"/>
                    </a:xfrm>
                    <a:prstGeom prst="rect"/>
                  </pic:spPr>
                </pic:pic>
              </a:graphicData>
            </a:graphic>
          </wp:inline>
        </w:drawing>
      </w:r>
    </w:p>
    <w:p>
      <w:pPr>
        <w:keepNext w:val="0"/>
        <w:spacing w:line="240" w:lineRule="auto" w:before="0" w:after="240"/>
        <w:jc w:val="center"/>
      </w:pPr>
      <w:r>
        <w:rPr>
          <w:rFonts w:ascii="Times New Roman" w:hAnsi="Times New Roman" w:eastAsia="Times New Roman" w:cs="Times New Roman"/>
          <w:b w:val="0"/>
          <w:i w:val="0"/>
          <w:caps w:val="0"/>
          <w:color w:val="000000"/>
          <w:sz w:val="22"/>
        </w:rPr>
        <w:t>Fig. 5.  Sequence diagram for counterfactual update validation</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ordering is the mechanism. The twin registry commits its futures to the bank before the update is submitted, so when the validator later scores a shadow model against those scenarios it is conducting a genuine prediction test rather than fitting an explanation to data already observed. The verdict returns to the operator as a recommendation; nothing is applied until the operator applies it, and the operator may overrule it. After retraining and promotion, the trusted model re-filters the bank, so the gate sharpens as the model improves.</w:t>
      </w:r>
    </w:p>
    <w:p>
      <w:r>
        <w:br w:type="page"/>
      </w:r>
    </w:p>
    <w:p>
      <w:pPr>
        <w:keepNext/>
        <w:spacing w:line="259" w:lineRule="auto" w:before="0" w:after="160"/>
        <w:jc w:val="center"/>
      </w:pPr>
      <w:r>
        <w:rPr>
          <w:rFonts w:ascii="Times New Roman" w:hAnsi="Times New Roman" w:eastAsia="Times New Roman" w:cs="Times New Roman"/>
          <w:b/>
          <w:i w:val="0"/>
          <w:caps w:val="0"/>
          <w:color w:val="000000"/>
          <w:sz w:val="32"/>
        </w:rPr>
        <w:t>CHAPTER 5</w:t>
      </w:r>
    </w:p>
    <w:p>
      <w:bookmarkStart w:id="1033" w:name="bm_5"/>
      <w:pPr>
        <w:keepNext/>
        <w:spacing w:line="259" w:lineRule="auto" w:before="0" w:after="200"/>
        <w:jc w:val="left"/>
      </w:pPr>
      <w:r>
        <w:rPr>
          <w:rFonts w:ascii="Times New Roman" w:hAnsi="Times New Roman" w:eastAsia="Times New Roman" w:cs="Times New Roman"/>
          <w:b/>
          <w:i w:val="0"/>
          <w:caps w:val="0"/>
          <w:color w:val="000000"/>
          <w:sz w:val="28"/>
        </w:rPr>
        <w:t>5. METHODOLOGY AND TESTING</w:t>
      </w:r>
      <w:bookmarkEnd w:id="1033"/>
    </w:p>
    <w:p>
      <w:bookmarkStart w:id="1034" w:name="bm_5_1"/>
      <w:pPr>
        <w:keepNext/>
        <w:spacing w:line="276" w:lineRule="auto" w:before="240" w:after="120"/>
        <w:jc w:val="left"/>
      </w:pPr>
      <w:r>
        <w:rPr>
          <w:rFonts w:ascii="Times New Roman" w:hAnsi="Times New Roman" w:eastAsia="Times New Roman" w:cs="Times New Roman"/>
          <w:b/>
          <w:i w:val="0"/>
          <w:caps w:val="0"/>
          <w:color w:val="000000"/>
          <w:sz w:val="26"/>
        </w:rPr>
        <w:t>5.1  Module Description</w:t>
      </w:r>
      <w:bookmarkEnd w:id="1034"/>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system is organised as eleven Python packages, each owning one stage of the pipeline and exposing a narrow interface to the stage after it. No module reaches across more than one boundary, which is what allows the simulated fleet and the live USB sampler to be substituted for one another without any stage above Step 1 being aware of the change.</w:t>
      </w:r>
    </w:p>
    <w:tbl>
      <w:tblPr>
        <w:tblW w:type="auto" w:w="0"/>
        <w:jc w:val="center"/>
        <w:tblLayout w:type="fixed"/>
        <w:tblLook w:firstColumn="1" w:firstRow="1" w:lastColumn="0" w:lastRow="0" w:noHBand="0" w:noVBand="1" w:val="04A0"/>
      </w:tblPr>
      <w:tblGrid>
        <w:gridCol w:w="2890"/>
        <w:gridCol w:w="2890"/>
        <w:gridCol w:w="2890"/>
      </w:tblGrid>
      <w:tr>
        <w:tc>
          <w:tcPr>
            <w:tcW w:type="dxa" w:w="1800"/>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Module</w:t>
            </w:r>
          </w:p>
        </w:tc>
        <w:tc>
          <w:tcPr>
            <w:tcW w:type="dxa" w:w="4824"/>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Responsibility</w:t>
            </w:r>
          </w:p>
        </w:tc>
        <w:tc>
          <w:tcPr>
            <w:tcW w:type="dxa" w:w="2736"/>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Key artefact</w:t>
            </w:r>
          </w:p>
        </w:tc>
      </w:tr>
      <w:tr>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simulator</w:t>
            </w:r>
          </w:p>
        </w:tc>
        <w:tc>
          <w:tcPr>
            <w:tcW w:type="dxa" w:w="482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Six consumer device profiles, per-attack deformations, and the labelled corpus generator.</w:t>
            </w:r>
          </w:p>
        </w:tc>
        <w:tc>
          <w:tcPr>
            <w:tcW w:type="dxa" w:w="273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SimulatedDevice, build_corpus</w:t>
            </w:r>
          </w:p>
        </w:tc>
      </w:tr>
      <w:tr>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live</w:t>
            </w:r>
          </w:p>
        </w:tc>
        <w:tc>
          <w:tcPr>
            <w:tcW w:type="dxa" w:w="482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Real USB peripherals enumerated through Windows PnP, and host telemetry sampled with psutil.</w:t>
            </w:r>
          </w:p>
        </w:tc>
        <w:tc>
          <w:tcPr>
            <w:tcW w:type="dxa" w:w="273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UsbMonitor, HostSampler, LiveDevice</w:t>
            </w:r>
          </w:p>
        </w:tc>
      </w:tr>
      <w:tr>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twin</w:t>
            </w:r>
          </w:p>
        </w:tc>
        <w:tc>
          <w:tcPr>
            <w:tcW w:type="dxa" w:w="482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The holographic twin: five planes, a ridge vector-autoregressive forward model, and committed futures.</w:t>
            </w:r>
          </w:p>
        </w:tc>
        <w:tc>
          <w:tcPr>
            <w:tcW w:type="dxa" w:w="273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HolographicTwin, ARPredictor</w:t>
            </w:r>
          </w:p>
        </w:tc>
      </w:tr>
      <w:tr>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detection</w:t>
            </w:r>
          </w:p>
        </w:tc>
        <w:tc>
          <w:tcPr>
            <w:tcW w:type="dxa" w:w="482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Feature engineering and the edge threat classifier.</w:t>
            </w:r>
          </w:p>
        </w:tc>
        <w:tc>
          <w:tcPr>
            <w:tcW w:type="dxa" w:w="273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ThreatDetector, cross_plane_ratios</w:t>
            </w:r>
          </w:p>
        </w:tc>
      </w:tr>
      <w:tr>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counterfactual</w:t>
            </w:r>
          </w:p>
        </w:tc>
        <w:tc>
          <w:tcPr>
            <w:tcW w:type="dxa" w:w="482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The audit bank of committed futures and the Counterfactual Consistency Score.</w:t>
            </w:r>
          </w:p>
        </w:tc>
        <w:tc>
          <w:tcPr>
            <w:tcW w:type="dxa" w:w="273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FutureBank, CounterfactualValidator</w:t>
            </w:r>
          </w:p>
        </w:tc>
      </w:tr>
      <w:tr>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poisoning</w:t>
            </w:r>
          </w:p>
        </w:tc>
        <w:tc>
          <w:tcPr>
            <w:tcW w:type="dxa" w:w="482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Five poisoning strategies used to test the defence.</w:t>
            </w:r>
          </w:p>
        </w:tc>
        <w:tc>
          <w:tcPr>
            <w:tcW w:type="dxa" w:w="273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PoisonForge</w:t>
            </w:r>
          </w:p>
        </w:tc>
      </w:tr>
      <w:tr>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immunization</w:t>
            </w:r>
          </w:p>
        </w:tc>
        <w:tc>
          <w:tcPr>
            <w:tcW w:type="dxa" w:w="482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Predictive vaccines and poison-resistance measurement.</w:t>
            </w:r>
          </w:p>
        </w:tc>
        <w:tc>
          <w:tcPr>
            <w:tcW w:type="dxa" w:w="273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ImmunizationEngine</w:t>
            </w:r>
          </w:p>
        </w:tc>
      </w:tr>
      <w:tr>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quarantine</w:t>
            </w:r>
          </w:p>
        </w:tc>
        <w:tc>
          <w:tcPr>
            <w:tcW w:type="dxa" w:w="482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Holding, dissecting, releasing and rescoring suspicious updates.</w:t>
            </w:r>
          </w:p>
        </w:tc>
        <w:tc>
          <w:tcPr>
            <w:tcW w:type="dxa" w:w="273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QuarantineZone</w:t>
            </w:r>
          </w:p>
        </w:tc>
      </w:tr>
      <w:tr>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retraining</w:t>
            </w:r>
          </w:p>
        </w:tc>
        <w:tc>
          <w:tcPr>
            <w:tcW w:type="dxa" w:w="482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The validated safe pool, promotion gates and the versioned model registry.</w:t>
            </w:r>
          </w:p>
        </w:tc>
        <w:tc>
          <w:tcPr>
            <w:tcW w:type="dxa" w:w="273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SecureRetrainer, ModelRegistry</w:t>
            </w:r>
          </w:p>
        </w:tc>
      </w:tr>
      <w:tr>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selfheal</w:t>
            </w:r>
          </w:p>
        </w:tc>
        <w:tc>
          <w:tcPr>
            <w:tcW w:type="dxa" w:w="482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Model/twin agreement monitoring, rollback and purge.</w:t>
            </w:r>
          </w:p>
        </w:tc>
        <w:tc>
          <w:tcPr>
            <w:tcW w:type="dxa" w:w="273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SelfHealingMonitor</w:t>
            </w:r>
          </w:p>
        </w:tc>
      </w:tr>
      <w:tr>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server</w:t>
            </w:r>
          </w:p>
        </w:tc>
        <w:tc>
          <w:tcPr>
            <w:tcW w:type="dxa" w:w="482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The operator console, the JSON API, accounts, sessions and the audit database.</w:t>
            </w:r>
          </w:p>
        </w:tc>
        <w:tc>
          <w:tcPr>
            <w:tcW w:type="dxa" w:w="273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pages.py, api.py, auth.py, db.py</w:t>
            </w:r>
          </w:p>
        </w:tc>
      </w:tr>
    </w:tbl>
    <w:p>
      <w:pPr>
        <w:keepNext w:val="0"/>
        <w:spacing w:line="240" w:lineRule="auto" w:before="80" w:after="240"/>
        <w:jc w:val="center"/>
      </w:pPr>
      <w:r>
        <w:rPr>
          <w:rFonts w:ascii="Times New Roman" w:hAnsi="Times New Roman" w:eastAsia="Times New Roman" w:cs="Times New Roman"/>
          <w:b w:val="0"/>
          <w:i/>
          <w:caps w:val="0"/>
          <w:color w:val="000000"/>
          <w:sz w:val="20"/>
        </w:rPr>
        <w:t>Table 5.1  Module responsibilities</w:t>
      </w:r>
    </w:p>
    <w:p>
      <w:bookmarkStart w:id="1035" w:name="bm_5_2"/>
      <w:pPr>
        <w:keepNext/>
        <w:spacing w:line="276" w:lineRule="auto" w:before="240" w:after="120"/>
        <w:jc w:val="left"/>
      </w:pPr>
      <w:r>
        <w:rPr>
          <w:rFonts w:ascii="Times New Roman" w:hAnsi="Times New Roman" w:eastAsia="Times New Roman" w:cs="Times New Roman"/>
          <w:b/>
          <w:i w:val="0"/>
          <w:caps w:val="0"/>
          <w:color w:val="000000"/>
          <w:sz w:val="26"/>
        </w:rPr>
        <w:t>5.2  Methodology</w:t>
      </w:r>
      <w:bookmarkEnd w:id="1035"/>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framework is driven as twelve operator actions rather than as a pipeline that runs to completion. Nothing in the system advances on a timer: the fleet emits telemetry only when a tick is requested, twins learn only when they are fed, and a model update is scored only when it is submitted for validation. Each step declares its prerequisites, so an action attempted out of order fails by naming the step that has to happen first instead of quietly producing a meaningless result.</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That ordering is not merely pedagogical. The security argument depends on one sequencing rule: a twin must commit to its set of plausible futures before the observation those futures will judge has been produced. If the order were reversed the comparison would be a retrospective fit rather than a prediction, and the score would carry no information.</w:t>
      </w:r>
    </w:p>
    <w:p>
      <w:pPr>
        <w:keepNext/>
        <w:spacing w:line="276" w:lineRule="auto" w:before="200" w:after="80"/>
        <w:jc w:val="left"/>
      </w:pPr>
      <w:r>
        <w:rPr>
          <w:rFonts w:ascii="Times New Roman" w:hAnsi="Times New Roman" w:eastAsia="Times New Roman" w:cs="Times New Roman"/>
          <w:b/>
          <w:i w:val="0"/>
          <w:caps w:val="0"/>
          <w:color w:val="000000"/>
          <w:sz w:val="24"/>
        </w:rPr>
        <w:t>5.2.1  The Counterfactual Consistency Score</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An incoming update is not inspected for suspicious statistics. It is grafted onto a small trusted core, a shadow model is trained on the combination, and that shadow model is placed in front of the counterfactual bank: the futures the twins committed to before the update existed, half left benign and half deformed by each attack class in the taxonomy. Six quantities are measured and combined as a weighted sum.</w:t>
      </w:r>
    </w:p>
    <w:tbl>
      <w:tblPr>
        <w:tblW w:type="auto" w:w="0"/>
        <w:jc w:val="center"/>
        <w:tblLayout w:type="fixed"/>
        <w:tblLook w:firstColumn="1" w:firstRow="1" w:lastColumn="0" w:lastRow="0" w:noHBand="0" w:noVBand="1" w:val="04A0"/>
      </w:tblPr>
      <w:tblGrid>
        <w:gridCol w:w="2890"/>
        <w:gridCol w:w="2890"/>
        <w:gridCol w:w="2890"/>
      </w:tblGrid>
      <w:tr>
        <w:tc>
          <w:tcPr>
            <w:tcW w:type="dxa" w:w="2664"/>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Component</w:t>
            </w:r>
          </w:p>
        </w:tc>
        <w:tc>
          <w:tcPr>
            <w:tcW w:type="dxa" w:w="1152"/>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Weight</w:t>
            </w:r>
          </w:p>
        </w:tc>
        <w:tc>
          <w:tcPr>
            <w:tcW w:type="dxa" w:w="5544"/>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Question it asks</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attack_agreement</w:t>
            </w:r>
          </w:p>
        </w:tc>
        <w:tc>
          <w:tcPr>
            <w:tcW w:type="dxa" w:w="115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0.30</w:t>
            </w:r>
          </w:p>
        </w:tc>
        <w:tc>
          <w:tcPr>
            <w:tcW w:type="dxa" w:w="55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Of the attack-conditioned futures, how many would this update still let us catch?</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label_agreement</w:t>
            </w:r>
          </w:p>
        </w:tc>
        <w:tc>
          <w:tcPr>
            <w:tcW w:type="dxa" w:w="115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0.20</w:t>
            </w:r>
          </w:p>
        </w:tc>
        <w:tc>
          <w:tcPr>
            <w:tcW w:type="dxa" w:w="55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Do the update's labels agree with the trusted model's reading of its own rows?</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stability</w:t>
            </w:r>
          </w:p>
        </w:tc>
        <w:tc>
          <w:tcPr>
            <w:tcW w:type="dxa" w:w="115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0.15</w:t>
            </w:r>
          </w:p>
        </w:tc>
        <w:tc>
          <w:tcPr>
            <w:tcW w:type="dxa" w:w="55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How many verdicts were downgraded from attack to normal against the incumbent?</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plane_coherence</w:t>
            </w:r>
          </w:p>
        </w:tc>
        <w:tc>
          <w:tcPr>
            <w:tcW w:type="dxa" w:w="115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0.15</w:t>
            </w:r>
          </w:p>
        </w:tc>
        <w:tc>
          <w:tcPr>
            <w:tcW w:type="dxa" w:w="55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Does each row obey the cross-plane physics of the class it claims?</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label_integrity</w:t>
            </w:r>
          </w:p>
        </w:tc>
        <w:tc>
          <w:tcPr>
            <w:tcW w:type="dxa" w:w="115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0.13</w:t>
            </w:r>
          </w:p>
        </w:tc>
        <w:tc>
          <w:tcPr>
            <w:tcW w:type="dxa" w:w="55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Has the label mix drifted benign-ward from the trusted prior?</w:t>
            </w:r>
          </w:p>
        </w:tc>
      </w:tr>
      <w:tr>
        <w:tc>
          <w:tcPr>
            <w:tcW w:type="dxa" w:w="266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benign_agreement</w:t>
            </w:r>
          </w:p>
        </w:tc>
        <w:tc>
          <w:tcPr>
            <w:tcW w:type="dxa" w:w="115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0.07</w:t>
            </w:r>
          </w:p>
        </w:tc>
        <w:tc>
          <w:tcPr>
            <w:tcW w:type="dxa" w:w="554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Are benign futures still called benign?</w:t>
            </w:r>
          </w:p>
        </w:tc>
      </w:tr>
    </w:tbl>
    <w:p>
      <w:pPr>
        <w:keepNext w:val="0"/>
        <w:spacing w:line="240" w:lineRule="auto" w:before="80" w:after="240"/>
        <w:jc w:val="center"/>
      </w:pPr>
      <w:r>
        <w:rPr>
          <w:rFonts w:ascii="Times New Roman" w:hAnsi="Times New Roman" w:eastAsia="Times New Roman" w:cs="Times New Roman"/>
          <w:b w:val="0"/>
          <w:i/>
          <w:caps w:val="0"/>
          <w:color w:val="000000"/>
          <w:sz w:val="20"/>
        </w:rPr>
        <w:t>Table 5.2  The six components of the Counterfactual Consistency Score</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combination is necessary because each strategy is caught by a different term. Label flipping collapses label_integrity and attack_agreement. Clean-label poisoning leaves every label honest, so its total-variation label shift stays below 0.10 and every distributional check passes it; only label_agreement sees it. Backdoor triggers barely dent accuracy by design and are caught by the trigger-concentration signal together with plane_coherence. Removing any one component opens a hole that a specific strategy walks straight through.</w:t>
      </w:r>
    </w:p>
    <w:p>
      <w:pPr>
        <w:keepNext/>
        <w:spacing w:line="276" w:lineRule="auto" w:before="200" w:after="80"/>
        <w:jc w:val="left"/>
      </w:pPr>
      <w:r>
        <w:rPr>
          <w:rFonts w:ascii="Times New Roman" w:hAnsi="Times New Roman" w:eastAsia="Times New Roman" w:cs="Times New Roman"/>
          <w:b/>
          <w:i w:val="0"/>
          <w:caps w:val="0"/>
          <w:color w:val="000000"/>
          <w:sz w:val="24"/>
        </w:rPr>
        <w:t>5.2.2  Calibration of the Accept Threshold</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accept threshold is not a hand-picked constant. It is measured at run time from the empirical distribution of honest updates on the deployed fleet. N honest contributions are scored through the full pipeline, and the gate is placed z = 3 standard deviations below their mean:</w:t>
      </w:r>
    </w:p>
    <w:p>
      <w:pPr>
        <w:keepNext w:val="0"/>
        <w:spacing w:line="240" w:lineRule="auto" w:before="120" w:after="200"/>
        <w:jc w:val="center"/>
      </w:pPr>
      <w:r>
        <w:rPr>
          <w:rFonts w:ascii="Times New Roman" w:hAnsi="Times New Roman" w:eastAsia="Times New Roman" w:cs="Times New Roman"/>
          <w:b w:val="0"/>
          <w:i w:val="0"/>
          <w:caps w:val="0"/>
          <w:color w:val="000000"/>
          <w:sz w:val="22"/>
        </w:rPr>
        <w:t>threshold = clip( mean(honest) − 3.0 × max(std(honest), 0.02), 0.55, 0.94 )</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floor on the spread is deliberate and load-bearing. All calibration updates are drawn from one pool, so their measured spread understates how much honest traffic really varies once the fleet drifts. Without the floor the gate lands inside the honest distribution and begins quarantining legitimate contributions within a day. In the reference run the measured spread was 0.0068 and the floor of 0.02 was therefore the value used, placing the gate at 0.8568 against an honest mean of 0.9168.</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One further adjustment is applied at decision time. A burst of never-before-seen contributor identities adds a novelty penalty of 0.05, capped at 0.97. Inventing identities is the entire method of a sybil flood and is the one structural signal such an attack cannot hide; the penalty tightens the gate but never decides on its own.</w:t>
      </w:r>
    </w:p>
    <w:p>
      <w:bookmarkStart w:id="1036" w:name="bm_5_3"/>
      <w:pPr>
        <w:keepNext/>
        <w:spacing w:line="276" w:lineRule="auto" w:before="240" w:after="120"/>
        <w:jc w:val="left"/>
      </w:pPr>
      <w:r>
        <w:rPr>
          <w:rFonts w:ascii="Times New Roman" w:hAnsi="Times New Roman" w:eastAsia="Times New Roman" w:cs="Times New Roman"/>
          <w:b/>
          <w:i w:val="0"/>
          <w:caps w:val="0"/>
          <w:color w:val="000000"/>
          <w:sz w:val="26"/>
        </w:rPr>
        <w:t>5.3  Testing</w:t>
      </w:r>
      <w:bookmarkEnd w:id="1036"/>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implementation is covered by 117 automated tests, executed with pytest. They are not limited to unit-level assertions: the majority exercise the complete pipeline, and several encode the project's central claims so that a regression in the defence would fail the build rather than pass silently.</w:t>
      </w:r>
    </w:p>
    <w:tbl>
      <w:tblPr>
        <w:tblW w:type="auto" w:w="0"/>
        <w:jc w:val="center"/>
        <w:tblLayout w:type="fixed"/>
        <w:tblLook w:firstColumn="1" w:firstRow="1" w:lastColumn="0" w:lastRow="0" w:noHBand="0" w:noVBand="1" w:val="04A0"/>
      </w:tblPr>
      <w:tblGrid>
        <w:gridCol w:w="4334"/>
        <w:gridCol w:w="4334"/>
      </w:tblGrid>
      <w:tr>
        <w:tc>
          <w:tcPr>
            <w:tcW w:type="dxa" w:w="2232"/>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Area</w:t>
            </w:r>
          </w:p>
        </w:tc>
        <w:tc>
          <w:tcPr>
            <w:tcW w:type="dxa" w:w="7128"/>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What the tests assert</w:t>
            </w:r>
          </w:p>
        </w:tc>
      </w:tr>
      <w:tr>
        <w:tc>
          <w:tcPr>
            <w:tcW w:type="dxa" w:w="223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Simulator and twins</w:t>
            </w:r>
          </w:p>
        </w:tc>
        <w:tc>
          <w:tcPr>
            <w:tcW w:type="dxa" w:w="71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Device types are behaviourally distinct; every attack visibly deforms telemetry; a twin becomes ready only after sufficient history; futures are committed before scoring; the trust gate keeps hostile observations out of the twin's baseline; plane deviation localises the attack.</w:t>
            </w:r>
          </w:p>
        </w:tc>
      </w:tr>
      <w:tr>
        <w:tc>
          <w:tcPr>
            <w:tcW w:type="dxa" w:w="223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Detection</w:t>
            </w:r>
          </w:p>
        </w:tc>
        <w:tc>
          <w:tcPr>
            <w:tcW w:type="dxa" w:w="71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Engineered features are finite; cross-plane ratios detect physical inconsistency; the detector separates normal from attack; probabilities span the full taxonomy.</w:t>
            </w:r>
          </w:p>
        </w:tc>
      </w:tr>
      <w:tr>
        <w:tc>
          <w:tcPr>
            <w:tcW w:type="dxa" w:w="223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Counterfactual validation</w:t>
            </w:r>
          </w:p>
        </w:tc>
        <w:tc>
          <w:tcPr>
            <w:tcW w:type="dxa" w:w="71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Honest updates are accepted; every one of the five poisoning strategies is quarantined; poisoned scores sit below honest scores by a clear margin; clean-label poisoning is caught by label_agreement; the validator never reads the declared strategy; the threshold is calibrated rather than hard-coded.</w:t>
            </w:r>
          </w:p>
        </w:tc>
      </w:tr>
      <w:tr>
        <w:tc>
          <w:tcPr>
            <w:tcW w:type="dxa" w:w="223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Immunization and retraining</w:t>
            </w:r>
          </w:p>
        </w:tc>
        <w:tc>
          <w:tcPr>
            <w:tcW w:type="dxa" w:w="71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Vaccines are always labelled as attacks and are physically valid; poison resistance is measured per strategy; a degraded candidate is refused promotion; pool provenance allows a surgical purge.</w:t>
            </w:r>
          </w:p>
        </w:tc>
      </w:tr>
      <w:tr>
        <w:tc>
          <w:tcPr>
            <w:tcW w:type="dxa" w:w="223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Self-healing</w:t>
            </w:r>
          </w:p>
        </w:tc>
        <w:tc>
          <w:tcPr>
            <w:tcW w:type="dxa" w:w="71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The registry rolls back to the last trusted version; the monitor requires evidence before judging; a blinded model is detected; healing checks its preconditions before committing; a healthy model is not healed without an explicit override.</w:t>
            </w:r>
          </w:p>
        </w:tc>
      </w:tr>
      <w:tr>
        <w:tc>
          <w:tcPr>
            <w:tcW w:type="dxa" w:w="223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Console and ordering</w:t>
            </w:r>
          </w:p>
        </w:tc>
        <w:tc>
          <w:tcPr>
            <w:tcW w:type="dxa" w:w="71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Steps start locked and unlock in order; an out-of-order action names the blocking step; nothing advances without being asked; every action returns a well-formed, derived explanation.</w:t>
            </w:r>
          </w:p>
        </w:tc>
      </w:tr>
      <w:tr>
        <w:tc>
          <w:tcPr>
            <w:tcW w:type="dxa" w:w="223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Web interface</w:t>
            </w:r>
          </w:p>
        </w:tc>
        <w:tc>
          <w:tcPr>
            <w:tcW w:type="dxa" w:w="71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Each step is its own document; no JavaScript is served; an action redirects to its own panel so the operator does not lose their place; no redirect omits its fragment; nothing is pinned wider than a phone screen.</w:t>
            </w:r>
          </w:p>
        </w:tc>
      </w:tr>
      <w:tr>
        <w:tc>
          <w:tcPr>
            <w:tcW w:type="dxa" w:w="223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Access control and storage</w:t>
            </w:r>
          </w:p>
        </w:tc>
        <w:tc>
          <w:tcPr>
            <w:tcW w:type="dxa" w:w="712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Every page and every API endpoint is behind a session; passwords never appear in the database file; sign-in failures do not enumerate accounts; an open redirect is refused; foreign keys cascade; sessions survive a restart; every action is audited.</w:t>
            </w:r>
          </w:p>
        </w:tc>
      </w:tr>
    </w:tbl>
    <w:p>
      <w:pPr>
        <w:keepNext w:val="0"/>
        <w:spacing w:line="240" w:lineRule="auto" w:before="80" w:after="240"/>
        <w:jc w:val="center"/>
      </w:pPr>
      <w:r>
        <w:rPr>
          <w:rFonts w:ascii="Times New Roman" w:hAnsi="Times New Roman" w:eastAsia="Times New Roman" w:cs="Times New Roman"/>
          <w:b w:val="0"/>
          <w:i/>
          <w:caps w:val="0"/>
          <w:color w:val="000000"/>
          <w:sz w:val="20"/>
        </w:rPr>
        <w:t>Table 5.3  Test coverage by area</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In addition to the automated suite, the terminal front end doubles as an end-to-end check. The command `python cli.py --walk` drives all twelve steps in order through the same public methods the console buttons call, and exits with a non-zero status if any validation decision comes out wrong. A successful run is therefore evidence that the framework's central claim still holds, not merely that the code executes.</w:t>
      </w:r>
    </w:p>
    <w:p>
      <w:r>
        <w:br w:type="page"/>
      </w:r>
    </w:p>
    <w:p>
      <w:pPr>
        <w:keepNext/>
        <w:spacing w:line="259" w:lineRule="auto" w:before="0" w:after="160"/>
        <w:jc w:val="center"/>
      </w:pPr>
      <w:r>
        <w:rPr>
          <w:rFonts w:ascii="Times New Roman" w:hAnsi="Times New Roman" w:eastAsia="Times New Roman" w:cs="Times New Roman"/>
          <w:b/>
          <w:i w:val="0"/>
          <w:caps w:val="0"/>
          <w:color w:val="000000"/>
          <w:sz w:val="32"/>
        </w:rPr>
        <w:t>CHAPTER 6</w:t>
      </w:r>
    </w:p>
    <w:p>
      <w:bookmarkStart w:id="1037" w:name="bm_6"/>
      <w:pPr>
        <w:keepNext/>
        <w:spacing w:line="259" w:lineRule="auto" w:before="0" w:after="200"/>
        <w:jc w:val="left"/>
      </w:pPr>
      <w:r>
        <w:rPr>
          <w:rFonts w:ascii="Times New Roman" w:hAnsi="Times New Roman" w:eastAsia="Times New Roman" w:cs="Times New Roman"/>
          <w:b/>
          <w:i w:val="0"/>
          <w:caps w:val="0"/>
          <w:color w:val="000000"/>
          <w:sz w:val="28"/>
        </w:rPr>
        <w:t>6. PROJECT DEMONSTRATION</w:t>
      </w:r>
      <w:bookmarkEnd w:id="1037"/>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system is demonstrated through a web console served from the edge gateway itself. The console is deliberately a multi-page application: each of the twelve steps is a distinct page at its own address, and every control is an HTML form that submits one operator action and redirects back to the panel it was pressed on. No JavaScript is served at all.</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That shape follows from the system's premise rather than from a preference. Because nothing happens unless the operator asks for it, there is never any state to push to the browser; and because every action is a POST followed by a redirect, a page refresh re-reads the result instead of silently repeating the action. On a console able to retrain and roll back a deployed model, that distinction matters.</w:t>
      </w:r>
    </w:p>
    <w:p>
      <w:bookmarkStart w:id="1038" w:name="bm_6_1"/>
      <w:pPr>
        <w:keepNext/>
        <w:spacing w:line="276" w:lineRule="auto" w:before="240" w:after="120"/>
        <w:jc w:val="left"/>
      </w:pPr>
      <w:r>
        <w:rPr>
          <w:rFonts w:ascii="Times New Roman" w:hAnsi="Times New Roman" w:eastAsia="Times New Roman" w:cs="Times New Roman"/>
          <w:b/>
          <w:i w:val="0"/>
          <w:caps w:val="0"/>
          <w:color w:val="000000"/>
          <w:sz w:val="26"/>
        </w:rPr>
        <w:t>6.1  Access Control</w:t>
      </w:r>
      <w:bookmarkEnd w:id="1038"/>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Every operator signs in with an email address, and the gate covers the JSON API as well as the pages: a login screen in front of the HTML alone would protect nothing, because every operator action also has an endpoint behind it. Passwords are stored only as a salted PBKDF2-HMAC-SHA256 derivation at 240,000 iterations and verified in constant time; no default credential exists anywhere in the source tree. Sessions are held server-side in the database, so signing out genuinely ends a session and a restart does not interrupt a walkthrough in progress.</w:t>
      </w:r>
    </w:p>
    <w:p>
      <w:bookmarkStart w:id="1039" w:name="bm_6_2"/>
      <w:pPr>
        <w:keepNext/>
        <w:spacing w:line="276" w:lineRule="auto" w:before="240" w:after="120"/>
        <w:jc w:val="left"/>
      </w:pPr>
      <w:r>
        <w:rPr>
          <w:rFonts w:ascii="Times New Roman" w:hAnsi="Times New Roman" w:eastAsia="Times New Roman" w:cs="Times New Roman"/>
          <w:b/>
          <w:i w:val="0"/>
          <w:caps w:val="0"/>
          <w:color w:val="000000"/>
          <w:sz w:val="26"/>
        </w:rPr>
        <w:t>6.2  Walking the Twelve Steps</w:t>
      </w:r>
      <w:bookmarkEnd w:id="1039"/>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operator chooses a telemetry source, assembles a fleet one device at a time, brings up the gateway and collects telemetry on demand. Twins are created and fed, forward models are fitted, and futures are committed. From Step 6 onward the detector is trained on a corpus generated from the deployed fleet's own profiles, attacks are launched by hand against named devices, and the protection loop is run one tick at a time so that the twin's judgement and the model's judgement can be compared directly.</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Steps 7 and 8 are the core of the demonstration. A poisoned contribution is crafted using any of five strategies and lands in an inbox where it touches nothing. Validating it produces the Counterfactual Consistency Score together with every component that went into it, the bank classes that would be lost if it were accepted, and the strategy attribution scores. The verdict is a recommendation until the operator applies it, and it can be overruled in either direction — the override being recorded in the audit trail either way, because a security control a human cannot inspect and countermand is not a control but an oracle.</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After every action the console presents a “what just happened” card generated from the numbers that action actually produced: a headline stating the outcome, bullets quoting real values, the key readings with plain-English notes, and a pointer to the next step. The text is produced server-side so the browser console and the terminal front end tell the operator the same story from one source.</w:t>
      </w:r>
    </w:p>
    <w:p>
      <w:bookmarkStart w:id="1040" w:name="bm_6_3"/>
      <w:pPr>
        <w:keepNext/>
        <w:spacing w:line="276" w:lineRule="auto" w:before="240" w:after="120"/>
        <w:jc w:val="left"/>
      </w:pPr>
      <w:r>
        <w:rPr>
          <w:rFonts w:ascii="Times New Roman" w:hAnsi="Times New Roman" w:eastAsia="Times New Roman" w:cs="Times New Roman"/>
          <w:b/>
          <w:i w:val="0"/>
          <w:caps w:val="0"/>
          <w:color w:val="000000"/>
          <w:sz w:val="26"/>
        </w:rPr>
        <w:t>6.3  Demonstration on Live USB Hardware</w:t>
      </w:r>
      <w:bookmarkEnd w:id="1040"/>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Before Step 1 the console asks a single question: should the telemetry come from the simulated fleet, or from the real USB devices attached to this machine? Choosing live enumerates the USB bus through Windows PnP, and attached peripherals — a webcam, a Bluetooth radio, a composite device — can be enrolled by name. Every step from that point onward behaves identically, which is the point: the twelve steps do not know whether the numbers they are reading came from a behavioural model or from the bus of a laptop.</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console is explicit about what live mode can and cannot measure, and displays the complete sixteen-feature vector for each collected tick with the provenance of every value. Ten features are measured from the host, three from the peripheral itself, one is declared by the USB specification rather than measured, and two cannot be obtained on an unprivileged Windows host at all. Those two are held at zero and reported as missing, never invented.</w:t>
      </w:r>
    </w:p>
    <w:p>
      <w:bookmarkStart w:id="1041" w:name="bm_6_4"/>
      <w:pPr>
        <w:keepNext/>
        <w:spacing w:line="276" w:lineRule="auto" w:before="240" w:after="120"/>
        <w:jc w:val="left"/>
      </w:pPr>
      <w:r>
        <w:rPr>
          <w:rFonts w:ascii="Times New Roman" w:hAnsi="Times New Roman" w:eastAsia="Times New Roman" w:cs="Times New Roman"/>
          <w:b/>
          <w:i w:val="0"/>
          <w:caps w:val="0"/>
          <w:color w:val="000000"/>
          <w:sz w:val="26"/>
        </w:rPr>
        <w:t>6.4  Conclusion of a Run</w:t>
      </w:r>
      <w:bookmarkEnd w:id="1041"/>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On completion of all twelve steps the console presents a results page that gathers the evidence into a single verdict: the number of validation decisions that were correct, the headline detection figures, the full decision table, the poison-resistance measurements, and an explicit statement of what the run does not establish. The run can be exported as JSON or as a CSV decision table so that reported figures are transferred as data rather than transcribed by hand.</w:t>
      </w:r>
    </w:p>
    <w:p>
      <w:r>
        <w:br w:type="page"/>
      </w:r>
    </w:p>
    <w:p>
      <w:pPr>
        <w:keepNext/>
        <w:spacing w:line="259" w:lineRule="auto" w:before="0" w:after="160"/>
        <w:jc w:val="center"/>
      </w:pPr>
      <w:r>
        <w:rPr>
          <w:rFonts w:ascii="Times New Roman" w:hAnsi="Times New Roman" w:eastAsia="Times New Roman" w:cs="Times New Roman"/>
          <w:b/>
          <w:i w:val="0"/>
          <w:caps w:val="0"/>
          <w:color w:val="000000"/>
          <w:sz w:val="32"/>
        </w:rPr>
        <w:t>CHAPTER 7</w:t>
      </w:r>
    </w:p>
    <w:p>
      <w:bookmarkStart w:id="1042" w:name="bm_7"/>
      <w:pPr>
        <w:keepNext/>
        <w:spacing w:line="259" w:lineRule="auto" w:before="0" w:after="200"/>
        <w:jc w:val="left"/>
      </w:pPr>
      <w:r>
        <w:rPr>
          <w:rFonts w:ascii="Times New Roman" w:hAnsi="Times New Roman" w:eastAsia="Times New Roman" w:cs="Times New Roman"/>
          <w:b/>
          <w:i w:val="0"/>
          <w:caps w:val="0"/>
          <w:color w:val="000000"/>
          <w:sz w:val="28"/>
        </w:rPr>
        <w:t>7. RESULT AND DISCUSSION</w:t>
      </w:r>
      <w:bookmarkEnd w:id="1042"/>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All figures in this chapter were produced by the system on a mixed eight-device fleet comprising two smart cameras, two smart bulbs, a smart plug, a smart lock, a temperature sensor and a smart speaker, with seed 1337. The run is reproducible with `python cli.py --walk` on the library versions pinned in requirements.txt.</w:t>
      </w:r>
    </w:p>
    <w:p>
      <w:bookmarkStart w:id="1043" w:name="bm_7_1"/>
      <w:pPr>
        <w:keepNext/>
        <w:spacing w:line="276" w:lineRule="auto" w:before="240" w:after="120"/>
        <w:jc w:val="left"/>
      </w:pPr>
      <w:r>
        <w:rPr>
          <w:rFonts w:ascii="Times New Roman" w:hAnsi="Times New Roman" w:eastAsia="Times New Roman" w:cs="Times New Roman"/>
          <w:b/>
          <w:i w:val="0"/>
          <w:caps w:val="0"/>
          <w:color w:val="000000"/>
          <w:sz w:val="26"/>
        </w:rPr>
        <w:t>7.1  Threat Detection Performance</w:t>
      </w:r>
      <w:bookmarkEnd w:id="1043"/>
    </w:p>
    <w:tbl>
      <w:tblPr>
        <w:tblW w:type="auto" w:w="0"/>
        <w:jc w:val="center"/>
        <w:tblLayout w:type="fixed"/>
        <w:tblLook w:firstColumn="1" w:firstRow="1" w:lastColumn="0" w:lastRow="0" w:noHBand="0" w:noVBand="1" w:val="04A0"/>
      </w:tblPr>
      <w:tblGrid>
        <w:gridCol w:w="2890"/>
        <w:gridCol w:w="2890"/>
        <w:gridCol w:w="2890"/>
      </w:tblGrid>
      <w:tr>
        <w:tc>
          <w:tcPr>
            <w:tcW w:type="dxa" w:w="2520"/>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Metric</w:t>
            </w:r>
          </w:p>
        </w:tc>
        <w:tc>
          <w:tcPr>
            <w:tcW w:type="dxa" w:w="1440"/>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Value</w:t>
            </w:r>
          </w:p>
        </w:tc>
        <w:tc>
          <w:tcPr>
            <w:tcW w:type="dxa" w:w="5400"/>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Interpretation</w:t>
            </w:r>
          </w:p>
        </w:tc>
      </w:tr>
      <w:tr>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Accuracy</w:t>
            </w:r>
          </w:p>
        </w:tc>
        <w:tc>
          <w:tcPr>
            <w:tcW w:type="dxa" w:w="14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0.9565</w:t>
            </w:r>
          </w:p>
        </w:tc>
        <w:tc>
          <w:tcPr>
            <w:tcW w:type="dxa" w:w="54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Overall classification across seven classes</w:t>
            </w:r>
          </w:p>
        </w:tc>
      </w:tr>
      <w:tr>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Macro F1</w:t>
            </w:r>
          </w:p>
        </w:tc>
        <w:tc>
          <w:tcPr>
            <w:tcW w:type="dxa" w:w="14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0.9564</w:t>
            </w:r>
          </w:p>
        </w:tc>
        <w:tc>
          <w:tcPr>
            <w:tcW w:type="dxa" w:w="54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Unweighted mean, so rare classes count equally</w:t>
            </w:r>
          </w:p>
        </w:tc>
      </w:tr>
      <w:tr>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False positive rate</w:t>
            </w:r>
          </w:p>
        </w:tc>
        <w:tc>
          <w:tcPr>
            <w:tcW w:type="dxa" w:w="14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0.0488</w:t>
            </w:r>
          </w:p>
        </w:tc>
        <w:tc>
          <w:tcPr>
            <w:tcW w:type="dxa" w:w="54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Benign traffic called hostile</w:t>
            </w:r>
          </w:p>
        </w:tc>
      </w:tr>
      <w:tr>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False negative rate</w:t>
            </w:r>
          </w:p>
        </w:tc>
        <w:tc>
          <w:tcPr>
            <w:tcW w:type="dxa" w:w="144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0.0307</w:t>
            </w:r>
          </w:p>
        </w:tc>
        <w:tc>
          <w:tcPr>
            <w:tcW w:type="dxa" w:w="54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Attack called benign — the failure mode poisoning aims to produce</w:t>
            </w:r>
          </w:p>
        </w:tc>
      </w:tr>
    </w:tbl>
    <w:p>
      <w:pPr>
        <w:keepNext w:val="0"/>
        <w:spacing w:line="240" w:lineRule="auto" w:before="80" w:after="240"/>
        <w:jc w:val="center"/>
      </w:pPr>
      <w:r>
        <w:rPr>
          <w:rFonts w:ascii="Times New Roman" w:hAnsi="Times New Roman" w:eastAsia="Times New Roman" w:cs="Times New Roman"/>
          <w:b w:val="0"/>
          <w:i/>
          <w:caps w:val="0"/>
          <w:color w:val="000000"/>
          <w:sz w:val="20"/>
        </w:rPr>
        <w:t>Table 7.1  Edge detector performance on held-out evaluation data</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two error rates are reported separately because they are not interchangeable. A high false-positive rate drives an operator to switch the system off; a high false-negative rate is precisely the condition a poisoning attack is engineered to create. The promotion gate in Step 11 therefore constrains the false-positive rate directly rather than relying on accuracy alone.</w:t>
      </w:r>
    </w:p>
    <w:p>
      <w:bookmarkStart w:id="1044" w:name="bm_7_2"/>
      <w:pPr>
        <w:keepNext/>
        <w:spacing w:line="276" w:lineRule="auto" w:before="240" w:after="120"/>
        <w:jc w:val="left"/>
      </w:pPr>
      <w:r>
        <w:rPr>
          <w:rFonts w:ascii="Times New Roman" w:hAnsi="Times New Roman" w:eastAsia="Times New Roman" w:cs="Times New Roman"/>
          <w:b/>
          <w:i w:val="0"/>
          <w:caps w:val="0"/>
          <w:color w:val="000000"/>
          <w:sz w:val="26"/>
        </w:rPr>
        <w:t>7.2  Twin Consistency</w:t>
      </w:r>
      <w:bookmarkEnd w:id="1044"/>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Normal traffic never falls below the 0.35 flag threshold across the fleet, while attacks at full intensity are flagged approximately 92% of the time. During live monitoring the consistency of a device under data exfiltration collapsed to 0.055 while its unaffected neighbours remained at 0.87, and the anomalous plane named the character of the attack: a port scan detonates the topology plane while leaving resources untouched, and a firmware tamper does the opposite.</w:t>
      </w:r>
    </w:p>
    <w:p>
      <w:bookmarkStart w:id="1045" w:name="bm_7_3"/>
      <w:pPr>
        <w:keepNext/>
        <w:spacing w:line="276" w:lineRule="auto" w:before="240" w:after="120"/>
        <w:jc w:val="left"/>
      </w:pPr>
      <w:r>
        <w:rPr>
          <w:rFonts w:ascii="Times New Roman" w:hAnsi="Times New Roman" w:eastAsia="Times New Roman" w:cs="Times New Roman"/>
          <w:b/>
          <w:i w:val="0"/>
          <w:caps w:val="0"/>
          <w:color w:val="000000"/>
          <w:sz w:val="26"/>
        </w:rPr>
        <w:t>7.3  Counterfactual Validation</w:t>
      </w:r>
      <w:bookmarkEnd w:id="1045"/>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This is the central result. Eight honest contributions produced a mean Counterfactual Consistency Score of 0.9168 with a standard deviation of 0.0068, against an audit bank of 187 scenarios. The calibrated accept threshold was therefore 0.8568. Thirteen contributions were then submitted, one honest and twelve hostile across the five strategies.</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304"/>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Crafted as</w:t>
            </w:r>
          </w:p>
        </w:tc>
        <w:tc>
          <w:tcPr>
            <w:tcW w:type="dxa" w:w="1368"/>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CCS</w:t>
            </w:r>
          </w:p>
        </w:tc>
        <w:tc>
          <w:tcPr>
            <w:tcW w:type="dxa" w:w="1512"/>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Gate</w:t>
            </w:r>
          </w:p>
        </w:tc>
        <w:tc>
          <w:tcPr>
            <w:tcW w:type="dxa" w:w="1800"/>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Decision</w:t>
            </w:r>
          </w:p>
        </w:tc>
        <w:tc>
          <w:tcPr>
            <w:tcW w:type="dxa" w:w="2376"/>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Attributed as</w:t>
            </w:r>
          </w:p>
        </w:tc>
      </w:tr>
      <w:tr>
        <w:tc>
          <w:tcPr>
            <w:tcW w:type="dxa" w:w="230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Honest contribution</w:t>
            </w:r>
          </w:p>
        </w:tc>
        <w:tc>
          <w:tcPr>
            <w:tcW w:type="dxa" w:w="136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0.910</w:t>
            </w:r>
          </w:p>
        </w:tc>
        <w:tc>
          <w:tcPr>
            <w:tcW w:type="dxa" w:w="15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0.857</w:t>
            </w:r>
          </w:p>
        </w:tc>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ACCEPTED</w:t>
            </w:r>
          </w:p>
        </w:tc>
        <w:tc>
          <w:tcPr>
            <w:tcW w:type="dxa" w:w="23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clean</w:t>
            </w:r>
          </w:p>
        </w:tc>
      </w:tr>
      <w:tr>
        <w:tc>
          <w:tcPr>
            <w:tcW w:type="dxa" w:w="230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Label flipping</w:t>
            </w:r>
          </w:p>
        </w:tc>
        <w:tc>
          <w:tcPr>
            <w:tcW w:type="dxa" w:w="136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0.629</w:t>
            </w:r>
          </w:p>
        </w:tc>
        <w:tc>
          <w:tcPr>
            <w:tcW w:type="dxa" w:w="15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0.857</w:t>
            </w:r>
          </w:p>
        </w:tc>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QUARANTINED</w:t>
            </w:r>
          </w:p>
        </w:tc>
        <w:tc>
          <w:tcPr>
            <w:tcW w:type="dxa" w:w="23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label_flip</w:t>
            </w:r>
          </w:p>
        </w:tc>
      </w:tr>
      <w:tr>
        <w:tc>
          <w:tcPr>
            <w:tcW w:type="dxa" w:w="230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Gradual poisoning</w:t>
            </w:r>
          </w:p>
        </w:tc>
        <w:tc>
          <w:tcPr>
            <w:tcW w:type="dxa" w:w="136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0.801</w:t>
            </w:r>
          </w:p>
        </w:tc>
        <w:tc>
          <w:tcPr>
            <w:tcW w:type="dxa" w:w="15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0.857</w:t>
            </w:r>
          </w:p>
        </w:tc>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QUARANTINED</w:t>
            </w:r>
          </w:p>
        </w:tc>
        <w:tc>
          <w:tcPr>
            <w:tcW w:type="dxa" w:w="23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gradual_poisoning</w:t>
            </w:r>
          </w:p>
        </w:tc>
      </w:tr>
      <w:tr>
        <w:tc>
          <w:tcPr>
            <w:tcW w:type="dxa" w:w="230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Backdoor trigger</w:t>
            </w:r>
          </w:p>
        </w:tc>
        <w:tc>
          <w:tcPr>
            <w:tcW w:type="dxa" w:w="136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0.659</w:t>
            </w:r>
          </w:p>
        </w:tc>
        <w:tc>
          <w:tcPr>
            <w:tcW w:type="dxa" w:w="15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0.857</w:t>
            </w:r>
          </w:p>
        </w:tc>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QUARANTINED</w:t>
            </w:r>
          </w:p>
        </w:tc>
        <w:tc>
          <w:tcPr>
            <w:tcW w:type="dxa" w:w="23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backdoor</w:t>
            </w:r>
          </w:p>
        </w:tc>
      </w:tr>
      <w:tr>
        <w:tc>
          <w:tcPr>
            <w:tcW w:type="dxa" w:w="230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Sybil flood (8 shards)</w:t>
            </w:r>
          </w:p>
        </w:tc>
        <w:tc>
          <w:tcPr>
            <w:tcW w:type="dxa" w:w="136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0.677–0.730</w:t>
            </w:r>
          </w:p>
        </w:tc>
        <w:tc>
          <w:tcPr>
            <w:tcW w:type="dxa" w:w="15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0.857 / 0.907</w:t>
            </w:r>
          </w:p>
        </w:tc>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QUARANTINED</w:t>
            </w:r>
          </w:p>
        </w:tc>
        <w:tc>
          <w:tcPr>
            <w:tcW w:type="dxa" w:w="23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sybil</w:t>
            </w:r>
          </w:p>
        </w:tc>
      </w:tr>
      <w:tr>
        <w:tc>
          <w:tcPr>
            <w:tcW w:type="dxa" w:w="2304"/>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Clean-label poisoning</w:t>
            </w:r>
          </w:p>
        </w:tc>
        <w:tc>
          <w:tcPr>
            <w:tcW w:type="dxa" w:w="136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0.735</w:t>
            </w:r>
          </w:p>
        </w:tc>
        <w:tc>
          <w:tcPr>
            <w:tcW w:type="dxa" w:w="1512"/>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0.907</w:t>
            </w:r>
          </w:p>
        </w:tc>
        <w:tc>
          <w:tcPr>
            <w:tcW w:type="dxa" w:w="180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QUARANTINED</w:t>
            </w:r>
          </w:p>
        </w:tc>
        <w:tc>
          <w:tcPr>
            <w:tcW w:type="dxa" w:w="2376"/>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clean_label</w:t>
            </w:r>
          </w:p>
        </w:tc>
      </w:tr>
    </w:tbl>
    <w:p>
      <w:pPr>
        <w:keepNext w:val="0"/>
        <w:spacing w:line="240" w:lineRule="auto" w:before="80" w:after="240"/>
        <w:jc w:val="center"/>
      </w:pPr>
      <w:r>
        <w:rPr>
          <w:rFonts w:ascii="Times New Roman" w:hAnsi="Times New Roman" w:eastAsia="Times New Roman" w:cs="Times New Roman"/>
          <w:b w:val="0"/>
          <w:i/>
          <w:caps w:val="0"/>
          <w:color w:val="000000"/>
          <w:sz w:val="20"/>
        </w:rPr>
        <w:t>Table 7.2  Validation decisions, 13 of 13 correct</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Thirteen of thirteen decisions were correct. No honest update was rejected and no poisoning strategy was admitted. Two rows warrant comment. The gate shown for most sybil shards is 0.907 rather than 0.857 because the burst of previously unseen contributor identities triggered the novelty penalty described in Section 5.2.2. The clean-label row is the result that distinguishes this framework from distributional defences: its label mix barely moves, so every check based on label distribution admits it, and it is caught only by the cross-check of its labels against the trusted model's reading of its own rows.</w:t>
      </w:r>
    </w:p>
    <w:p>
      <w:bookmarkStart w:id="1046" w:name="bm_7_4"/>
      <w:pPr>
        <w:keepNext/>
        <w:spacing w:line="276" w:lineRule="auto" w:before="240" w:after="120"/>
        <w:jc w:val="left"/>
      </w:pPr>
      <w:r>
        <w:rPr>
          <w:rFonts w:ascii="Times New Roman" w:hAnsi="Times New Roman" w:eastAsia="Times New Roman" w:cs="Times New Roman"/>
          <w:b/>
          <w:i w:val="0"/>
          <w:caps w:val="0"/>
          <w:color w:val="000000"/>
          <w:sz w:val="26"/>
        </w:rPr>
        <w:t>7.4  Immunization and Promotion</w:t>
      </w:r>
      <w:bookmarkEnd w:id="1046"/>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Measured poison resistance across the five rehearsed strategies was 0.9736, weakest against backdoor and clean-label poisoning at 0.9528 each. The retrained candidate cleared all four promotion gates — accuracy regression, poison-resistance floor, false-positive ceiling and minimum pool size — and was promoted as model version 2. The poison-resistance gate is the one that earns its place in that set: a backdoored model scores excellently on accuracy, because producing exactly that outcome is the purpose of a backdoor.</w:t>
      </w:r>
    </w:p>
    <w:p>
      <w:bookmarkStart w:id="1047" w:name="bm_7_5"/>
      <w:pPr>
        <w:keepNext/>
        <w:spacing w:line="276" w:lineRule="auto" w:before="240" w:after="120"/>
        <w:jc w:val="left"/>
      </w:pPr>
      <w:r>
        <w:rPr>
          <w:rFonts w:ascii="Times New Roman" w:hAnsi="Times New Roman" w:eastAsia="Times New Roman" w:cs="Times New Roman"/>
          <w:b/>
          <w:i w:val="0"/>
          <w:caps w:val="0"/>
          <w:color w:val="000000"/>
          <w:sz w:val="26"/>
        </w:rPr>
        <w:t>7.5  Results on Live USB Hardware</w:t>
      </w:r>
      <w:bookmarkEnd w:id="1047"/>
    </w:p>
    <w:tbl>
      <w:tblPr>
        <w:tblW w:type="auto" w:w="0"/>
        <w:jc w:val="center"/>
        <w:tblLayout w:type="fixed"/>
        <w:tblLook w:firstColumn="1" w:firstRow="1" w:lastColumn="0" w:lastRow="0" w:noHBand="0" w:noVBand="1" w:val="04A0"/>
      </w:tblPr>
      <w:tblGrid>
        <w:gridCol w:w="2890"/>
        <w:gridCol w:w="2890"/>
        <w:gridCol w:w="2890"/>
      </w:tblGrid>
      <w:tr>
        <w:tc>
          <w:tcPr>
            <w:tcW w:type="dxa" w:w="2808"/>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Metric</w:t>
            </w:r>
          </w:p>
        </w:tc>
        <w:tc>
          <w:tcPr>
            <w:tcW w:type="dxa" w:w="2520"/>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Live USB devices</w:t>
            </w:r>
          </w:p>
        </w:tc>
        <w:tc>
          <w:tcPr>
            <w:tcW w:type="dxa" w:w="2520"/>
            <w:tcBorders>
              <w:top w:val="single" w:sz="6" w:color="D7DEE9"/>
              <w:left w:val="single" w:sz="6" w:color="D7DEE9"/>
              <w:bottom w:val="single" w:sz="6" w:color="D7DEE9"/>
              <w:right w:val="single" w:sz="6" w:color="D7DEE9"/>
            </w:tcBorders>
            <w:shd w:val="clear" w:fill="1F2A44"/>
          </w:tcPr>
          <w:p>
            <w:pPr>
              <w:spacing w:line="240" w:lineRule="auto" w:before="40" w:after="40"/>
            </w:pPr>
            <w:r/>
            <w:r>
              <w:rPr>
                <w:rFonts w:ascii="Times New Roman" w:hAnsi="Times New Roman" w:eastAsia="Times New Roman" w:cs="Times New Roman"/>
                <w:b/>
                <w:i w:val="0"/>
                <w:caps w:val="0"/>
                <w:color w:val="FFFFFF"/>
                <w:sz w:val="22"/>
              </w:rPr>
              <w:t>Simulated fleet</w:t>
            </w:r>
          </w:p>
        </w:tc>
      </w:tr>
      <w:tr>
        <w:tc>
          <w:tcPr>
            <w:tcW w:type="dxa" w:w="28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Accuracy</w:t>
            </w:r>
          </w:p>
        </w:tc>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0.9962</w:t>
            </w:r>
          </w:p>
        </w:tc>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0.9565</w:t>
            </w:r>
          </w:p>
        </w:tc>
      </w:tr>
      <w:tr>
        <w:tc>
          <w:tcPr>
            <w:tcW w:type="dxa" w:w="28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Macro F1</w:t>
            </w:r>
          </w:p>
        </w:tc>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0.9961</w:t>
            </w:r>
          </w:p>
        </w:tc>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0.9564</w:t>
            </w:r>
          </w:p>
        </w:tc>
      </w:tr>
      <w:tr>
        <w:tc>
          <w:tcPr>
            <w:tcW w:type="dxa" w:w="28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False positive rate</w:t>
            </w:r>
          </w:p>
        </w:tc>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0.0000</w:t>
            </w:r>
          </w:p>
        </w:tc>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0.0488</w:t>
            </w:r>
          </w:p>
        </w:tc>
      </w:tr>
      <w:tr>
        <w:tc>
          <w:tcPr>
            <w:tcW w:type="dxa" w:w="28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False negative rate</w:t>
            </w:r>
          </w:p>
        </w:tc>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0.0029</w:t>
            </w:r>
          </w:p>
        </w:tc>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0.0307</w:t>
            </w:r>
          </w:p>
        </w:tc>
      </w:tr>
      <w:tr>
        <w:tc>
          <w:tcPr>
            <w:tcW w:type="dxa" w:w="2808"/>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Validation decisions</w:t>
            </w:r>
          </w:p>
        </w:tc>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13 of 13</w:t>
            </w:r>
          </w:p>
        </w:tc>
        <w:tc>
          <w:tcPr>
            <w:tcW w:type="dxa" w:w="2520"/>
            <w:tcBorders>
              <w:top w:val="single" w:sz="6" w:color="D7DEE9"/>
              <w:left w:val="single" w:sz="6" w:color="D7DEE9"/>
              <w:bottom w:val="single" w:sz="6" w:color="D7DEE9"/>
              <w:right w:val="single" w:sz="6" w:color="D7DEE9"/>
            </w:tcBorders>
          </w:tcPr>
          <w:p>
            <w:pPr>
              <w:spacing w:line="240" w:lineRule="auto" w:before="40" w:after="40"/>
              <w:jc w:val="left"/>
            </w:pPr>
            <w:r/>
            <w:r>
              <w:rPr>
                <w:rFonts w:ascii="Times New Roman" w:hAnsi="Times New Roman" w:eastAsia="Times New Roman" w:cs="Times New Roman"/>
                <w:b w:val="0"/>
                <w:i w:val="0"/>
                <w:caps w:val="0"/>
                <w:color w:val="000000"/>
                <w:sz w:val="21"/>
              </w:rPr>
              <w:t>13 of 13</w:t>
            </w:r>
          </w:p>
        </w:tc>
      </w:tr>
    </w:tbl>
    <w:p>
      <w:pPr>
        <w:keepNext w:val="0"/>
        <w:spacing w:line="240" w:lineRule="auto" w:before="80" w:after="240"/>
        <w:jc w:val="center"/>
      </w:pPr>
      <w:r>
        <w:rPr>
          <w:rFonts w:ascii="Times New Roman" w:hAnsi="Times New Roman" w:eastAsia="Times New Roman" w:cs="Times New Roman"/>
          <w:b w:val="0"/>
          <w:i/>
          <w:caps w:val="0"/>
          <w:color w:val="000000"/>
          <w:sz w:val="20"/>
        </w:rPr>
        <w:t>Table 7.3  Live hardware compared with the simulated fleet</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live figures are higher, and that difference must be read carefully: it reflects an easier problem, not a better model. The simulated fleet spans six device types whose baselines differ by three orders of magnitude, so a weakly attacked bulb genuinely resembles a healthy camera and the classes overlap. Live USB peripherals all sample a single host, so their baselines are nearly identical and that ambiguity disappears. An initial live build scored a meaningless 1.0000; it required resampling real observations for the benign class and rehearsing attacks down to 2% intensity before the metric discriminated anything at all.</w:t>
      </w:r>
    </w:p>
    <w:p>
      <w:bookmarkStart w:id="1048" w:name="bm_7_6"/>
      <w:pPr>
        <w:keepNext/>
        <w:spacing w:line="276" w:lineRule="auto" w:before="240" w:after="120"/>
        <w:jc w:val="left"/>
      </w:pPr>
      <w:r>
        <w:rPr>
          <w:rFonts w:ascii="Times New Roman" w:hAnsi="Times New Roman" w:eastAsia="Times New Roman" w:cs="Times New Roman"/>
          <w:b/>
          <w:i w:val="0"/>
          <w:caps w:val="0"/>
          <w:color w:val="000000"/>
          <w:sz w:val="26"/>
        </w:rPr>
        <w:t>7.6  Cost Analysis</w:t>
      </w:r>
      <w:bookmarkEnd w:id="1048"/>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system was developed and evaluated entirely on commodity hardware with no purchased software, no cloud compute and no paid data. Every dependency is open source. A complete twelve-step run, including corpus generation, detector training, thirteen validations, vaccine synthesis, poison-resistance rehearsal and a retrain, completes in approximately 17 seconds on a laptop-class machine without a GPU. Live sampling adds real elapsed time only because it waits for genuine sampling intervals: forty paced samples take approximately 12 seconds.</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direct monetary cost of the project is therefore nil. The relevant operational cost is the retraining budget on the edge gateway itself, and the architectural choices were made to keep that small: a random forest retrains from scratch in about a second, and the twin's forward model is a closed-form ridge fit rather than a network requiring gradient descent.</w:t>
      </w:r>
    </w:p>
    <w:p>
      <w:bookmarkStart w:id="1049" w:name="bm_7_7"/>
      <w:pPr>
        <w:keepNext/>
        <w:spacing w:line="276" w:lineRule="auto" w:before="240" w:after="120"/>
        <w:jc w:val="left"/>
      </w:pPr>
      <w:r>
        <w:rPr>
          <w:rFonts w:ascii="Times New Roman" w:hAnsi="Times New Roman" w:eastAsia="Times New Roman" w:cs="Times New Roman"/>
          <w:b/>
          <w:i w:val="0"/>
          <w:caps w:val="0"/>
          <w:color w:val="000000"/>
          <w:sz w:val="26"/>
        </w:rPr>
        <w:t>7.7  Discussion</w:t>
      </w:r>
      <w:bookmarkEnd w:id="1049"/>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results support the central claim: validating a model update against futures committed before that update existed separates honest contributions from poisoned ones more reliably than inspecting the update's own statistics, and it does so for strategies specifically designed to defeat statistical inspection. The clean-label result is the strongest single piece of evidence, because that strategy is constructed so that no label-distribution test can see it.</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Four limitations are stated explicitly, since each is a question a careful reader should ask. First, the simulated fleet is generated from physically motivated behavioural profiles, not captured from real hardware; the live mode addresses this only partially, because a USB peripheral has no network stack of its own and its network planes are therefore measured on the host and attributed to it. Second, poison resistance is measured against the five rehearsed strategies, and an attacker employing a sixth lies outside that figure. Third, strategy attribution is rule-based rather than learned, because a learned attributor would require labelled poison to train on, and the availability of such labels would remove the need for the defence. Fourth, the label_agreement term trusts the incumbent model, so an update carrying a genuinely novel attack pattern would be penalised by that term; it is one of six for precisely this reason, and the counterfactual terms exist to judge damage the incumbent cannot see.</w:t>
      </w:r>
    </w:p>
    <w:p>
      <w:r>
        <w:br w:type="page"/>
      </w:r>
    </w:p>
    <w:p>
      <w:pPr>
        <w:keepNext/>
        <w:spacing w:line="259" w:lineRule="auto" w:before="0" w:after="160"/>
        <w:jc w:val="center"/>
      </w:pPr>
      <w:r>
        <w:rPr>
          <w:rFonts w:ascii="Times New Roman" w:hAnsi="Times New Roman" w:eastAsia="Times New Roman" w:cs="Times New Roman"/>
          <w:b/>
          <w:i w:val="0"/>
          <w:caps w:val="0"/>
          <w:color w:val="000000"/>
          <w:sz w:val="32"/>
        </w:rPr>
        <w:t>CHAPTER 8</w:t>
      </w:r>
    </w:p>
    <w:p>
      <w:bookmarkStart w:id="1050" w:name="bm_8"/>
      <w:pPr>
        <w:keepNext/>
        <w:spacing w:line="259" w:lineRule="auto" w:before="0" w:after="200"/>
        <w:jc w:val="left"/>
      </w:pPr>
      <w:r>
        <w:rPr>
          <w:rFonts w:ascii="Times New Roman" w:hAnsi="Times New Roman" w:eastAsia="Times New Roman" w:cs="Times New Roman"/>
          <w:b/>
          <w:i w:val="0"/>
          <w:caps w:val="0"/>
          <w:color w:val="000000"/>
          <w:sz w:val="28"/>
        </w:rPr>
        <w:t>8. CONCLUSION</w:t>
      </w:r>
      <w:bookmarkEnd w:id="1050"/>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This project set out to address a specific weakness in federated and distributed model updating for consumer IoT security: existing defences judge an incoming contribution by how closely it resembles the others, which is a question about the present and the past, and one that an attacker answers simply by staying close to the crowd.</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framework developed here asks a different question. Each device is mirrored by a holographic digital twin that holds five partial projections of the device rather than one state vector, and that twin commits in advance to a set of futures the device would plausibly follow. An incoming update is then judged not by its appearance but by its consequence: it is grafted onto a trusted core, a shadow model is trained, and that shadow is measured against those committed futures. The question becomes what accepting this update would cost our ability to detect tomorrow's attack.</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implementation demonstrates the claim end to end. On a mixed eight-device fleet the edge detector reached 0.9565 accuracy with a 0.0307 false-negative rate; the accept threshold was calibrated at run time to 0.8568 from the observed distribution of honest contributions rather than chosen by hand; and all thirteen validation decisions were correct, admitting the honest contribution and rejecting every one of the five poisoning strategies, including clean-label poisoning whose label distribution is indistinguishable from honest data. Measured poison resistance reached 0.9736, and the retrained model cleared all four promotion gates.</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framework was further shown to be independent of its data source. Real USB peripherals attached to a laptop were enrolled and monitored through the identical twelve stages, with the provenance of every one of the sixteen features declared on screen and the two features that cannot be obtained reported as missing rather than fabricated. That substitution is the strongest available evidence that the contribution lies in the decision mechanism and not in the simulator.</w:t>
      </w:r>
    </w:p>
    <w:p>
      <w:bookmarkStart w:id="1051" w:name="bm_8_1"/>
      <w:pPr>
        <w:keepNext/>
        <w:spacing w:line="276" w:lineRule="auto" w:before="240" w:after="120"/>
        <w:jc w:val="left"/>
      </w:pPr>
      <w:r>
        <w:rPr>
          <w:rFonts w:ascii="Times New Roman" w:hAnsi="Times New Roman" w:eastAsia="Times New Roman" w:cs="Times New Roman"/>
          <w:b/>
          <w:i w:val="0"/>
          <w:caps w:val="0"/>
          <w:color w:val="000000"/>
          <w:sz w:val="26"/>
        </w:rPr>
        <w:t>8.1  Contributions</w:t>
      </w:r>
      <w:bookmarkEnd w:id="1051"/>
    </w:p>
    <w:p>
      <w:pPr>
        <w:pStyle w:val="ListNumber"/>
        <w:spacing w:line="276" w:lineRule="auto" w:after="80"/>
        <w:ind w:left="576"/>
        <w:jc w:val="both"/>
      </w:pPr>
      <w:r>
        <w:rPr>
          <w:rFonts w:ascii="Times New Roman" w:hAnsi="Times New Roman" w:eastAsia="Times New Roman" w:cs="Times New Roman"/>
          <w:b w:val="0"/>
          <w:i w:val="0"/>
          <w:caps w:val="0"/>
          <w:color w:val="000000"/>
          <w:sz w:val="24"/>
        </w:rPr>
        <w:t>A counterfactual validation mechanism that judges a model update by its effect on futures committed before the update existed, rather than by its own statistics.</w:t>
      </w:r>
    </w:p>
    <w:p>
      <w:pPr>
        <w:pStyle w:val="ListNumber"/>
        <w:spacing w:line="276" w:lineRule="auto" w:after="80"/>
        <w:ind w:left="576"/>
        <w:jc w:val="both"/>
      </w:pPr>
      <w:r>
        <w:rPr>
          <w:rFonts w:ascii="Times New Roman" w:hAnsi="Times New Roman" w:eastAsia="Times New Roman" w:cs="Times New Roman"/>
          <w:b w:val="0"/>
          <w:i w:val="0"/>
          <w:caps w:val="0"/>
          <w:color w:val="000000"/>
          <w:sz w:val="24"/>
        </w:rPr>
        <w:t>A six-component Counterfactual Consistency Score in which each term closes a hole the others leave open, demonstrated against five distinct poisoning strategies.</w:t>
      </w:r>
    </w:p>
    <w:p>
      <w:pPr>
        <w:pStyle w:val="ListNumber"/>
        <w:spacing w:line="276" w:lineRule="auto" w:after="80"/>
        <w:ind w:left="576"/>
        <w:jc w:val="both"/>
      </w:pPr>
      <w:r>
        <w:rPr>
          <w:rFonts w:ascii="Times New Roman" w:hAnsi="Times New Roman" w:eastAsia="Times New Roman" w:cs="Times New Roman"/>
          <w:b w:val="0"/>
          <w:i w:val="0"/>
          <w:caps w:val="0"/>
          <w:color w:val="000000"/>
          <w:sz w:val="24"/>
        </w:rPr>
        <w:t>A run-time threshold calibration procedure that adapts the accept gate to the deployed fleet instead of requiring the fleet to suit a fixed constant.</w:t>
      </w:r>
    </w:p>
    <w:p>
      <w:pPr>
        <w:pStyle w:val="ListNumber"/>
        <w:spacing w:line="276" w:lineRule="auto" w:after="80"/>
        <w:ind w:left="576"/>
        <w:jc w:val="both"/>
      </w:pPr>
      <w:r>
        <w:rPr>
          <w:rFonts w:ascii="Times New Roman" w:hAnsi="Times New Roman" w:eastAsia="Times New Roman" w:cs="Times New Roman"/>
          <w:b w:val="0"/>
          <w:i w:val="0"/>
          <w:caps w:val="0"/>
          <w:color w:val="000000"/>
          <w:sz w:val="24"/>
        </w:rPr>
        <w:t>A predictive immunization engine that manufactures training rows from predicted futures, inoculating the edge model against poisoning it has not yet encountered.</w:t>
      </w:r>
    </w:p>
    <w:p>
      <w:pPr>
        <w:pStyle w:val="ListNumber"/>
        <w:spacing w:line="276" w:lineRule="auto" w:after="80"/>
        <w:ind w:left="576"/>
        <w:jc w:val="both"/>
      </w:pPr>
      <w:r>
        <w:rPr>
          <w:rFonts w:ascii="Times New Roman" w:hAnsi="Times New Roman" w:eastAsia="Times New Roman" w:cs="Times New Roman"/>
          <w:b w:val="0"/>
          <w:i w:val="0"/>
          <w:caps w:val="0"/>
          <w:color w:val="000000"/>
          <w:sz w:val="24"/>
        </w:rPr>
        <w:t>A complete operator console in which every stage is a deliberate action with declared prerequisites, allowing the boundary between any two stages to be inspected.</w:t>
      </w:r>
    </w:p>
    <w:p>
      <w:bookmarkStart w:id="1052" w:name="bm_8_2"/>
      <w:pPr>
        <w:keepNext/>
        <w:spacing w:line="276" w:lineRule="auto" w:before="240" w:after="120"/>
        <w:jc w:val="left"/>
      </w:pPr>
      <w:r>
        <w:rPr>
          <w:rFonts w:ascii="Times New Roman" w:hAnsi="Times New Roman" w:eastAsia="Times New Roman" w:cs="Times New Roman"/>
          <w:b/>
          <w:i w:val="0"/>
          <w:caps w:val="0"/>
          <w:color w:val="000000"/>
          <w:sz w:val="26"/>
        </w:rPr>
        <w:t>8.2  Future Work</w:t>
      </w:r>
      <w:bookmarkEnd w:id="1052"/>
    </w:p>
    <w:p>
      <w:pPr>
        <w:pStyle w:val="ListBullet"/>
        <w:spacing w:line="276" w:lineRule="auto" w:after="80"/>
        <w:ind w:left="576"/>
        <w:jc w:val="both"/>
      </w:pPr>
      <w:r>
        <w:rPr>
          <w:rFonts w:ascii="Times New Roman" w:hAnsi="Times New Roman" w:eastAsia="Times New Roman" w:cs="Times New Roman"/>
          <w:b w:val="0"/>
          <w:i w:val="0"/>
          <w:caps w:val="0"/>
          <w:color w:val="000000"/>
          <w:sz w:val="24"/>
        </w:rPr>
        <w:t>Deployment against genuine networked IoT hardware — a camera or smart plug with its own address on a real wireless network — which would remove the host-attribution assumption that live USB mode currently requires.</w:t>
      </w:r>
    </w:p>
    <w:p>
      <w:pPr>
        <w:pStyle w:val="ListBullet"/>
        <w:spacing w:line="276" w:lineRule="auto" w:after="80"/>
        <w:ind w:left="576"/>
        <w:jc w:val="both"/>
      </w:pPr>
      <w:r>
        <w:rPr>
          <w:rFonts w:ascii="Times New Roman" w:hAnsi="Times New Roman" w:eastAsia="Times New Roman" w:cs="Times New Roman"/>
          <w:b w:val="0"/>
          <w:i w:val="0"/>
          <w:caps w:val="0"/>
          <w:color w:val="000000"/>
          <w:sz w:val="24"/>
        </w:rPr>
        <w:t>Extension of the poisoning taxonomy beyond the five rehearsed strategies, and investigation of an adaptive adversary with knowledge of the Counterfactual Consistency Score itself.</w:t>
      </w:r>
    </w:p>
    <w:p>
      <w:pPr>
        <w:pStyle w:val="ListBullet"/>
        <w:spacing w:line="276" w:lineRule="auto" w:after="80"/>
        <w:ind w:left="576"/>
        <w:jc w:val="both"/>
      </w:pPr>
      <w:r>
        <w:rPr>
          <w:rFonts w:ascii="Times New Roman" w:hAnsi="Times New Roman" w:eastAsia="Times New Roman" w:cs="Times New Roman"/>
          <w:b w:val="0"/>
          <w:i w:val="0"/>
          <w:caps w:val="0"/>
          <w:color w:val="000000"/>
          <w:sz w:val="24"/>
        </w:rPr>
        <w:t>Replacement of rule-based strategy attribution with a learned attributor, conditional on obtaining labelled poisoning data from an independent source.</w:t>
      </w:r>
    </w:p>
    <w:p>
      <w:pPr>
        <w:pStyle w:val="ListBullet"/>
        <w:spacing w:line="276" w:lineRule="auto" w:after="80"/>
        <w:ind w:left="576"/>
        <w:jc w:val="both"/>
      </w:pPr>
      <w:r>
        <w:rPr>
          <w:rFonts w:ascii="Times New Roman" w:hAnsi="Times New Roman" w:eastAsia="Times New Roman" w:cs="Times New Roman"/>
          <w:b w:val="0"/>
          <w:i w:val="0"/>
          <w:caps w:val="0"/>
          <w:color w:val="000000"/>
          <w:sz w:val="24"/>
        </w:rPr>
        <w:t>Evaluation across multiple cooperating gateways, where the counterfactual bank could be shared without sharing telemetry.</w:t>
      </w:r>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framework as it stands establishes that counterfactual consequence is a usable and discriminating basis for deciding whether to accept a model update at the edge, and that the decision can be made on hardware a household already owns.</w:t>
      </w:r>
    </w:p>
    <w:p>
      <w:r>
        <w:br w:type="page"/>
      </w:r>
    </w:p>
    <w:p>
      <w:pPr>
        <w:keepNext/>
        <w:spacing w:line="259" w:lineRule="auto" w:before="0" w:after="160"/>
        <w:jc w:val="center"/>
      </w:pPr>
      <w:r>
        <w:rPr>
          <w:rFonts w:ascii="Times New Roman" w:hAnsi="Times New Roman" w:eastAsia="Times New Roman" w:cs="Times New Roman"/>
          <w:b/>
          <w:i w:val="0"/>
          <w:caps w:val="0"/>
          <w:color w:val="000000"/>
          <w:sz w:val="32"/>
        </w:rPr>
        <w:t>CHAPTER 9</w:t>
      </w:r>
    </w:p>
    <w:p>
      <w:bookmarkStart w:id="1053" w:name="bm_9"/>
      <w:pPr>
        <w:keepNext/>
        <w:spacing w:line="259" w:lineRule="auto" w:before="0" w:after="200"/>
        <w:jc w:val="left"/>
      </w:pPr>
      <w:r>
        <w:rPr>
          <w:rFonts w:ascii="Times New Roman" w:hAnsi="Times New Roman" w:eastAsia="Times New Roman" w:cs="Times New Roman"/>
          <w:b/>
          <w:i w:val="0"/>
          <w:caps w:val="0"/>
          <w:color w:val="000000"/>
          <w:sz w:val="28"/>
        </w:rPr>
        <w:t>9. REFERENCES</w:t>
      </w:r>
      <w:bookmarkEnd w:id="1053"/>
    </w:p>
    <w:p>
      <w:pPr>
        <w:keepNext/>
        <w:spacing w:line="276" w:lineRule="auto" w:before="240" w:after="120"/>
        <w:jc w:val="left"/>
      </w:pPr>
      <w:r>
        <w:rPr>
          <w:rFonts w:ascii="Times New Roman" w:hAnsi="Times New Roman" w:eastAsia="Times New Roman" w:cs="Times New Roman"/>
          <w:b/>
          <w:i w:val="0"/>
          <w:caps w:val="0"/>
          <w:color w:val="000000"/>
          <w:sz w:val="26"/>
        </w:rPr>
        <w:t>Journals</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[1]  </w:t>
      </w:r>
      <w:r>
        <w:rPr>
          <w:rFonts w:ascii="Times New Roman" w:hAnsi="Times New Roman" w:eastAsia="Times New Roman" w:cs="Times New Roman"/>
          <w:b w:val="0"/>
          <w:i w:val="0"/>
          <w:caps w:val="0"/>
          <w:color w:val="000000"/>
          <w:sz w:val="24"/>
        </w:rPr>
        <w:t>C. Alcaraz and J. Lopez, “Digital twin: A comprehensive survey of security threats,” IEEE Communications Surveys &amp; Tutorials, vol. 24, no. 3, pp. 1475–1503, 2022.</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[2]  </w:t>
      </w:r>
      <w:r>
        <w:rPr>
          <w:rFonts w:ascii="Times New Roman" w:hAnsi="Times New Roman" w:eastAsia="Times New Roman" w:cs="Times New Roman"/>
          <w:b w:val="0"/>
          <w:i w:val="0"/>
          <w:caps w:val="0"/>
          <w:color w:val="000000"/>
          <w:sz w:val="24"/>
        </w:rPr>
        <w:t>Z. Tian, L. Cui, J. Liang, and S. Yu, “A comprehensive survey on poisoning attacks and countermeasures in machine learning,” ACM Computing Surveys, vol. 55, no. 8, pp. 1–35, 2022.</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[3]  </w:t>
      </w:r>
      <w:r>
        <w:rPr>
          <w:rFonts w:ascii="Times New Roman" w:hAnsi="Times New Roman" w:eastAsia="Times New Roman" w:cs="Times New Roman"/>
          <w:b w:val="0"/>
          <w:i w:val="0"/>
          <w:caps w:val="0"/>
          <w:color w:val="000000"/>
          <w:sz w:val="24"/>
        </w:rPr>
        <w:t>R. Yang, H. He, Y. Wang, Y. Qu, and W. Zhang, “Dependable federated learning for IoT intrusion detection against poisoning attacks,” Computers &amp; Security, vol. 132, art. no. 103381, 2023.</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[13]  </w:t>
      </w:r>
      <w:r>
        <w:rPr>
          <w:rFonts w:ascii="Times New Roman" w:hAnsi="Times New Roman" w:eastAsia="Times New Roman" w:cs="Times New Roman"/>
          <w:b w:val="0"/>
          <w:i w:val="0"/>
          <w:caps w:val="0"/>
          <w:color w:val="000000"/>
          <w:sz w:val="24"/>
        </w:rPr>
        <w:t>B. Biggio and F. Roli, “Wild patterns: Ten years after the rise of adversarial machine learning,” Pattern Recognition, vol. 84, pp. 317–331, 2018.</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[15]  </w:t>
      </w:r>
      <w:r>
        <w:rPr>
          <w:rFonts w:ascii="Times New Roman" w:hAnsi="Times New Roman" w:eastAsia="Times New Roman" w:cs="Times New Roman"/>
          <w:b w:val="0"/>
          <w:i w:val="0"/>
          <w:caps w:val="0"/>
          <w:color w:val="000000"/>
          <w:sz w:val="24"/>
        </w:rPr>
        <w:t>Y. Meidan, M. Bohadana, Y. Mathov, Y. Mirsky, A. Shabtai, D. Breitenbacher, and Y. Elovici, “N-BaIoT: Network-based detection of IoT botnet attacks using deep autoencoders,” IEEE Pervasive Computing, vol. 17, no. 3, pp. 12–22, 2018.</w:t>
      </w:r>
    </w:p>
    <w:p>
      <w:pPr>
        <w:keepNext/>
        <w:spacing w:line="276" w:lineRule="auto" w:before="240" w:after="120"/>
        <w:jc w:val="left"/>
      </w:pPr>
      <w:r>
        <w:rPr>
          <w:rFonts w:ascii="Times New Roman" w:hAnsi="Times New Roman" w:eastAsia="Times New Roman" w:cs="Times New Roman"/>
          <w:b/>
          <w:i w:val="0"/>
          <w:caps w:val="0"/>
          <w:color w:val="000000"/>
          <w:sz w:val="26"/>
        </w:rPr>
        <w:t>Conference Proceedings</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[4]  </w:t>
      </w:r>
      <w:r>
        <w:rPr>
          <w:rFonts w:ascii="Times New Roman" w:hAnsi="Times New Roman" w:eastAsia="Times New Roman" w:cs="Times New Roman"/>
          <w:b w:val="0"/>
          <w:i w:val="0"/>
          <w:caps w:val="0"/>
          <w:color w:val="000000"/>
          <w:sz w:val="24"/>
        </w:rPr>
        <w:t>T. D. Nguyen, S. Marchal, M. Miettinen, H. Fereidooni, N. Asokan, and A.-R. Sadeghi, “DÏoT: A federated self-learning anomaly detection system for IoT,” in Proc. IEEE 39th Int. Conf. Distributed Computing Systems (ICDCS), Dallas, TX, USA, 2019, pp. 756–767.</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[6]  </w:t>
      </w:r>
      <w:r>
        <w:rPr>
          <w:rFonts w:ascii="Times New Roman" w:hAnsi="Times New Roman" w:eastAsia="Times New Roman" w:cs="Times New Roman"/>
          <w:b w:val="0"/>
          <w:i w:val="0"/>
          <w:caps w:val="0"/>
          <w:color w:val="000000"/>
          <w:sz w:val="24"/>
        </w:rPr>
        <w:t>A. Madry, A. Makelov, L. Schmidt, D. Tsipras, and A. Vladu, “Towards deep learning models resistant to adversarial attacks,” in Proc. Int. Conf. Learning Representations (ICLR), Vancouver, Canada, 2018.</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[7]  </w:t>
      </w:r>
      <w:r>
        <w:rPr>
          <w:rFonts w:ascii="Times New Roman" w:hAnsi="Times New Roman" w:eastAsia="Times New Roman" w:cs="Times New Roman"/>
          <w:b w:val="0"/>
          <w:i w:val="0"/>
          <w:caps w:val="0"/>
          <w:color w:val="000000"/>
          <w:sz w:val="24"/>
        </w:rPr>
        <w:t>A. Shafahi, W. R. Huang, M. Najibi, O. Suciu, C. Studer, T. Dumitras, and T. Goldstein, “Poison frogs! Targeted clean-label poisoning attacks on neural networks,” in Advances in Neural Information Processing Systems (NeurIPS), 2018.</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[9]  </w:t>
      </w:r>
      <w:r>
        <w:rPr>
          <w:rFonts w:ascii="Times New Roman" w:hAnsi="Times New Roman" w:eastAsia="Times New Roman" w:cs="Times New Roman"/>
          <w:b w:val="0"/>
          <w:i w:val="0"/>
          <w:caps w:val="0"/>
          <w:color w:val="000000"/>
          <w:sz w:val="24"/>
        </w:rPr>
        <w:t>P. Blanchard, E. M. El Mhamdi, R. Guerraoui, and J. Stainer, “Machine learning with adversaries: Byzantine tolerant gradient descent,” in Advances in Neural Information Processing Systems (NeurIPS), 2017.</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[10]  </w:t>
      </w:r>
      <w:r>
        <w:rPr>
          <w:rFonts w:ascii="Times New Roman" w:hAnsi="Times New Roman" w:eastAsia="Times New Roman" w:cs="Times New Roman"/>
          <w:b w:val="0"/>
          <w:i w:val="0"/>
          <w:caps w:val="0"/>
          <w:color w:val="000000"/>
          <w:sz w:val="24"/>
        </w:rPr>
        <w:t>E. Bagdasaryan, A. Veit, Y. Hua, D. Estrin, and V. Shmatikov, “How to backdoor federated learning,” in Proc. 23rd Int. Conf. Artificial Intelligence and Statistics (AISTATS), 2020, pp. 2938–2948.</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[11]  </w:t>
      </w:r>
      <w:r>
        <w:rPr>
          <w:rFonts w:ascii="Times New Roman" w:hAnsi="Times New Roman" w:eastAsia="Times New Roman" w:cs="Times New Roman"/>
          <w:b w:val="0"/>
          <w:i w:val="0"/>
          <w:caps w:val="0"/>
          <w:color w:val="000000"/>
          <w:sz w:val="24"/>
        </w:rPr>
        <w:t>V. Tolpegin, S. Truex, M. E. Gursoy, and L. Liu, “Data poisoning attacks against federated learning systems,” in Proc. European Symp. Research in Computer Security (ESORICS), 2020, pp. 480–501.</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[12]  </w:t>
      </w:r>
      <w:r>
        <w:rPr>
          <w:rFonts w:ascii="Times New Roman" w:hAnsi="Times New Roman" w:eastAsia="Times New Roman" w:cs="Times New Roman"/>
          <w:b w:val="0"/>
          <w:i w:val="0"/>
          <w:caps w:val="0"/>
          <w:color w:val="000000"/>
          <w:sz w:val="24"/>
        </w:rPr>
        <w:t>C. Fung, C. J. M. Yoon, and I. Beschastnikh, “The limitations of federated learning in Sybil settings,” in Proc. 23rd Int. Symp. Research in Attacks, Intrusions and Defenses (RAID), 2020, pp. 301–316.</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[14]  </w:t>
      </w:r>
      <w:r>
        <w:rPr>
          <w:rFonts w:ascii="Times New Roman" w:hAnsi="Times New Roman" w:eastAsia="Times New Roman" w:cs="Times New Roman"/>
          <w:b w:val="0"/>
          <w:i w:val="0"/>
          <w:caps w:val="0"/>
          <w:color w:val="000000"/>
          <w:sz w:val="24"/>
        </w:rPr>
        <w:t>M. Antonakakis et al., “Understanding the Mirai botnet,” in Proc. 26th USENIX Security Symposium, Vancouver, Canada, 2017, pp. 1093–1110.</w:t>
      </w:r>
    </w:p>
    <w:p>
      <w:pPr>
        <w:keepNext/>
        <w:spacing w:line="276" w:lineRule="auto" w:before="240" w:after="120"/>
        <w:jc w:val="left"/>
      </w:pPr>
      <w:r>
        <w:rPr>
          <w:rFonts w:ascii="Times New Roman" w:hAnsi="Times New Roman" w:eastAsia="Times New Roman" w:cs="Times New Roman"/>
          <w:b/>
          <w:i w:val="0"/>
          <w:caps w:val="0"/>
          <w:color w:val="000000"/>
          <w:sz w:val="26"/>
        </w:rPr>
        <w:t>Preprints</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[5]  </w:t>
      </w:r>
      <w:r>
        <w:rPr>
          <w:rFonts w:ascii="Times New Roman" w:hAnsi="Times New Roman" w:eastAsia="Times New Roman" w:cs="Times New Roman"/>
          <w:b w:val="0"/>
          <w:i w:val="0"/>
          <w:caps w:val="0"/>
          <w:color w:val="000000"/>
          <w:sz w:val="24"/>
        </w:rPr>
        <w:t>D. Sulem, M. Donini, M. B. Zafar, F.-X. Aubet, J. Gasthaus, T. Januschowski, S. Das, K. Kenthapadi, and C. Archambeau, “Diverse counterfactual explanations for anomaly detection in time series,” arXiv:2203.11103, 2022.</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[8]  </w:t>
      </w:r>
      <w:r>
        <w:rPr>
          <w:rFonts w:ascii="Times New Roman" w:hAnsi="Times New Roman" w:eastAsia="Times New Roman" w:cs="Times New Roman"/>
          <w:b w:val="0"/>
          <w:i w:val="0"/>
          <w:caps w:val="0"/>
          <w:color w:val="000000"/>
          <w:sz w:val="24"/>
        </w:rPr>
        <w:t>T. Gu, B. Dolan-Gavitt, and S. Garg, “BadNets: Identifying vulnerabilities in the machine learning model supply chain,” arXiv:1708.06733, 2017.</w:t>
      </w:r>
    </w:p>
    <w:p>
      <w:pPr>
        <w:keepNext/>
        <w:spacing w:line="276" w:lineRule="auto" w:before="240" w:after="120"/>
        <w:jc w:val="left"/>
      </w:pPr>
      <w:r>
        <w:rPr>
          <w:rFonts w:ascii="Times New Roman" w:hAnsi="Times New Roman" w:eastAsia="Times New Roman" w:cs="Times New Roman"/>
          <w:b/>
          <w:i w:val="0"/>
          <w:caps w:val="0"/>
          <w:color w:val="000000"/>
          <w:sz w:val="26"/>
        </w:rPr>
        <w:t>Books</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[16]  </w:t>
      </w:r>
      <w:r>
        <w:rPr>
          <w:rFonts w:ascii="Times New Roman" w:hAnsi="Times New Roman" w:eastAsia="Times New Roman" w:cs="Times New Roman"/>
          <w:b w:val="0"/>
          <w:i w:val="0"/>
          <w:caps w:val="0"/>
          <w:color w:val="000000"/>
          <w:sz w:val="24"/>
        </w:rPr>
        <w:t>C. C. Aggarwal, Outlier Analysis, 2nd ed. Cham, Switzerland: Springer, 2017.</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[17]  </w:t>
      </w:r>
      <w:r>
        <w:rPr>
          <w:rFonts w:ascii="Times New Roman" w:hAnsi="Times New Roman" w:eastAsia="Times New Roman" w:cs="Times New Roman"/>
          <w:b w:val="0"/>
          <w:i w:val="0"/>
          <w:caps w:val="0"/>
          <w:color w:val="000000"/>
          <w:sz w:val="24"/>
        </w:rPr>
        <w:t>I. Goodfellow, Y. Bengio, and A. Courville, Deep Learning. Cambridge, MA, USA: MIT Press, 2016.</w:t>
      </w:r>
    </w:p>
    <w:p>
      <w:pPr>
        <w:keepNext/>
        <w:spacing w:line="276" w:lineRule="auto" w:before="240" w:after="120"/>
        <w:jc w:val="left"/>
      </w:pPr>
      <w:r>
        <w:rPr>
          <w:rFonts w:ascii="Times New Roman" w:hAnsi="Times New Roman" w:eastAsia="Times New Roman" w:cs="Times New Roman"/>
          <w:b/>
          <w:i w:val="0"/>
          <w:caps w:val="0"/>
          <w:color w:val="000000"/>
          <w:sz w:val="26"/>
        </w:rPr>
        <w:t>Web References</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[18]  </w:t>
      </w:r>
      <w:r>
        <w:rPr>
          <w:rFonts w:ascii="Times New Roman" w:hAnsi="Times New Roman" w:eastAsia="Times New Roman" w:cs="Times New Roman"/>
          <w:b w:val="0"/>
          <w:i w:val="0"/>
          <w:caps w:val="0"/>
          <w:color w:val="000000"/>
          <w:sz w:val="24"/>
        </w:rPr>
        <w:t>OWASP Internet of Things Project. [Online]. Available: https://owasp.org/www-project-internet-of-things/</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[19]  </w:t>
      </w:r>
      <w:r>
        <w:rPr>
          <w:rFonts w:ascii="Times New Roman" w:hAnsi="Times New Roman" w:eastAsia="Times New Roman" w:cs="Times New Roman"/>
          <w:b w:val="0"/>
          <w:i w:val="0"/>
          <w:caps w:val="0"/>
          <w:color w:val="000000"/>
          <w:sz w:val="24"/>
        </w:rPr>
        <w:t>scikit-learn: Machine Learning in Python. [Online]. Available: https://scikit-learn.org/stable/</w:t>
      </w:r>
    </w:p>
    <w:p>
      <w:pPr>
        <w:keepNext w:val="0"/>
        <w:spacing w:line="276" w:lineRule="auto" w:before="0" w:after="120"/>
        <w:ind w:left="576" w:hanging="576"/>
        <w:jc w:val="both"/>
      </w:pPr>
      <w:r>
        <w:rPr>
          <w:rFonts w:ascii="Times New Roman" w:hAnsi="Times New Roman" w:eastAsia="Times New Roman" w:cs="Times New Roman"/>
          <w:b/>
          <w:i w:val="0"/>
          <w:caps w:val="0"/>
          <w:color w:val="000000"/>
          <w:sz w:val="24"/>
        </w:rPr>
        <w:t xml:space="preserve">[20]  </w:t>
      </w:r>
      <w:r>
        <w:rPr>
          <w:rFonts w:ascii="Times New Roman" w:hAnsi="Times New Roman" w:eastAsia="Times New Roman" w:cs="Times New Roman"/>
          <w:b w:val="0"/>
          <w:i w:val="0"/>
          <w:caps w:val="0"/>
          <w:color w:val="000000"/>
          <w:sz w:val="24"/>
        </w:rPr>
        <w:t>FastAPI Documentation. [Online]. Available: https://fastapi.tiangolo.com/</w:t>
      </w:r>
    </w:p>
    <w:p>
      <w:r>
        <w:br w:type="page"/>
      </w:r>
    </w:p>
    <w:p>
      <w:bookmarkStart w:id="1054" w:name="bm_appendix"/>
      <w:pPr>
        <w:keepNext/>
        <w:spacing w:line="259" w:lineRule="auto" w:before="0" w:after="240"/>
        <w:jc w:val="center"/>
      </w:pPr>
      <w:r>
        <w:rPr>
          <w:rFonts w:ascii="Times New Roman" w:hAnsi="Times New Roman" w:eastAsia="Times New Roman" w:cs="Times New Roman"/>
          <w:b/>
          <w:i w:val="0"/>
          <w:caps w:val="0"/>
          <w:color w:val="000000"/>
          <w:sz w:val="28"/>
        </w:rPr>
        <w:t>APPENDIX A — SAMPLE CODE</w:t>
      </w:r>
      <w:bookmarkEnd w:id="1054"/>
    </w:p>
    <w:p>
      <w:pPr>
        <w:keepNext w:val="0"/>
        <w:spacing w:line="276" w:lineRule="auto" w:before="0" w:after="160"/>
        <w:ind w:firstLine="720"/>
        <w:jc w:val="both"/>
      </w:pPr>
      <w:r>
        <w:rPr>
          <w:rFonts w:ascii="Times New Roman" w:hAnsi="Times New Roman" w:eastAsia="Times New Roman" w:cs="Times New Roman"/>
          <w:b w:val="0"/>
          <w:i w:val="0"/>
          <w:caps w:val="0"/>
          <w:color w:val="000000"/>
          <w:sz w:val="24"/>
        </w:rPr>
        <w:t>The listings below are the two routines on which the framework's claim rests, reproduced from cihdt/counterfactual/validator.py.</w:t>
      </w:r>
    </w:p>
    <w:p>
      <w:pPr>
        <w:keepNext/>
        <w:spacing w:line="276" w:lineRule="auto" w:before="240" w:after="120"/>
        <w:jc w:val="left"/>
      </w:pPr>
      <w:r>
        <w:rPr>
          <w:rFonts w:ascii="Times New Roman" w:hAnsi="Times New Roman" w:eastAsia="Times New Roman" w:cs="Times New Roman"/>
          <w:b/>
          <w:i w:val="0"/>
          <w:caps w:val="0"/>
          <w:color w:val="000000"/>
          <w:sz w:val="26"/>
        </w:rPr>
        <w:t>A.1  Scoring an Update Against Committed Futures</w:t>
      </w:r>
    </w:p>
    <w:p>
      <w:pPr>
        <w:keepNext w:val="0"/>
        <w:spacing w:line="240" w:lineRule="auto" w:before="0" w:after="0"/>
        <w:ind w:left="480"/>
        <w:jc w:val="both"/>
      </w:pPr>
      <w:r>
        <w:rPr>
          <w:rFonts w:ascii="Consolas" w:hAnsi="Consolas" w:eastAsia="Times New Roman" w:cs="Times New Roman"/>
          <w:b w:val="0"/>
          <w:i w:val="0"/>
          <w:caps w:val="0"/>
          <w:color w:val="000000"/>
          <w:sz w:val="19"/>
        </w:rPr>
        <w:t>shadow = self._shadow(update, core_X, core_y, core_dt)</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w:t>
      </w:r>
    </w:p>
    <w:p>
      <w:pPr>
        <w:keepNext w:val="0"/>
        <w:spacing w:line="240" w:lineRule="auto" w:before="0" w:after="0"/>
        <w:ind w:left="480"/>
        <w:jc w:val="both"/>
      </w:pPr>
      <w:r>
        <w:rPr>
          <w:rFonts w:ascii="Consolas" w:hAnsi="Consolas" w:eastAsia="Times New Roman" w:cs="Times New Roman"/>
          <w:b w:val="0"/>
          <w:i w:val="0"/>
          <w:caps w:val="0"/>
          <w:color w:val="000000"/>
          <w:sz w:val="19"/>
        </w:rPr>
        <w:t>shadow_pred = shadow.predict(bank.X, bank.dt)</w:t>
      </w:r>
    </w:p>
    <w:p>
      <w:pPr>
        <w:keepNext w:val="0"/>
        <w:spacing w:line="240" w:lineRule="auto" w:before="0" w:after="0"/>
        <w:ind w:left="480"/>
        <w:jc w:val="both"/>
      </w:pPr>
      <w:r>
        <w:rPr>
          <w:rFonts w:ascii="Consolas" w:hAnsi="Consolas" w:eastAsia="Times New Roman" w:cs="Times New Roman"/>
          <w:b w:val="0"/>
          <w:i w:val="0"/>
          <w:caps w:val="0"/>
          <w:color w:val="000000"/>
          <w:sz w:val="19"/>
        </w:rPr>
        <w:t>inc_pred    = incumbent.predict(bank.X, bank.dt)</w:t>
      </w:r>
    </w:p>
    <w:p>
      <w:pPr>
        <w:keepNext w:val="0"/>
        <w:spacing w:line="240" w:lineRule="auto" w:before="0" w:after="0"/>
        <w:ind w:left="480"/>
        <w:jc w:val="both"/>
      </w:pPr>
      <w:r>
        <w:rPr>
          <w:rFonts w:ascii="Consolas" w:hAnsi="Consolas" w:eastAsia="Times New Roman" w:cs="Times New Roman"/>
          <w:b w:val="0"/>
          <w:i w:val="0"/>
          <w:caps w:val="0"/>
          <w:color w:val="000000"/>
          <w:sz w:val="19"/>
        </w:rPr>
        <w:t>am, bm      = bank.attack_mask, bank.benign_mask</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w:t>
      </w:r>
    </w:p>
    <w:p>
      <w:pPr>
        <w:keepNext w:val="0"/>
        <w:spacing w:line="240" w:lineRule="auto" w:before="0" w:after="0"/>
        <w:ind w:left="480"/>
        <w:jc w:val="both"/>
      </w:pPr>
      <w:r>
        <w:rPr>
          <w:rFonts w:ascii="Consolas" w:hAnsi="Consolas" w:eastAsia="Times New Roman" w:cs="Times New Roman"/>
          <w:b w:val="0"/>
          <w:i w:val="0"/>
          <w:caps w:val="0"/>
          <w:color w:val="000000"/>
          <w:sz w:val="19"/>
        </w:rPr>
        <w:t>attack_agreement = float((shadow_pred[am] != NORMAL_IDX).mean())</w:t>
      </w:r>
    </w:p>
    <w:p>
      <w:pPr>
        <w:keepNext w:val="0"/>
        <w:spacing w:line="240" w:lineRule="auto" w:before="0" w:after="0"/>
        <w:ind w:left="480"/>
        <w:jc w:val="both"/>
      </w:pPr>
      <w:r>
        <w:rPr>
          <w:rFonts w:ascii="Consolas" w:hAnsi="Consolas" w:eastAsia="Times New Roman" w:cs="Times New Roman"/>
          <w:b w:val="0"/>
          <w:i w:val="0"/>
          <w:caps w:val="0"/>
          <w:color w:val="000000"/>
          <w:sz w:val="19"/>
        </w:rPr>
        <w:t>benign_agreement = float((shadow_pred[bm] == NORMAL_IDX).mean())</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w:t>
      </w:r>
    </w:p>
    <w:p>
      <w:pPr>
        <w:keepNext w:val="0"/>
        <w:spacing w:line="240" w:lineRule="auto" w:before="0" w:after="0"/>
        <w:ind w:left="480"/>
        <w:jc w:val="both"/>
      </w:pPr>
      <w:r>
        <w:rPr>
          <w:rFonts w:ascii="Consolas" w:hAnsi="Consolas" w:eastAsia="Times New Roman" w:cs="Times New Roman"/>
          <w:b w:val="0"/>
          <w:i w:val="0"/>
          <w:caps w:val="0"/>
          <w:color w:val="000000"/>
          <w:sz w:val="19"/>
        </w:rPr>
        <w:t>caught     = inc_pred != NORMAL_IDX</w:t>
      </w:r>
    </w:p>
    <w:p>
      <w:pPr>
        <w:keepNext w:val="0"/>
        <w:spacing w:line="240" w:lineRule="auto" w:before="0" w:after="0"/>
        <w:ind w:left="480"/>
        <w:jc w:val="both"/>
      </w:pPr>
      <w:r>
        <w:rPr>
          <w:rFonts w:ascii="Consolas" w:hAnsi="Consolas" w:eastAsia="Times New Roman" w:cs="Times New Roman"/>
          <w:b w:val="0"/>
          <w:i w:val="0"/>
          <w:caps w:val="0"/>
          <w:color w:val="000000"/>
          <w:sz w:val="19"/>
        </w:rPr>
        <w:t>downgraded = caught &amp; (shadow_pred == NORMAL_IDX)</w:t>
      </w:r>
    </w:p>
    <w:p>
      <w:pPr>
        <w:keepNext w:val="0"/>
        <w:spacing w:line="240" w:lineRule="auto" w:before="0" w:after="0"/>
        <w:ind w:left="480"/>
        <w:jc w:val="both"/>
      </w:pPr>
      <w:r>
        <w:rPr>
          <w:rFonts w:ascii="Consolas" w:hAnsi="Consolas" w:eastAsia="Times New Roman" w:cs="Times New Roman"/>
          <w:b w:val="0"/>
          <w:i w:val="0"/>
          <w:caps w:val="0"/>
          <w:color w:val="000000"/>
          <w:sz w:val="19"/>
        </w:rPr>
        <w:t>stability  = 1.0 - downgraded.sum() / caught.sum()</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w:t>
      </w:r>
    </w:p>
    <w:p>
      <w:pPr>
        <w:keepNext w:val="0"/>
        <w:spacing w:line="240" w:lineRule="auto" w:before="0" w:after="0"/>
        <w:ind w:left="480"/>
        <w:jc w:val="both"/>
      </w:pPr>
      <w:r>
        <w:rPr>
          <w:rFonts w:ascii="Consolas" w:hAnsi="Consolas" w:eastAsia="Times New Roman" w:cs="Times New Roman"/>
          <w:b w:val="0"/>
          <w:i w:val="0"/>
          <w:caps w:val="0"/>
          <w:color w:val="000000"/>
          <w:sz w:val="19"/>
        </w:rPr>
        <w:t>coherence, per_ratio, detail     = self._plane_coherence(update)</w:t>
      </w:r>
    </w:p>
    <w:p>
      <w:pPr>
        <w:keepNext w:val="0"/>
        <w:spacing w:line="240" w:lineRule="auto" w:before="0" w:after="0"/>
        <w:ind w:left="480"/>
        <w:jc w:val="both"/>
      </w:pPr>
      <w:r>
        <w:rPr>
          <w:rFonts w:ascii="Consolas" w:hAnsi="Consolas" w:eastAsia="Times New Roman" w:cs="Times New Roman"/>
          <w:b w:val="0"/>
          <w:i w:val="0"/>
          <w:caps w:val="0"/>
          <w:color w:val="000000"/>
          <w:sz w:val="19"/>
        </w:rPr>
        <w:t>label_agreement, agree_detail    = self._label_agreement(update, incumbent)</w:t>
      </w:r>
    </w:p>
    <w:p>
      <w:pPr>
        <w:keepNext w:val="0"/>
        <w:spacing w:line="240" w:lineRule="auto" w:before="0" w:after="0"/>
        <w:ind w:left="480"/>
        <w:jc w:val="both"/>
      </w:pPr>
      <w:r>
        <w:rPr>
          <w:rFonts w:ascii="Consolas" w:hAnsi="Consolas" w:eastAsia="Times New Roman" w:cs="Times New Roman"/>
          <w:b w:val="0"/>
          <w:i w:val="0"/>
          <w:caps w:val="0"/>
          <w:color w:val="000000"/>
          <w:sz w:val="19"/>
        </w:rPr>
        <w:t>tv, excess                       = self._label_shift(update)</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w:t>
      </w:r>
    </w:p>
    <w:p>
      <w:pPr>
        <w:keepNext w:val="0"/>
        <w:spacing w:line="240" w:lineRule="auto" w:before="0" w:after="0"/>
        <w:ind w:left="480"/>
        <w:jc w:val="both"/>
      </w:pPr>
      <w:r>
        <w:rPr>
          <w:rFonts w:ascii="Consolas" w:hAnsi="Consolas" w:eastAsia="Times New Roman" w:cs="Times New Roman"/>
          <w:b w:val="0"/>
          <w:i w:val="0"/>
          <w:caps w:val="0"/>
          <w:color w:val="000000"/>
          <w:sz w:val="19"/>
        </w:rPr>
        <w:t>directional     = tv if excess &gt; 0 else min(tv, 0.35 * CFG.label_shift_full)</w:t>
      </w:r>
    </w:p>
    <w:p>
      <w:pPr>
        <w:keepNext w:val="0"/>
        <w:spacing w:line="240" w:lineRule="auto" w:before="0" w:after="0"/>
        <w:ind w:left="480"/>
        <w:jc w:val="both"/>
      </w:pPr>
      <w:r>
        <w:rPr>
          <w:rFonts w:ascii="Consolas" w:hAnsi="Consolas" w:eastAsia="Times New Roman" w:cs="Times New Roman"/>
          <w:b w:val="0"/>
          <w:i w:val="0"/>
          <w:caps w:val="0"/>
          <w:color w:val="000000"/>
          <w:sz w:val="19"/>
        </w:rPr>
        <w:t>label_integrity = clip(1.0 - directional / CFG.label_shift_full, 0.0, 1.0)</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w:t>
      </w:r>
    </w:p>
    <w:p>
      <w:pPr>
        <w:keepNext w:val="0"/>
        <w:spacing w:line="240" w:lineRule="auto" w:before="0" w:after="0"/>
        <w:ind w:left="480"/>
        <w:jc w:val="both"/>
      </w:pPr>
      <w:r>
        <w:rPr>
          <w:rFonts w:ascii="Consolas" w:hAnsi="Consolas" w:eastAsia="Times New Roman" w:cs="Times New Roman"/>
          <w:b w:val="0"/>
          <w:i w:val="0"/>
          <w:caps w:val="0"/>
          <w:color w:val="000000"/>
          <w:sz w:val="19"/>
        </w:rPr>
        <w:t>ccs = (CFG.w_attack_agreement * attack_agreement</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 CFG.w_benign_agreement * benign_agreement</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 CFG.w_stability        * stability</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 CFG.w_plane_coherence  * coherence</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 CFG.w_label_integrity  * label_integrity</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 CFG.w_label_agreement  * label_agreement)</w:t>
      </w:r>
    </w:p>
    <w:p>
      <w:pPr>
        <w:keepNext w:val="0"/>
        <w:spacing w:line="276" w:lineRule="auto" w:before="0" w:after="200"/>
        <w:jc w:val="both"/>
      </w:pPr>
    </w:p>
    <w:p>
      <w:pPr>
        <w:keepNext/>
        <w:spacing w:line="276" w:lineRule="auto" w:before="240" w:after="120"/>
        <w:jc w:val="left"/>
      </w:pPr>
      <w:r>
        <w:rPr>
          <w:rFonts w:ascii="Times New Roman" w:hAnsi="Times New Roman" w:eastAsia="Times New Roman" w:cs="Times New Roman"/>
          <w:b/>
          <w:i w:val="0"/>
          <w:caps w:val="0"/>
          <w:color w:val="000000"/>
          <w:sz w:val="26"/>
        </w:rPr>
        <w:t>A.2  Calibrating the Accept Threshold</w:t>
      </w:r>
    </w:p>
    <w:p>
      <w:pPr>
        <w:keepNext w:val="0"/>
        <w:spacing w:line="240" w:lineRule="auto" w:before="0" w:after="0"/>
        <w:ind w:left="480"/>
        <w:jc w:val="both"/>
      </w:pPr>
      <w:r>
        <w:rPr>
          <w:rFonts w:ascii="Consolas" w:hAnsi="Consolas" w:eastAsia="Times New Roman" w:cs="Times New Roman"/>
          <w:b w:val="0"/>
          <w:i w:val="0"/>
          <w:caps w:val="0"/>
          <w:color w:val="000000"/>
          <w:sz w:val="19"/>
        </w:rPr>
        <w:t>scores = [self._score(u, bank, incumbent, core_X, core_y, core_dt)[0]</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for u in honest]</w:t>
      </w:r>
    </w:p>
    <w:p>
      <w:pPr>
        <w:keepNext w:val="0"/>
        <w:spacing w:line="240" w:lineRule="auto" w:before="0" w:after="0"/>
        <w:ind w:left="480"/>
        <w:jc w:val="both"/>
      </w:pPr>
      <w:r>
        <w:rPr>
          <w:rFonts w:ascii="Consolas" w:hAnsi="Consolas" w:eastAsia="Times New Roman" w:cs="Times New Roman"/>
          <w:b w:val="0"/>
          <w:i w:val="0"/>
          <w:caps w:val="0"/>
          <w:color w:val="000000"/>
          <w:sz w:val="19"/>
        </w:rPr>
        <w:t>arr    = np.asarray(scores)</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w:t>
      </w:r>
    </w:p>
    <w:p>
      <w:pPr>
        <w:keepNext w:val="0"/>
        <w:spacing w:line="240" w:lineRule="auto" w:before="0" w:after="0"/>
        <w:ind w:left="480"/>
        <w:jc w:val="both"/>
      </w:pPr>
      <w:r>
        <w:rPr>
          <w:rFonts w:ascii="Consolas" w:hAnsi="Consolas" w:eastAsia="Times New Roman" w:cs="Times New Roman"/>
          <w:b w:val="0"/>
          <w:i w:val="0"/>
          <w:caps w:val="0"/>
          <w:color w:val="000000"/>
          <w:sz w:val="19"/>
        </w:rPr>
        <w:t># The floor matters: calibration updates all come from one pool, so their</w:t>
      </w:r>
    </w:p>
    <w:p>
      <w:pPr>
        <w:keepNext w:val="0"/>
        <w:spacing w:line="240" w:lineRule="auto" w:before="0" w:after="0"/>
        <w:ind w:left="480"/>
        <w:jc w:val="both"/>
      </w:pPr>
      <w:r>
        <w:rPr>
          <w:rFonts w:ascii="Consolas" w:hAnsi="Consolas" w:eastAsia="Times New Roman" w:cs="Times New Roman"/>
          <w:b w:val="0"/>
          <w:i w:val="0"/>
          <w:caps w:val="0"/>
          <w:color w:val="000000"/>
          <w:sz w:val="19"/>
        </w:rPr>
        <w:t># measured spread understates what honest traffic varies by once the fleet</w:t>
      </w:r>
    </w:p>
    <w:p>
      <w:pPr>
        <w:keepNext w:val="0"/>
        <w:spacing w:line="240" w:lineRule="auto" w:before="0" w:after="0"/>
        <w:ind w:left="480"/>
        <w:jc w:val="both"/>
      </w:pPr>
      <w:r>
        <w:rPr>
          <w:rFonts w:ascii="Consolas" w:hAnsi="Consolas" w:eastAsia="Times New Roman" w:cs="Times New Roman"/>
          <w:b w:val="0"/>
          <w:i w:val="0"/>
          <w:caps w:val="0"/>
          <w:color w:val="000000"/>
          <w:sz w:val="19"/>
        </w:rPr>
        <w:t># drifts. Without it the gate lands inside the honest distribution.</w:t>
      </w:r>
    </w:p>
    <w:p>
      <w:pPr>
        <w:keepNext w:val="0"/>
        <w:spacing w:line="240" w:lineRule="auto" w:before="0" w:after="0"/>
        <w:ind w:left="480"/>
        <w:jc w:val="both"/>
      </w:pPr>
      <w:r>
        <w:rPr>
          <w:rFonts w:ascii="Consolas" w:hAnsi="Consolas" w:eastAsia="Times New Roman" w:cs="Times New Roman"/>
          <w:b w:val="0"/>
          <w:i w:val="0"/>
          <w:caps w:val="0"/>
          <w:color w:val="000000"/>
          <w:sz w:val="19"/>
        </w:rPr>
        <w:t>spread = max(float(arr.std()), CFG.threshold_std_floor)</w:t>
      </w:r>
    </w:p>
    <w:p>
      <w:pPr>
        <w:keepNext w:val="0"/>
        <w:spacing w:line="240" w:lineRule="auto" w:before="0" w:after="0"/>
        <w:ind w:left="480"/>
        <w:jc w:val="both"/>
      </w:pPr>
      <w:r>
        <w:rPr>
          <w:rFonts w:ascii="Consolas" w:hAnsi="Consolas" w:eastAsia="Times New Roman" w:cs="Times New Roman"/>
          <w:b w:val="0"/>
          <w:i w:val="0"/>
          <w:caps w:val="0"/>
          <w:color w:val="000000"/>
          <w:sz w:val="19"/>
        </w:rPr>
        <w:t>raw    = float(arr.mean() - CFG.threshold_z * spread)</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w:t>
      </w:r>
    </w:p>
    <w:p>
      <w:pPr>
        <w:keepNext w:val="0"/>
        <w:spacing w:line="240" w:lineRule="auto" w:before="0" w:after="0"/>
        <w:ind w:left="480"/>
        <w:jc w:val="both"/>
      </w:pPr>
      <w:r>
        <w:rPr>
          <w:rFonts w:ascii="Consolas" w:hAnsi="Consolas" w:eastAsia="Times New Roman" w:cs="Times New Roman"/>
          <w:b w:val="0"/>
          <w:i w:val="0"/>
          <w:caps w:val="0"/>
          <w:color w:val="000000"/>
          <w:sz w:val="19"/>
        </w:rPr>
        <w:t>self.threshold = float(np.clip(raw, CFG.threshold_floor,</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CFG.threshold_ceiling))</w:t>
      </w:r>
    </w:p>
    <w:p>
      <w:pPr>
        <w:keepNext w:val="0"/>
        <w:spacing w:line="276" w:lineRule="auto" w:before="0" w:after="200"/>
        <w:jc w:val="both"/>
      </w:pPr>
    </w:p>
    <w:p>
      <w:pPr>
        <w:keepNext/>
        <w:spacing w:line="276" w:lineRule="auto" w:before="240" w:after="120"/>
        <w:jc w:val="left"/>
      </w:pPr>
      <w:r>
        <w:rPr>
          <w:rFonts w:ascii="Times New Roman" w:hAnsi="Times New Roman" w:eastAsia="Times New Roman" w:cs="Times New Roman"/>
          <w:b/>
          <w:i w:val="0"/>
          <w:caps w:val="0"/>
          <w:color w:val="000000"/>
          <w:sz w:val="26"/>
        </w:rPr>
        <w:t>A.3  The Decision, With Sybil Pressure Applied</w:t>
      </w:r>
    </w:p>
    <w:p>
      <w:pPr>
        <w:keepNext w:val="0"/>
        <w:spacing w:line="240" w:lineRule="auto" w:before="0" w:after="0"/>
        <w:ind w:left="480"/>
        <w:jc w:val="both"/>
      </w:pPr>
      <w:r>
        <w:rPr>
          <w:rFonts w:ascii="Consolas" w:hAnsi="Consolas" w:eastAsia="Times New Roman" w:cs="Times New Roman"/>
          <w:b w:val="0"/>
          <w:i w:val="0"/>
          <w:caps w:val="0"/>
          <w:color w:val="000000"/>
          <w:sz w:val="19"/>
        </w:rPr>
        <w:t>unseen           = update.source not in self.seen_sources</w:t>
      </w:r>
    </w:p>
    <w:p>
      <w:pPr>
        <w:keepNext w:val="0"/>
        <w:spacing w:line="240" w:lineRule="auto" w:before="0" w:after="0"/>
        <w:ind w:left="480"/>
        <w:jc w:val="both"/>
      </w:pPr>
      <w:r>
        <w:rPr>
          <w:rFonts w:ascii="Consolas" w:hAnsi="Consolas" w:eastAsia="Times New Roman" w:cs="Times New Roman"/>
          <w:b w:val="0"/>
          <w:i w:val="0"/>
          <w:caps w:val="0"/>
          <w:color w:val="000000"/>
          <w:sz w:val="19"/>
        </w:rPr>
        <w:t>recent           = list(self.seen_sources)[-8:]</w:t>
      </w:r>
    </w:p>
    <w:p>
      <w:pPr>
        <w:keepNext w:val="0"/>
        <w:spacing w:line="240" w:lineRule="auto" w:before="0" w:after="0"/>
        <w:ind w:left="480"/>
        <w:jc w:val="both"/>
      </w:pPr>
      <w:r>
        <w:rPr>
          <w:rFonts w:ascii="Consolas" w:hAnsi="Consolas" w:eastAsia="Times New Roman" w:cs="Times New Roman"/>
          <w:b w:val="0"/>
          <w:i w:val="0"/>
          <w:caps w:val="0"/>
          <w:color w:val="000000"/>
          <w:sz w:val="19"/>
        </w:rPr>
        <w:t>burst            = unseen and len(recent) &gt;= 5 and len(set(recent)) &gt;= 5</w:t>
      </w:r>
    </w:p>
    <w:p>
      <w:pPr>
        <w:keepNext w:val="0"/>
        <w:spacing w:line="240" w:lineRule="auto" w:before="0" w:after="0"/>
        <w:ind w:left="480"/>
        <w:jc w:val="both"/>
      </w:pPr>
      <w:r>
        <w:rPr>
          <w:rFonts w:ascii="Consolas" w:hAnsi="Consolas" w:eastAsia="Times New Roman" w:cs="Times New Roman"/>
          <w:b w:val="0"/>
          <w:i w:val="0"/>
          <w:caps w:val="0"/>
          <w:color w:val="000000"/>
          <w:sz w:val="19"/>
        </w:rPr>
        <w:t>novelty_penalty  = 0.05 if burst else 0.0</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w:t>
      </w:r>
    </w:p>
    <w:p>
      <w:pPr>
        <w:keepNext w:val="0"/>
        <w:spacing w:line="240" w:lineRule="auto" w:before="0" w:after="0"/>
        <w:ind w:left="480"/>
        <w:jc w:val="both"/>
      </w:pPr>
      <w:r>
        <w:rPr>
          <w:rFonts w:ascii="Consolas" w:hAnsi="Consolas" w:eastAsia="Times New Roman" w:cs="Times New Roman"/>
          <w:b w:val="0"/>
          <w:i w:val="0"/>
          <w:caps w:val="0"/>
          <w:color w:val="000000"/>
          <w:sz w:val="19"/>
        </w:rPr>
        <w:t>effective = min(self.threshold + novelty_penalty, 0.97)</w:t>
      </w:r>
    </w:p>
    <w:p>
      <w:pPr>
        <w:keepNext w:val="0"/>
        <w:spacing w:line="240" w:lineRule="auto" w:before="0" w:after="0"/>
        <w:ind w:left="480"/>
        <w:jc w:val="both"/>
      </w:pPr>
      <w:r>
        <w:rPr>
          <w:rFonts w:ascii="Consolas" w:hAnsi="Consolas" w:eastAsia="Times New Roman" w:cs="Times New Roman"/>
          <w:b w:val="0"/>
          <w:i w:val="0"/>
          <w:caps w:val="0"/>
          <w:color w:val="000000"/>
          <w:sz w:val="19"/>
        </w:rPr>
        <w:t>passed    = ccs &gt;= effective and rep &gt;= CFG.reputation_floor</w:t>
      </w:r>
    </w:p>
    <w:p>
      <w:pPr>
        <w:keepNext w:val="0"/>
        <w:spacing w:line="240" w:lineRule="auto" w:before="0" w:after="0"/>
        <w:ind w:left="480"/>
        <w:jc w:val="both"/>
      </w:pPr>
      <w:r>
        <w:rPr>
          <w:rFonts w:ascii="Consolas" w:hAnsi="Consolas" w:eastAsia="Times New Roman" w:cs="Times New Roman"/>
          <w:b w:val="0"/>
          <w:i w:val="0"/>
          <w:caps w:val="0"/>
          <w:color w:val="000000"/>
          <w:sz w:val="19"/>
        </w:rPr>
        <w:t>decision  = (Decision.ACCEPTED.value if passed</w:t>
      </w:r>
    </w:p>
    <w:p>
      <w:pPr>
        <w:keepNext w:val="0"/>
        <w:spacing w:line="240" w:lineRule="auto" w:before="0" w:after="0"/>
        <w:ind w:left="480"/>
        <w:jc w:val="both"/>
      </w:pPr>
      <w:r>
        <w:rPr>
          <w:rFonts w:ascii="Consolas" w:hAnsi="Consolas" w:eastAsia="Times New Roman" w:cs="Times New Roman"/>
          <w:b w:val="0"/>
          <w:i w:val="0"/>
          <w:caps w:val="0"/>
          <w:color w:val="000000"/>
          <w:sz w:val="19"/>
        </w:rPr>
        <w:t xml:space="preserve">             else Decision.QUARANTINED.value)</w:t>
      </w:r>
    </w:p>
    <w:p>
      <w:pPr>
        <w:keepNext w:val="0"/>
        <w:spacing w:line="276" w:lineRule="auto" w:before="0" w:after="200"/>
        <w:jc w:val="both"/>
      </w:pPr>
    </w:p>
    <w:sectPr w:rsidR="00FC693F" w:rsidRPr="0006063C" w:rsidSect="00034616">
      <w:footerReference w:type="default" r:id="rId11"/>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s="Times New Roman"/>
        <w:b w:val="0"/>
        <w:i w:val="0"/>
        <w:caps w:val="0"/>
        <w:color w:val="000000"/>
        <w:sz w:val="22"/>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s="Times New Roman"/>
        <w:b w:val="0"/>
        <w:i w:val="0"/>
        <w:caps w:val="0"/>
        <w:color w:val="000000"/>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And Method For Counterfactual-Driven Adaptive Security Control And Verified Model Updating In Edge-Deployed Digital Twins For Consumer Internet Of Things Networks</dc:title>
  <dc:subject>BCSE497J Project-I</dc:subject>
  <dc:creator>T V Sai Susanth</dc:creator>
  <cp:keywords/>
  <dc:description/>
  <cp:lastModifiedBy>T V Sai Susanth</cp:lastModifiedBy>
  <cp:revision>1</cp:revision>
  <dcterms:created xsi:type="dcterms:W3CDTF">2013-12-23T23:15:00Z</dcterms:created>
  <dcterms:modified xsi:type="dcterms:W3CDTF">2013-12-23T23:15:00Z</dcterms:modified>
  <cp:category/>
</cp:coreProperties>
</file>