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Liberation Sans" w:hAnsi="Liberation Sans" w:eastAsia="Liberation Sans"/>
          <w:b/>
          <w:smallCaps/>
          <w:color w:val="2563EB"/>
          <w:sz w:val="32"/>
        </w:rPr>
        <w:t>CRD.PI</w:t>
      </w:r>
    </w:p>
    <w:p>
      <w:pPr>
        <w:spacing w:before="320"/>
        <w:jc w:val="center"/>
      </w:pPr>
      <w:r>
        <w:rPr>
          <w:rFonts w:ascii="Liberation Sans" w:hAnsi="Liberation Sans" w:eastAsia="Liberation Sans"/>
          <w:b/>
          <w:color w:val="0F172A"/>
          <w:sz w:val="60"/>
        </w:rPr>
        <w:t>BLOCK B</w:t>
      </w:r>
    </w:p>
    <w:p>
      <w:pPr>
        <w:jc w:val="center"/>
      </w:pPr>
      <w:r>
        <w:rPr>
          <w:rFonts w:ascii="Liberation Sans" w:hAnsi="Liberation Sans" w:eastAsia="Liberation Sans"/>
          <w:b/>
          <w:color w:val="1E40AF"/>
          <w:sz w:val="40"/>
        </w:rPr>
        <w:t>Detailed Technical &amp; Portfolio Risk Report</w:t>
      </w:r>
    </w:p>
    <w:p>
      <w:pPr>
        <w:spacing w:before="160"/>
        <w:jc w:val="center"/>
      </w:pPr>
      <w:r>
        <w:rPr>
          <w:rFonts w:ascii="Liberation Sans" w:hAnsi="Liberation Sans" w:eastAsia="Liberation Sans"/>
          <w:color w:val="475569"/>
          <w:sz w:val="21"/>
        </w:rPr>
        <w:t>Data Engineering · Quality Control · Portfolio Segmentation · Risk Concentration · Vintage Analysis</w:t>
      </w:r>
    </w:p>
    <w:p>
      <w:pPr>
        <w:spacing w:before="6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880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334155"/>
                <w:sz w:val="18"/>
              </w:rPr>
              <w:t>Project</w:t>
            </w:r>
          </w:p>
        </w:tc>
        <w:tc>
          <w:tcPr>
            <w:tcW w:type="dxa" w:w="60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9"/>
              </w:rPr>
              <w:t>Credit Risk Decisioning &amp; Portfolio Intelligence</w:t>
            </w:r>
          </w:p>
        </w:tc>
      </w:tr>
      <w:tr>
        <w:trPr>
          <w:cantSplit/>
        </w:trPr>
        <w:tc>
          <w:tcPr>
            <w:tcW w:type="dxa" w:w="2880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334155"/>
                <w:sz w:val="18"/>
              </w:rPr>
              <w:t>Repository snapshot</w:t>
            </w:r>
          </w:p>
        </w:tc>
        <w:tc>
          <w:tcPr>
            <w:tcW w:type="dxa" w:w="60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9"/>
              </w:rPr>
              <w:t>Commit 363c98b</w:t>
            </w:r>
          </w:p>
        </w:tc>
      </w:tr>
      <w:tr>
        <w:trPr>
          <w:cantSplit/>
        </w:trPr>
        <w:tc>
          <w:tcPr>
            <w:tcW w:type="dxa" w:w="2880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334155"/>
                <w:sz w:val="18"/>
              </w:rPr>
              <w:t>Scope</w:t>
            </w:r>
          </w:p>
        </w:tc>
        <w:tc>
          <w:tcPr>
            <w:tcW w:type="dxa" w:w="60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9"/>
              </w:rPr>
              <w:t>B0–B9</w:t>
            </w:r>
          </w:p>
        </w:tc>
      </w:tr>
      <w:tr>
        <w:trPr>
          <w:cantSplit/>
        </w:trPr>
        <w:tc>
          <w:tcPr>
            <w:tcW w:type="dxa" w:w="2880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334155"/>
                <w:sz w:val="18"/>
              </w:rPr>
              <w:t>Analytical state</w:t>
            </w:r>
          </w:p>
        </w:tc>
        <w:tc>
          <w:tcPr>
            <w:tcW w:type="dxa" w:w="60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/>
                <w:color w:val="0F172A"/>
                <w:sz w:val="19"/>
              </w:rPr>
              <w:t>FINAL REVIEWED / LOCKED</w:t>
            </w:r>
          </w:p>
        </w:tc>
      </w:tr>
      <w:tr>
        <w:trPr>
          <w:cantSplit/>
        </w:trPr>
        <w:tc>
          <w:tcPr>
            <w:tcW w:type="dxa" w:w="2880"/>
            <w:shd w:fill="E2E8F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334155"/>
                <w:sz w:val="18"/>
              </w:rPr>
              <w:t>Next</w:t>
            </w:r>
          </w:p>
        </w:tc>
        <w:tc>
          <w:tcPr>
            <w:tcW w:type="dxa" w:w="6048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b w:val="0"/>
                <w:color w:val="0F172A"/>
                <w:sz w:val="19"/>
              </w:rPr>
              <w:t>Block C — Credit Risk Modeling</w:t>
            </w:r>
          </w:p>
        </w:tc>
      </w:tr>
    </w:tbl>
    <w:p>
      <w:pPr>
        <w:spacing w:before="840"/>
        <w:jc w:val="center"/>
      </w:pPr>
      <w:r>
        <w:rPr>
          <w:rFonts w:ascii="Liberation Sans" w:hAnsi="Liberation Sans" w:eastAsia="Liberation Sans"/>
          <w:b/>
          <w:color w:val="0F766E"/>
          <w:sz w:val="18"/>
        </w:rPr>
        <w:t>Technical Portfolio Report</w:t>
      </w:r>
    </w:p>
    <w:p>
      <w:r>
        <w:br w:type="page"/>
      </w:r>
    </w:p>
    <w:p>
      <w:pPr>
        <w:pStyle w:val="Heading1"/>
        <w:pageBreakBefore w:val="0"/>
      </w:pPr>
      <w:r>
        <w:t>Table of Contents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1. Executive Summary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2. Block B Role in the Project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3. Source, Target and Temporal Governance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4. B0–B3 — Data Engineering &amp; Quality-Control Foundation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5. B4 — Core Application Mart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6. B5 — Controlled Supplemental Enrichment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7. B6 — Portfolio Overview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8. B7 — Segment Risk Analysis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9. B8 — Risk Concentration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10. B9 — Vintage / Temporal Analysis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11. Final Block B QA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12. Data Privacy and Reproducibility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13. What Block B Proves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14. What Block B Does Not Prove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15. Strongest Business Insights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16. Handoff to Block C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17. Final Assessment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18. Repository Documentation Consistency Note</w:t>
      </w:r>
    </w:p>
    <w:p>
      <w:pPr>
        <w:spacing w:after="50"/>
        <w:ind w:left="144"/>
      </w:pPr>
      <w:r>
        <w:rPr>
          <w:rFonts w:ascii="Liberation Sans" w:hAnsi="Liberation Sans" w:eastAsia="Liberation Sans"/>
          <w:b/>
          <w:color w:val="1E40AF"/>
          <w:sz w:val="19"/>
        </w:rPr>
        <w:t>19. Source Basis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Block B converts the locked LendingClub analytical source into a governed credit-risk data layer and then answers one pre-modeling portfolio question: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b/>
          <w:color w:val="334155"/>
          <w:sz w:val="20"/>
        </w:rPr>
        <w:t>Where is observed credit risk concentrated in the resolved granted-loan portfolio before any predictive model is trained?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governed core contains: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Accounts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1,347,681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GOOD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1,078,432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269,249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Observed final-resolution BAD rate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19.9786893%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 xml:space="preserve">Total </w:t>
            </w:r>
            <w:r>
              <w:rPr>
                <w:rFonts w:ascii="Liberation Mono" w:hAnsi="Liberation Mono" w:eastAsia="Liberation Mono"/>
                <w:color w:val="0F766E"/>
                <w:sz w:val="15"/>
              </w:rPr>
              <w:t>loan_amnt</w:t>
            </w:r>
            <w:r>
              <w:rPr>
                <w:rFonts w:ascii="Liberation Sans" w:hAnsi="Liberation Sans" w:eastAsia="Liberation Sans"/>
                <w:color w:val="1E293B"/>
                <w:sz w:val="16"/>
              </w:rPr>
              <w:t xml:space="preserve"> exposure proxy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$19,417,698,475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 xml:space="preserve">BAD-associated </w:t>
            </w:r>
            <w:r>
              <w:rPr>
                <w:rFonts w:ascii="Liberation Mono" w:hAnsi="Liberation Mono" w:eastAsia="Liberation Mono"/>
                <w:color w:val="0F766E"/>
                <w:sz w:val="15"/>
              </w:rPr>
              <w:t>loan_amnt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$4,186,020,700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BAD-associated amount / total exposure proxy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21.5578%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Issue cohorts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139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Issue range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Jun-2007 → Dec-2018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The core is </w:t>
      </w:r>
      <w:r>
        <w:rPr>
          <w:rFonts w:ascii="Liberation Sans" w:hAnsi="Liberation Sans" w:eastAsia="Liberation Sans"/>
          <w:b/>
          <w:color w:val="1E293B"/>
          <w:sz w:val="20"/>
        </w:rPr>
        <w:t>not</w:t>
      </w:r>
      <w:r>
        <w:rPr>
          <w:rFonts w:ascii="Liberation Sans" w:hAnsi="Liberation Sans" w:eastAsia="Liberation Sans"/>
          <w:color w:val="1E293B"/>
          <w:sz w:val="20"/>
        </w:rPr>
        <w:t xml:space="preserve"> presented as a verified 12-month Probability of Default (PD) dataset. </w:t>
      </w:r>
      <w:r>
        <w:rPr>
          <w:rFonts w:ascii="Liberation Mono" w:hAnsi="Liberation Mono" w:eastAsia="Liberation Mono"/>
          <w:color w:val="0F766E"/>
          <w:sz w:val="19"/>
        </w:rPr>
        <w:t>actual_default</w:t>
      </w:r>
      <w:r>
        <w:rPr>
          <w:rFonts w:ascii="Liberation Sans" w:hAnsi="Liberation Sans" w:eastAsia="Liberation Sans"/>
          <w:color w:val="1E293B"/>
          <w:sz w:val="20"/>
        </w:rPr>
        <w:t xml:space="preserve"> is an observed final-resolution outcome in the resolved granted-loan population.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Block B establishes: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reproducible ingestion and one-account grain;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executable Data Quality (DQ) controls;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explicit feature/source-authority governance;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a canonical core application mart;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controlled Figshare pricing enrichment;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context-only RejectStats;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portfolio baseline metrics;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segment risk screening;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material risk concentration;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vintage/temporal analysis;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final executable QA and sanitized evidence.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No model is trained in Block B.</w:t>
      </w:r>
    </w:p>
    <w:p>
      <w:pPr>
        <w:pStyle w:val="Heading1"/>
      </w:pPr>
      <w:r>
        <w:t>2. Block B Role in the Project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B0–B3  Foundation, staging, DQ, contracts</w:t>
        <w:br/>
        <w:t>B4     Core application mart</w:t>
        <w:br/>
        <w:t>B5     Supplemental / pricing / rejected context</w:t>
        <w:br/>
        <w:t>B6     Portfolio Overview</w:t>
        <w:br/>
        <w:t>B7     Segment Risk Analysis</w:t>
        <w:br/>
        <w:t>B8     Risk Concentration</w:t>
        <w:br/>
        <w:t>B9     Vintage / Temporal Analysis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Block B sits before predictive modeling. Its job is to build a defensible analytical layer and describe the historical risk structure without pretending descriptive findings are model outputs or causal effects.</w:t>
      </w:r>
    </w:p>
    <w:p>
      <w:pPr>
        <w:pStyle w:val="Heading1"/>
      </w:pPr>
      <w:r>
        <w:t>3. Source, Target and Temporal Governance</w:t>
      </w:r>
    </w:p>
    <w:p>
      <w:pPr>
        <w:pStyle w:val="Heading2"/>
      </w:pPr>
      <w:r>
        <w:t>3.1 Governing source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Zenodo record </w:t>
      </w:r>
      <w:r>
        <w:rPr>
          <w:rFonts w:ascii="Liberation Mono" w:hAnsi="Liberation Mono" w:eastAsia="Liberation Mono"/>
          <w:color w:val="0F766E"/>
          <w:sz w:val="19"/>
        </w:rPr>
        <w:t>11295916</w:t>
      </w:r>
      <w:r>
        <w:rPr>
          <w:rFonts w:ascii="Liberation Sans" w:hAnsi="Liberation Sans" w:eastAsia="Liberation Sans"/>
          <w:color w:val="1E293B"/>
          <w:sz w:val="20"/>
        </w:rPr>
        <w:t xml:space="preserve"> is the governing source authority.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Reviewed source: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1,347,681 rows</w:t>
        <w:br/>
        <w:t>15 source columns</w:t>
        <w:br/>
        <w:t>one granted-loan/account grain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Zenodo remains authoritative for population, account identifier, target, </w:t>
      </w:r>
      <w:r>
        <w:rPr>
          <w:rFonts w:ascii="Liberation Mono" w:hAnsi="Liberation Mono" w:eastAsia="Liberation Mono"/>
          <w:color w:val="0F766E"/>
          <w:sz w:val="19"/>
        </w:rPr>
        <w:t>issue_d</w:t>
      </w:r>
      <w:r>
        <w:rPr>
          <w:rFonts w:ascii="Liberation Sans" w:hAnsi="Liberation Sans" w:eastAsia="Liberation Sans"/>
          <w:color w:val="1E293B"/>
          <w:sz w:val="20"/>
        </w:rPr>
        <w:t>, chronology and governed overlapping risk fields.</w:t>
      </w:r>
    </w:p>
    <w:p>
      <w:pPr>
        <w:pStyle w:val="Heading2"/>
      </w:pPr>
      <w:r>
        <w:t>3.2 Target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actual_default = 1 → BAD</w:t>
        <w:br/>
        <w:t>actual_default = 0 → GOOD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Counts: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BAD  = 269,249</w:t>
        <w:br/>
        <w:t>GOOD = 1,078,432</w:t>
        <w:br/>
        <w:t>BAD rate = 19.9786893%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Use the wording </w:t>
      </w:r>
      <w:r>
        <w:rPr>
          <w:rFonts w:ascii="Liberation Sans" w:hAnsi="Liberation Sans" w:eastAsia="Liberation Sans"/>
          <w:b/>
          <w:color w:val="1E293B"/>
          <w:sz w:val="20"/>
        </w:rPr>
        <w:t>observed final-resolution BAD rate</w:t>
      </w:r>
      <w:r>
        <w:rPr>
          <w:rFonts w:ascii="Liberation Sans" w:hAnsi="Liberation Sans" w:eastAsia="Liberation Sans"/>
          <w:color w:val="1E293B"/>
          <w:sz w:val="20"/>
        </w:rPr>
        <w:t>. Do not call this verified 12-month PD, forecast PD or calibrated default probability.</w:t>
      </w:r>
    </w:p>
    <w:p>
      <w:pPr>
        <w:pStyle w:val="Heading2"/>
      </w:pPr>
      <w:r>
        <w:t>3.3 Temporal authority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only temporal authority is: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issue_d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Range: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2007-06-01 → 2018-12-01</w:t>
        <w:br/>
        <w:t>139 monthly cohorts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Locked splits: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Split</w:t>
            </w:r>
          </w:p>
        </w:tc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BAD</w:t>
            </w:r>
          </w:p>
        </w:tc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BAD rate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Development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829,347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153,062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18.4557%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Validation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293,057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68,229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23.2818%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OOT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169,117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39,112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23.1272%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Historical Shadow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56,160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8,846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15.7514%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The 2018 Historical Shadow is resolution-selected/right-truncated and is </w:t>
      </w:r>
      <w:r>
        <w:rPr>
          <w:rFonts w:ascii="Liberation Sans" w:hAnsi="Liberation Sans" w:eastAsia="Liberation Sans"/>
          <w:b/>
          <w:color w:val="1E293B"/>
          <w:sz w:val="20"/>
        </w:rPr>
        <w:t>not</w:t>
      </w:r>
      <w:r>
        <w:rPr>
          <w:rFonts w:ascii="Liberation Sans" w:hAnsi="Liberation Sans" w:eastAsia="Liberation Sans"/>
          <w:color w:val="1E293B"/>
          <w:sz w:val="20"/>
        </w:rPr>
        <w:t xml:space="preserve"> live monitoring. Its lower BAD rate is not automatically evidence of better credit quality.</w:t>
      </w:r>
    </w:p>
    <w:p>
      <w:pPr>
        <w:pStyle w:val="Heading1"/>
      </w:pPr>
      <w:r>
        <w:t>4. B0–B3 — Data Engineering &amp; Quality-Control Foundation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staging layer preserves one granted-loan/account grain.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Key DQ controls: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9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389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DQ01 Key integrity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 null IDs; 0 duplicates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DQ02 Target integrity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 269,249; GOOD 1,078,432; unknown 0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DQ03 Temporal integrity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139 cohorts; 0 unassigned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DQ04 Numeric integrity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NULL-safe checks; invalid values 0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DQ05 Feature governance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exact governed feature set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DQ06 Text sparsity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 + REVIEW_ONLY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Mono" w:hAnsi="Liberation Mono" w:eastAsia="Liberation Mono"/>
                <w:color w:val="0F766E"/>
                <w:sz w:val="15"/>
              </w:rPr>
              <w:t>desc</w:t>
            </w:r>
            <w:r>
              <w:rPr>
                <w:rFonts w:ascii="Liberation Sans" w:hAnsi="Liberation Sans" w:eastAsia="Liberation Sans"/>
                <w:color w:val="1E293B"/>
                <w:sz w:val="16"/>
              </w:rPr>
              <w:t xml:space="preserve"> sparse 1,228,580; </w:t>
            </w:r>
            <w:r>
              <w:rPr>
                <w:rFonts w:ascii="Liberation Mono" w:hAnsi="Liberation Mono" w:eastAsia="Liberation Mono"/>
                <w:color w:val="0F766E"/>
                <w:sz w:val="15"/>
              </w:rPr>
              <w:t>title</w:t>
            </w:r>
            <w:r>
              <w:rPr>
                <w:rFonts w:ascii="Liberation Sans" w:hAnsi="Liberation Sans" w:eastAsia="Liberation Sans"/>
                <w:color w:val="1E293B"/>
                <w:sz w:val="16"/>
              </w:rPr>
              <w:t xml:space="preserve"> sparse 16,656</w:t>
            </w:r>
          </w:p>
        </w:tc>
      </w:tr>
      <w:tr>
        <w:trPr>
          <w:cantSplit/>
        </w:trPr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DQ07 Reconciliation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PASS</w:t>
            </w:r>
          </w:p>
        </w:tc>
        <w:tc>
          <w:tcPr>
            <w:tcW w:type="dxa" w:w="3389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locked totals match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No capping, imputation, scaling, outlier treatment or model preprocessing is fitted in B0–B3.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Champion candidate fields remain: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revenue</w:t>
        <w:br/>
        <w:t>dti_n</w:t>
        <w:br/>
        <w:t>loan_amnt</w:t>
        <w:br/>
        <w:t>fico_n</w:t>
        <w:br/>
        <w:t>experience_c</w:t>
        <w:br/>
        <w:t>emp_length</w:t>
        <w:br/>
        <w:t>purpose</w:t>
        <w:br/>
        <w:t>home_ownership_n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Controlled fields such as </w:t>
      </w:r>
      <w:r>
        <w:rPr>
          <w:rFonts w:ascii="Liberation Mono" w:hAnsi="Liberation Mono" w:eastAsia="Liberation Mono"/>
          <w:color w:val="0F766E"/>
          <w:sz w:val="19"/>
        </w:rPr>
        <w:t>addr_state</w:t>
      </w:r>
      <w:r>
        <w:rPr>
          <w:rFonts w:ascii="Liberation Sans" w:hAnsi="Liberation Sans" w:eastAsia="Liberation Sans"/>
          <w:color w:val="1E293B"/>
          <w:sz w:val="20"/>
        </w:rPr>
        <w:t xml:space="preserve">, </w:t>
      </w:r>
      <w:r>
        <w:rPr>
          <w:rFonts w:ascii="Liberation Mono" w:hAnsi="Liberation Mono" w:eastAsia="Liberation Mono"/>
          <w:color w:val="0F766E"/>
          <w:sz w:val="19"/>
        </w:rPr>
        <w:t>zip_code</w:t>
      </w:r>
      <w:r>
        <w:rPr>
          <w:rFonts w:ascii="Liberation Sans" w:hAnsi="Liberation Sans" w:eastAsia="Liberation Sans"/>
          <w:color w:val="1E293B"/>
          <w:sz w:val="20"/>
        </w:rPr>
        <w:t xml:space="preserve">, </w:t>
      </w:r>
      <w:r>
        <w:rPr>
          <w:rFonts w:ascii="Liberation Mono" w:hAnsi="Liberation Mono" w:eastAsia="Liberation Mono"/>
          <w:color w:val="0F766E"/>
          <w:sz w:val="19"/>
        </w:rPr>
        <w:t>title</w:t>
      </w:r>
      <w:r>
        <w:rPr>
          <w:rFonts w:ascii="Liberation Sans" w:hAnsi="Liberation Sans" w:eastAsia="Liberation Sans"/>
          <w:color w:val="1E293B"/>
          <w:sz w:val="20"/>
        </w:rPr>
        <w:t xml:space="preserve">, </w:t>
      </w:r>
      <w:r>
        <w:rPr>
          <w:rFonts w:ascii="Liberation Mono" w:hAnsi="Liberation Mono" w:eastAsia="Liberation Mono"/>
          <w:color w:val="0F766E"/>
          <w:sz w:val="19"/>
        </w:rPr>
        <w:t>desc</w:t>
      </w:r>
      <w:r>
        <w:rPr>
          <w:rFonts w:ascii="Liberation Sans" w:hAnsi="Liberation Sans" w:eastAsia="Liberation Sans"/>
          <w:color w:val="1E293B"/>
          <w:sz w:val="20"/>
        </w:rPr>
        <w:t xml:space="preserve"> are not silently admitted into the champion model.</w:t>
      </w:r>
    </w:p>
    <w:p>
      <w:pPr>
        <w:pStyle w:val="Heading1"/>
      </w:pPr>
      <w:r>
        <w:t>5. B4 — Core Application Mart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B4 creates: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mart.mart_credit_application_core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Reconciliation: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Staging rows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1,347,681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Mart rows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1,347,681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Distinct accounts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1,347,681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Duplicate account IDs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269,249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GOOD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1,078,432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Cohorts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139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Unassigned splits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The mart intentionally excludes </w:t>
      </w:r>
      <w:r>
        <w:rPr>
          <w:rFonts w:ascii="Liberation Mono" w:hAnsi="Liberation Mono" w:eastAsia="Liberation Mono"/>
          <w:color w:val="0F766E"/>
          <w:sz w:val="19"/>
        </w:rPr>
        <w:t>title</w:t>
      </w:r>
      <w:r>
        <w:rPr>
          <w:rFonts w:ascii="Liberation Sans" w:hAnsi="Liberation Sans" w:eastAsia="Liberation Sans"/>
          <w:color w:val="1E293B"/>
          <w:sz w:val="20"/>
        </w:rPr>
        <w:t xml:space="preserve"> and </w:t>
      </w:r>
      <w:r>
        <w:rPr>
          <w:rFonts w:ascii="Liberation Mono" w:hAnsi="Liberation Mono" w:eastAsia="Liberation Mono"/>
          <w:color w:val="0F766E"/>
          <w:sz w:val="19"/>
        </w:rPr>
        <w:t>desc</w:t>
      </w:r>
      <w:r>
        <w:rPr>
          <w:rFonts w:ascii="Liberation Sans" w:hAnsi="Liberation Sans" w:eastAsia="Liberation Sans"/>
          <w:color w:val="1E293B"/>
          <w:sz w:val="20"/>
        </w:rPr>
        <w:t>, while staging retains them for lineage/DQ traceability.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DQ semantics: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dq_status = STRUCTURAL_PASS</w:t>
        <w:br/>
        <w:t>dq_flag_count = NULL</w:t>
      </w:r>
    </w:p>
    <w:p>
      <w:pPr>
        <w:spacing w:after="120"/>
      </w:pPr>
      <w:r>
        <w:rPr>
          <w:rFonts w:ascii="Liberation Mono" w:hAnsi="Liberation Mono" w:eastAsia="Liberation Mono"/>
          <w:color w:val="0F766E"/>
          <w:sz w:val="19"/>
        </w:rPr>
        <w:t>NULL</w:t>
      </w:r>
      <w:r>
        <w:rPr>
          <w:rFonts w:ascii="Liberation Sans" w:hAnsi="Liberation Sans" w:eastAsia="Liberation Sans"/>
          <w:color w:val="1E293B"/>
          <w:sz w:val="20"/>
        </w:rPr>
        <w:t xml:space="preserve"> is deliberate because B0–B3 did not create a separate account-level exception-count framework.</w:t>
      </w:r>
    </w:p>
    <w:p>
      <w:pPr>
        <w:pStyle w:val="Heading1"/>
      </w:pPr>
      <w:r>
        <w:t>6. B5 — Controlled Supplemental Enrichment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B5 adds: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Figshare pricing/economics enrichment</w:t>
        <w:br/>
        <w:t>RejectStats applicant context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without changing the core target or population.</w:t>
      </w:r>
    </w:p>
    <w:p>
      <w:pPr>
        <w:pStyle w:val="Heading2"/>
      </w:pPr>
      <w:r>
        <w:t>6.1 Figshare source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Train     236,846</w:t>
        <w:br/>
        <w:t>Test       95,019</w:t>
        <w:br/>
        <w:t>Combined  331,865</w:t>
        <w:br/>
        <w:t>Train/test ID overlap = 0</w:t>
      </w:r>
    </w:p>
    <w:p>
      <w:pPr>
        <w:pStyle w:val="Heading2"/>
      </w:pPr>
      <w:r>
        <w:t>6.2 Exact bridge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Rows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MATCHED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325,255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FIGSHARE_ONLY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6,610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CORE_ONLY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1,022,426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Total bridge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1,354,291</w:t>
            </w:r>
          </w:p>
        </w:tc>
      </w:tr>
    </w:tbl>
    <w:p>
      <w:pPr>
        <w:spacing w:after="40"/>
      </w:pP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Figshare match rate = 98.00822624%</w:t>
        <w:br/>
        <w:t>Core enrichment coverage = 24.13442053%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Therefore pricing results are explicitly a </w:t>
      </w:r>
      <w:r>
        <w:rPr>
          <w:rFonts w:ascii="Liberation Sans" w:hAnsi="Liberation Sans" w:eastAsia="Liberation Sans"/>
          <w:b/>
          <w:color w:val="1E293B"/>
          <w:sz w:val="20"/>
        </w:rPr>
        <w:t>matched sample</w:t>
      </w:r>
      <w:r>
        <w:rPr>
          <w:rFonts w:ascii="Liberation Sans" w:hAnsi="Liberation Sans" w:eastAsia="Liberation Sans"/>
          <w:color w:val="1E293B"/>
          <w:sz w:val="20"/>
        </w:rPr>
        <w:t>, not full-portfolio pricing conclusions.</w:t>
      </w:r>
    </w:p>
    <w:p>
      <w:pPr>
        <w:pStyle w:val="Heading2"/>
      </w:pPr>
      <w:r>
        <w:t>6.3 Concordance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Agreement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0F766E"/>
                <w:sz w:val="15"/>
              </w:rPr>
              <w:t>issue_d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Mono" w:hAnsi="Liberation Mono" w:eastAsia="Liberation Mono"/>
                <w:color w:val="0F766E"/>
                <w:sz w:val="15"/>
              </w:rPr>
              <w:t>loan_amnt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Mono" w:hAnsi="Liberation Mono" w:eastAsia="Liberation Mono"/>
                <w:color w:val="0F766E"/>
                <w:sz w:val="15"/>
              </w:rPr>
              <w:t>purpose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Mono" w:hAnsi="Liberation Mono" w:eastAsia="Liberation Mono"/>
                <w:color w:val="0F766E"/>
                <w:sz w:val="15"/>
              </w:rPr>
              <w:t>addr_state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FICO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Home ownership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99.9769%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Revenue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97.9788%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DTI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99.5222%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Conflicts: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Home ownership: 75</w:t>
        <w:br/>
        <w:t>Revenue: 6,574</w:t>
        <w:br/>
        <w:t>DTI: 1,554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Core values win all conflicts.</w:t>
      </w:r>
    </w:p>
    <w:p>
      <w:pPr>
        <w:pStyle w:val="Heading2"/>
      </w:pPr>
      <w:r>
        <w:t>6.4 Pricing mart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325,255 unique accounts</w:t>
        <w:br/>
        <w:t>0 duplicate account IDs</w:t>
        <w:br/>
        <w:t>0 governed-field mismatches</w:t>
        <w:br/>
        <w:t>0 target overwrites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Roles: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sub_grade       BENCHMARK_ONLY</w:t>
        <w:br/>
        <w:t>grade_derived   BENCHMARK_ONLY</w:t>
        <w:br/>
        <w:t>int_rate        ECONOMICS_ONLY</w:t>
        <w:br/>
        <w:t>installment     ECONOMICS_ONLY</w:t>
        <w:br/>
        <w:t>term            ECONOMICS_ONLY</w:t>
      </w:r>
    </w:p>
    <w:p>
      <w:pPr>
        <w:pStyle w:val="Heading2"/>
      </w:pPr>
      <w:r>
        <w:t>6.5 RejectStats context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27,648,741 records</w:t>
        <w:br/>
        <w:t>27,648,741 distinct technical keys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No GOOD/BAD target, observed default target, predicted PD, loss or champion merge eligibility.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DTI parse audit: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Raw DTI values        27,648,741</w:t>
        <w:br/>
        <w:t>Parsed                27,648,697</w:t>
        <w:br/>
        <w:t>Residual failures             44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Stored in percentage-point units.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B5 closure test suite: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13 / 13 PASS</w:t>
      </w:r>
    </w:p>
    <w:p>
      <w:pPr>
        <w:pStyle w:val="Heading1"/>
      </w:pPr>
      <w:r>
        <w:t>7. B6 — Portfolio Overview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B6 answers: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What does the governed portfolio look like before segmentation?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Core KPI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5083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Total accounts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1,347,681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GOOD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1,078,432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269,249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Observed BAD rate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19.9787%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Total loan amount proxy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$19.418B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Average loan amount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$14,408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Median loan amount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$12,000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BAD-associated amount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$4.186B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BAD-associated amount / total exposure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21.5578%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Average FICO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698.16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Median FICO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692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Average DTI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18.30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Median DTI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17.63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Average revenue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$77,369.68</w:t>
            </w:r>
          </w:p>
        </w:tc>
      </w:tr>
      <w:tr>
        <w:trPr>
          <w:cantSplit/>
        </w:trPr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Median revenue</w:t>
            </w:r>
          </w:p>
        </w:tc>
        <w:tc>
          <w:tcPr>
            <w:tcW w:type="dxa" w:w="5083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$65,000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Mono" w:hAnsi="Liberation Mono" w:eastAsia="Liberation Mono"/>
          <w:color w:val="0F766E"/>
          <w:sz w:val="19"/>
        </w:rPr>
        <w:t>loan_amnt</w:t>
      </w:r>
      <w:r>
        <w:rPr>
          <w:rFonts w:ascii="Liberation Sans" w:hAnsi="Liberation Sans" w:eastAsia="Liberation Sans"/>
          <w:color w:val="1E293B"/>
          <w:sz w:val="20"/>
        </w:rPr>
        <w:t xml:space="preserve"> is an exposure proxy, not observed Exposure at Default (EAD). BAD-associated amount is not realized loss.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B6 QA: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8 / 8 PASS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Checks cover core/target reconciliation, exposure equality, null-profile equality, numeric sanity, category/exposure share sums, pricing boundary and claim-contract text.</w:t>
      </w:r>
    </w:p>
    <w:p>
      <w:pPr>
        <w:pStyle w:val="Heading1"/>
      </w:pPr>
      <w:r>
        <w:t>8. B7 — Segment Risk Analysis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B7 answers: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Which observable applicant/loan segments show higher observed BAD rates?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Nine dimensions: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fico_band</w:t>
        <w:br/>
        <w:t>dti_band</w:t>
        <w:br/>
        <w:t>revenue_band</w:t>
        <w:br/>
        <w:t>loan_amount_band</w:t>
        <w:br/>
        <w:t>purpose</w:t>
        <w:br/>
        <w:t>home_ownership_n</w:t>
        <w:br/>
        <w:t>experience_c</w:t>
        <w:br/>
        <w:t>emp_length</w:t>
        <w:br/>
        <w:t>addr_state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Every dimension reconciles to: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1,347,681 accounts</w:t>
        <w:br/>
        <w:t>269,249 BAD</w:t>
        <w:br/>
        <w:t>100% loan amount proxy</w:t>
        <w:br/>
        <w:t>100% total BAD-associated amount</w:t>
      </w:r>
    </w:p>
    <w:p>
      <w:pPr>
        <w:pStyle w:val="Heading2"/>
      </w:pPr>
      <w:r>
        <w:t>8.1 Governed bands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FICO: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&lt;600</w:t>
        <w:br/>
        <w:t>600–639</w:t>
        <w:br/>
        <w:t>640–679</w:t>
        <w:br/>
        <w:t>680–719</w:t>
        <w:br/>
        <w:t>720–759</w:t>
        <w:br/>
        <w:t>760–799</w:t>
        <w:br/>
        <w:t>800+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DTI: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&lt;10</w:t>
        <w:br/>
        <w:t>10–19.99</w:t>
        <w:br/>
        <w:t>20–29.99</w:t>
        <w:br/>
        <w:t>30–39.99</w:t>
        <w:br/>
        <w:t>40–59.99</w:t>
        <w:br/>
        <w:t>60–99.99</w:t>
        <w:br/>
        <w:t>100+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Revenue quartile cuts: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46,600</w:t>
        <w:br/>
        <w:t>65,000</w:t>
        <w:br/>
        <w:t>92,000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Loan amount quartile cuts: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7,975</w:t>
        <w:br/>
        <w:t>12,000</w:t>
        <w:br/>
        <w:t>20,000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These are descriptive bands, not target-optimized model bins.</w:t>
      </w:r>
    </w:p>
    <w:p>
      <w:pPr>
        <w:pStyle w:val="Heading2"/>
      </w:pPr>
      <w:r>
        <w:t>8.2 Primary segment rule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accounts &gt;= 1,000</w:t>
        <w:br/>
        <w:t>AND</w:t>
        <w:br/>
        <w:t>account_share &gt;= 0.1%</w:t>
      </w:r>
    </w:p>
    <w:p>
      <w:pPr>
        <w:pStyle w:val="Heading2"/>
      </w:pPr>
      <w:r>
        <w:t>8.3 Segment metrics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Each segment includes: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accounts</w:t>
        <w:br/>
        <w:t>GOOD</w:t>
        <w:br/>
        <w:t>BAD</w:t>
        <w:br/>
        <w:t>BAD rate</w:t>
        <w:br/>
        <w:t>relative BAD rate</w:t>
        <w:br/>
        <w:t>account share</w:t>
        <w:br/>
        <w:t>loan amount share</w:t>
        <w:br/>
        <w:t>BAD-associated amount</w:t>
        <w:br/>
        <w:t>bad_amount_to_total_exposure</w:t>
        <w:br/>
        <w:t>bad_associated_share</w:t>
        <w:br/>
        <w:t>Wilson 95% CI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Definitions: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bad_amount_to_total_exposure</w:t>
        <w:br/>
        <w:t>= segment BAD-associated amount / total portfolio loan amount</w:t>
        <w:br/>
        <w:br/>
        <w:t>bad_associated_share</w:t>
        <w:br/>
        <w:t>= segment BAD-associated amount / total BAD-associated amount</w:t>
      </w:r>
    </w:p>
    <w:p>
      <w:pPr>
        <w:pStyle w:val="Heading2"/>
      </w:pPr>
      <w:r>
        <w:t>8.4 Headline descriptive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BAD rate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Relative BAD rate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Share of BAD-associated amount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DTI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40–59.99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5,089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31.26%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1.56×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0.64%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Purpose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small_business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15,575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29.86%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1.49×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1.89%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DTI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30–39.99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122,297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29.12%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1.46×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12.92%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Employment length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NI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78,188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26.96%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1.35×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6.00%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State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MS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6,593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26.12%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1.31×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0.64%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FICO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640–679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460,588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25.30%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1.27×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40.12%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State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NE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3,591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25.20%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1.26×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0.31%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State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AR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10,058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24.11%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1.21×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0.85%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Key interpretation: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DTI 40–59.99 has a very high observed BAD rate but small portfolio scale.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FICO 640–679 combines elevated BAD rate with very large scale.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0F766E"/>
          <w:sz w:val="18"/>
        </w:rPr>
        <w:t>small_business</w:t>
      </w:r>
      <w:r>
        <w:rPr>
          <w:rFonts w:ascii="Liberation Sans" w:hAnsi="Liberation Sans" w:eastAsia="Liberation Sans"/>
          <w:color w:val="1E293B"/>
          <w:sz w:val="19"/>
        </w:rPr>
        <w:t xml:space="preserve"> is high risk but not one of the largest concentration buckets.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Wilson 95% confidence intervals are implemented and QA reports: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invalid CI rows = 0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B7 QA: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12 / 12 PASS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These are descriptive screening findings, not causal effects or approval rules.</w:t>
      </w:r>
    </w:p>
    <w:p>
      <w:pPr>
        <w:pStyle w:val="Heading1"/>
      </w:pPr>
      <w:r>
        <w:t>9. B8 — Risk Concentration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B8 changes the question from: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Where is BAD rate high?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to: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Where does elevated risk overlap with enough portfolio scale to matter?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Materiality rule: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headline_eligible</w:t>
        <w:br/>
        <w:t>AND relative_bad_rate &gt; 1.0</w:t>
        <w:br/>
        <w:t>AND primary_segment = TRUE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Result: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43 material segments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Primary ranking metric: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bad_associated_share</w:t>
      </w:r>
    </w:p>
    <w:p>
      <w:pPr>
        <w:pStyle w:val="Heading2"/>
      </w:pPr>
      <w:r>
        <w:t>9.1 Quasi-constant control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A dimension is quasi-constant when: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dominant segment account share &gt; 99.5%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Such dimensions remain audit-visible but are excluded from headline ranking.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This prevents nearly constant fields such as </w:t>
      </w:r>
      <w:r>
        <w:rPr>
          <w:rFonts w:ascii="Liberation Mono" w:hAnsi="Liberation Mono" w:eastAsia="Liberation Mono"/>
          <w:color w:val="0F766E"/>
          <w:sz w:val="19"/>
        </w:rPr>
        <w:t>experience_c</w:t>
      </w:r>
      <w:r>
        <w:rPr>
          <w:rFonts w:ascii="Liberation Sans" w:hAnsi="Liberation Sans" w:eastAsia="Liberation Sans"/>
          <w:color w:val="1E293B"/>
          <w:sz w:val="20"/>
        </w:rPr>
        <w:t xml:space="preserve"> from appearing as the most important risk concentration merely because nearly the whole portfolio falls into one value.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B8 identifies: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 quasi-constant dimension: experience_c (99.9981% dominant account share)</w:t>
      </w:r>
    </w:p>
    <w:p>
      <w:pPr>
        <w:pStyle w:val="Heading2"/>
      </w:pPr>
      <w:r>
        <w:t>9.2 Top material concentrations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BAD rate</w:t>
            </w:r>
          </w:p>
        </w:tc>
        <w:tc>
          <w:tcPr>
            <w:tcW w:type="dxa" w:w="1694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Share of BAD-associated amount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Purpose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debt_consolidation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781,206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21.15%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64.00%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Loan amount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Q4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291,928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23.38%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45.50%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Home ownership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RENT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535,585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23.23%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41.58%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FICO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640–679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460,588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25.30%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40.12%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DTI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20–29.99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410,172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23.07%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35.39%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6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Loan amount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Q3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369,729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21.96%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32.03%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7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Revenue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Q2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348,634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21.16%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25.26%</w:t>
            </w:r>
          </w:p>
        </w:tc>
      </w:tr>
      <w:tr>
        <w:trPr>
          <w:cantSplit/>
        </w:trPr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8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Revenue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Q1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337,001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23.07%</w:t>
            </w:r>
          </w:p>
        </w:tc>
        <w:tc>
          <w:tcPr>
            <w:tcW w:type="dxa" w:w="1694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17.91%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These shares must </w:t>
      </w:r>
      <w:r>
        <w:rPr>
          <w:rFonts w:ascii="Liberation Sans" w:hAnsi="Liberation Sans" w:eastAsia="Liberation Sans"/>
          <w:b/>
          <w:color w:val="1E293B"/>
          <w:sz w:val="20"/>
        </w:rPr>
        <w:t>not</w:t>
      </w:r>
      <w:r>
        <w:rPr>
          <w:rFonts w:ascii="Liberation Sans" w:hAnsi="Liberation Sans" w:eastAsia="Liberation Sans"/>
          <w:color w:val="1E293B"/>
          <w:sz w:val="20"/>
        </w:rPr>
        <w:t xml:space="preserve"> be added across dimensions. The same account can simultaneously belong to a purpose, FICO, DTI, income, home-ownership and loan-amount segment.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key business insight is: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The most material risk concentration is not always the segment with the highest BAD rate; it is where above-baseline risk overlaps with meaningful portfolio scale.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Examples: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0F766E"/>
          <w:sz w:val="18"/>
        </w:rPr>
        <w:t>debt_consolidation</w:t>
      </w:r>
      <w:r>
        <w:rPr>
          <w:rFonts w:ascii="Liberation Sans" w:hAnsi="Liberation Sans" w:eastAsia="Liberation Sans"/>
          <w:color w:val="1E293B"/>
          <w:sz w:val="19"/>
        </w:rPr>
        <w:t xml:space="preserve"> has only modestly above-baseline risk but enormous purpose-level scale.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FICO 640–679 combines 25.30% BAD rate with 460,588 accounts.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RENT combines elevated risk with 535,585 accounts.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DTI 40–59.99 is very risky individually but much smaller in scale.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B8 QA: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9 / 9 PASS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No combinatorial search or causal driver ranking is claimed.</w:t>
      </w:r>
    </w:p>
    <w:p>
      <w:pPr>
        <w:pStyle w:val="Heading1"/>
      </w:pPr>
      <w:r>
        <w:t>10. B9 — Vintage / Temporal Analysis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B9 asks: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How does observed risk and portfolio composition vary across issue cohorts and chronological splits?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Outputs: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monthly vintage</w:t>
        <w:br/>
        <w:t>annual vintage</w:t>
        <w:br/>
        <w:t>split summary</w:t>
        <w:br/>
        <w:t>annual purpose/home-ownership composition</w:t>
      </w:r>
    </w:p>
    <w:p>
      <w:pPr>
        <w:pStyle w:val="Heading2"/>
      </w:pPr>
      <w:r>
        <w:t>10.1 Annual vintage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Year</w:t>
            </w:r>
          </w:p>
        </w:tc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Accounts</w:t>
            </w:r>
          </w:p>
        </w:tc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BAD rate</w:t>
            </w:r>
          </w:p>
        </w:tc>
        <w:tc>
          <w:tcPr>
            <w:tcW w:type="dxa" w:w="2541"/>
            <w:shd w:fill="1E40AF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BAD-associated amount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2007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599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26.38%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$1.55M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2008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2,393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20.73%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$4.98M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2009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5,281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13.69%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$7.63M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2010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12,537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14.01%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$18.60M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2011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21,721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15.18%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$43.36M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2012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53,367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16.20%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$127.24M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2013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134,804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15.60%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$329.87M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2014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223,102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18.45%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$640.99M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2015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375,543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20.18%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$1.192B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2016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293,057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23.28%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$1.051B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169,117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23.13%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$618.13M</w:t>
            </w:r>
          </w:p>
        </w:tc>
      </w:tr>
      <w:tr>
        <w:trPr>
          <w:cantSplit/>
        </w:trPr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2018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56,160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15.75%</w:t>
            </w:r>
          </w:p>
        </w:tc>
        <w:tc>
          <w:tcPr>
            <w:tcW w:type="dxa" w:w="2541"/>
            <w:tcMar>
              <w:top w:w="70" w:type="dxa"/>
              <w:start w:w="65" w:type="dxa"/>
              <w:bottom w:w="70" w:type="dxa"/>
              <w:end w:w="65" w:type="dxa"/>
            </w:tcMar>
            <w:shd w:fill="F8FAFC"/>
            <w:vAlign w:val="center"/>
          </w:tcPr>
          <w:p>
            <w:r>
              <w:rPr>
                <w:rFonts w:ascii="Liberation Sans" w:hAnsi="Liberation Sans" w:eastAsia="Liberation Sans"/>
                <w:color w:val="1E293B"/>
                <w:sz w:val="16"/>
              </w:rPr>
              <w:t>$150.52M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portfolio shows higher observed BAD rates in 2015–2017 than many earlier years.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2018 decline is not interpreted as confirmed improvement because of right truncation/resolution selection.</w:t>
      </w:r>
    </w:p>
    <w:p>
      <w:pPr>
        <w:pStyle w:val="Heading2"/>
      </w:pPr>
      <w:r>
        <w:t>10.2 Temporal composition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B9 adds: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vintage_composition_annual.csv</w:t>
        <w:br/>
        <w:t>206 aggregate rows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covering: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purpose</w:t>
        <w:br/>
        <w:t>home_ownership_n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Example: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 xml:space="preserve">In 2018, </w:t>
      </w:r>
      <w:r>
        <w:rPr>
          <w:rFonts w:ascii="Liberation Mono" w:hAnsi="Liberation Mono" w:eastAsia="Liberation Mono"/>
          <w:color w:val="0F766E"/>
          <w:sz w:val="20"/>
        </w:rPr>
        <w:t>debt_consolidation</w:t>
      </w:r>
      <w:r>
        <w:rPr>
          <w:rFonts w:ascii="Liberation Sans" w:hAnsi="Liberation Sans" w:eastAsia="Liberation Sans"/>
          <w:color w:val="334155"/>
          <w:sz w:val="20"/>
        </w:rPr>
        <w:t xml:space="preserve"> represented 51.02% of accounts and had a 16.14% observed BAD rate.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This is descriptive, not causal.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B9 QA: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9 / 9 PASS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Checks include exact cohort/date range, monthly/annual reconciliation, split counts/rates, temporal authority, actual document caveat checks and annual composition reconciliation.</w:t>
      </w:r>
    </w:p>
    <w:p>
      <w:pPr>
        <w:pStyle w:val="Heading1"/>
      </w:pPr>
      <w:r>
        <w:t>11. Final Block B QA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A separate executable final QA validates the entire package.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Result: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15 / 15 PASS</w:t>
        <w:br/>
        <w:t>baseline_change = false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It checks: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B4 prior gate</w:t>
        <w:br/>
        <w:t>B5 prior gate</w:t>
        <w:br/>
        <w:t>B4/B5 closure static validation</w:t>
        <w:br/>
        <w:t>B6 gate</w:t>
        <w:br/>
        <w:t>B7 gate</w:t>
        <w:br/>
        <w:t>B8 gate</w:t>
        <w:br/>
        <w:t>B9 gate</w:t>
        <w:br/>
        <w:t>core population lock</w:t>
        <w:br/>
        <w:t>target / temporal authority</w:t>
        <w:br/>
        <w:t>split lock</w:t>
        <w:br/>
        <w:t>B5 populations</w:t>
        <w:br/>
        <w:t>B7 share semantics</w:t>
        <w:br/>
        <w:t>B8 informativeness</w:t>
        <w:br/>
        <w:t>public claim boundary</w:t>
        <w:br/>
        <w:t>public evidence / privacy / website consistency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Locked baseline remains: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1,347,681 accounts</w:t>
        <w:br/>
        <w:t>269,249 BAD</w:t>
        <w:br/>
        <w:t>1,078,432 GOOD</w:t>
        <w:br/>
        <w:t>139 cohorts</w:t>
        <w:br/>
        <w:t>$19.418B total loan amount proxy</w:t>
        <w:br/>
        <w:t>$4.186B BAD-associated amount</w:t>
      </w:r>
    </w:p>
    <w:p>
      <w:pPr>
        <w:pStyle w:val="Heading1"/>
      </w:pPr>
      <w:r>
        <w:t>12. Data Privacy and Reproducibility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public package is designed to include: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code</w:t>
        <w:br/>
        <w:t>SQL</w:t>
        <w:br/>
        <w:t>config</w:t>
        <w:br/>
        <w:t>aggregate outputs</w:t>
        <w:br/>
        <w:t>tests</w:t>
        <w:br/>
        <w:t>docs</w:t>
        <w:br/>
        <w:t>sanitized evidence</w:t>
        <w:br/>
        <w:t>website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and exclude: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raw LendingClub CSV</w:t>
        <w:br/>
        <w:t>raw RejectStats</w:t>
        <w:br/>
        <w:t>DuckDB runtime</w:t>
        <w:br/>
        <w:t>row-level mart exports</w:t>
        <w:br/>
        <w:t>private local paths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The reviewed Git tree at commit </w:t>
      </w:r>
      <w:r>
        <w:rPr>
          <w:rFonts w:ascii="Liberation Mono" w:hAnsi="Liberation Mono" w:eastAsia="Liberation Mono"/>
          <w:color w:val="0F766E"/>
          <w:sz w:val="19"/>
        </w:rPr>
        <w:t>e078703</w:t>
      </w:r>
      <w:r>
        <w:rPr>
          <w:rFonts w:ascii="Liberation Sans" w:hAnsi="Liberation Sans" w:eastAsia="Liberation Sans"/>
          <w:color w:val="1E293B"/>
          <w:sz w:val="20"/>
        </w:rPr>
        <w:t xml:space="preserve"> does not expose raw analytical datasets or a </w:t>
      </w:r>
      <w:r>
        <w:rPr>
          <w:rFonts w:ascii="Liberation Mono" w:hAnsi="Liberation Mono" w:eastAsia="Liberation Mono"/>
          <w:color w:val="0F766E"/>
          <w:sz w:val="19"/>
        </w:rPr>
        <w:t>.duckdb</w:t>
      </w:r>
      <w:r>
        <w:rPr>
          <w:rFonts w:ascii="Liberation Sans" w:hAnsi="Liberation Sans" w:eastAsia="Liberation Sans"/>
          <w:color w:val="1E293B"/>
          <w:sz w:val="20"/>
        </w:rPr>
        <w:t xml:space="preserve"> runtime file.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project does not claim secure deletion.</w:t>
      </w:r>
    </w:p>
    <w:p>
      <w:pPr>
        <w:pStyle w:val="Heading1"/>
      </w:pPr>
      <w:r>
        <w:t>13. What Block B Proves</w:t>
      </w:r>
    </w:p>
    <w:p>
      <w:pPr>
        <w:pStyle w:val="Heading2"/>
      </w:pPr>
      <w:r>
        <w:t>Data Engineering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reproducible staging;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grain enforcement;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canonical marts;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SQL/DuckDB transformations;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source-to-mart reconciliation;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schema/lineage controls.</w:t>
      </w:r>
    </w:p>
    <w:p>
      <w:pPr>
        <w:pStyle w:val="Heading2"/>
      </w:pPr>
      <w:r>
        <w:t>DQ and Governance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executable DQ controls;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feature-contract enforcement;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source authority;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target/time integrity;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pricing-feature boundary;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rejected-outcome boundary;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claim governance.</w:t>
      </w:r>
    </w:p>
    <w:p>
      <w:pPr>
        <w:pStyle w:val="Heading2"/>
      </w:pPr>
      <w:r>
        <w:t>Credit Portfolio Analytics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portfolio BAD-rate baseline;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segment BAD-rate screening;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relative risk;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exposure-proxy concentration;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Wilson uncertainty intervals;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vintage and split analysis;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temporal composition analysis.</w:t>
      </w:r>
    </w:p>
    <w:p>
      <w:pPr>
        <w:pStyle w:val="Heading2"/>
      </w:pPr>
      <w:r>
        <w:t>Reproducibility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machine-readable outputs;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executable test suites;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final QA;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public sanitized evidence;</w:t>
      </w:r>
    </w:p>
    <w:p>
      <w:pPr>
        <w:pStyle w:val="ListBullet"/>
        <w:spacing w:after="40"/>
      </w:pPr>
      <w:r>
        <w:rPr>
          <w:rFonts w:ascii="Liberation Sans" w:hAnsi="Liberation Sans" w:eastAsia="Liberation Sans"/>
          <w:color w:val="1E293B"/>
          <w:sz w:val="19"/>
        </w:rPr>
        <w:t>explicit assumptions and limitations.</w:t>
      </w:r>
    </w:p>
    <w:p>
      <w:pPr>
        <w:pStyle w:val="Heading1"/>
      </w:pPr>
      <w:r>
        <w:t>14. What Block B Does Not Prove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Block B deliberately does </w:t>
      </w:r>
      <w:r>
        <w:rPr>
          <w:rFonts w:ascii="Liberation Sans" w:hAnsi="Liberation Sans" w:eastAsia="Liberation Sans"/>
          <w:b/>
          <w:color w:val="1E293B"/>
          <w:sz w:val="20"/>
        </w:rPr>
        <w:t>not</w:t>
      </w:r>
      <w:r>
        <w:rPr>
          <w:rFonts w:ascii="Liberation Sans" w:hAnsi="Liberation Sans" w:eastAsia="Liberation Sans"/>
          <w:color w:val="1E293B"/>
          <w:sz w:val="20"/>
        </w:rPr>
        <w:t xml:space="preserve"> claim: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verified 12-month PD</w:t>
        <w:br/>
        <w:t>predicted PD</w:t>
        <w:br/>
        <w:t>credit-score model</w:t>
        <w:br/>
        <w:t>ROC-AUC</w:t>
        <w:br/>
        <w:t>KS</w:t>
        <w:br/>
        <w:t>Gini</w:t>
        <w:br/>
        <w:t>calibration</w:t>
        <w:br/>
        <w:t>Brier score</w:t>
        <w:br/>
        <w:t>expected loss</w:t>
        <w:br/>
        <w:t>observed LGD</w:t>
        <w:br/>
        <w:t>observed EAD</w:t>
        <w:br/>
        <w:t>pricing optimization</w:t>
        <w:br/>
        <w:t>approval cutoff optimization</w:t>
        <w:br/>
        <w:t>causal reject inference</w:t>
        <w:br/>
        <w:t>causal borrower-risk drivers</w:t>
        <w:br/>
        <w:t>production underwriting readiness</w:t>
        <w:br/>
        <w:t>live monitoring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These boundaries prevent descriptive historical analysis from being overstated as model validation or production policy.</w:t>
      </w:r>
    </w:p>
    <w:p>
      <w:pPr>
        <w:pStyle w:val="Heading1"/>
      </w:pPr>
      <w:r>
        <w:t>15. Strongest Business Insights</w:t>
      </w:r>
    </w:p>
    <w:p>
      <w:pPr>
        <w:pStyle w:val="Heading2"/>
      </w:pPr>
      <w:r>
        <w:t>15.1 Baseline risk is material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Observed BAD rate = 19.98%</w:t>
        <w:br/>
        <w:t>BAD-associated amount / total exposure proxy = 21.56%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This is not realized loss, but it shows meaningful historical risk.</w:t>
      </w:r>
    </w:p>
    <w:p>
      <w:pPr>
        <w:pStyle w:val="Heading2"/>
      </w:pPr>
      <w:r>
        <w:t>15.2 Risk rate and concentration are not the same thing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DTI 40–59.99</w:t>
        <w:br/>
        <w:t>31.26% BAD</w:t>
        <w:br/>
        <w:t>5,089 accounts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versus: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FICO 640–679</w:t>
        <w:br/>
        <w:t>25.30% BAD</w:t>
        <w:br/>
        <w:t>460,588 accounts</w:t>
        <w:br/>
        <w:t>40.12% of total BAD-associated amount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Scale changes business prioritization.</w:t>
      </w:r>
    </w:p>
    <w:p>
      <w:pPr>
        <w:pStyle w:val="Heading2"/>
      </w:pPr>
      <w:r>
        <w:t>15.3 Debt consolidation dominates purpose-level risk concentration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781,206 accounts</w:t>
        <w:br/>
        <w:t>21.15% BAD</w:t>
        <w:br/>
        <w:t>64.00% of total BAD-associated amount within purpose segmentation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Its risk rate is not extreme, but its size makes it highly material.</w:t>
      </w:r>
    </w:p>
    <w:p>
      <w:pPr>
        <w:pStyle w:val="Heading2"/>
      </w:pPr>
      <w:r>
        <w:t>15.4 FICO 640–679 is a major underwriting population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460,588 accounts</w:t>
        <w:br/>
        <w:t>25.30% BAD</w:t>
        <w:br/>
        <w:t>1.27× portfolio BAD rate</w:t>
        <w:br/>
        <w:t>40.12% of total BAD-associated amount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This supports further modeling investigation, but not an automatic FICO cutoff.</w:t>
      </w:r>
    </w:p>
    <w:p>
      <w:pPr>
        <w:pStyle w:val="Heading2"/>
      </w:pPr>
      <w:r>
        <w:t>15.5 2016–2017 are materially riskier than Development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Development 18.46%</w:t>
        <w:br/>
        <w:t>Validation  23.28%</w:t>
        <w:br/>
        <w:t>OOT         23.13%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This creates the correct Block C question:</w:t>
      </w:r>
    </w:p>
    <w:p>
      <w:pPr>
        <w:pStyle w:val="Quote"/>
        <w:pBdr>
          <w:left w:val="single" w:sz="20" w:space="8" w:color="2563EB"/>
        </w:pBdr>
      </w:pPr>
      <w:r>
        <w:rPr>
          <w:rFonts w:ascii="Liberation Sans" w:hAnsi="Liberation Sans" w:eastAsia="Liberation Sans"/>
          <w:color w:val="334155"/>
          <w:sz w:val="20"/>
        </w:rPr>
        <w:t>Can a model trained on earlier cohorts retain discrimination and calibration under later chronological cohorts?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Block B does not answer that modeling question; it hands it forward.</w:t>
      </w:r>
    </w:p>
    <w:p>
      <w:pPr>
        <w:pStyle w:val="Heading1"/>
      </w:pPr>
      <w:r>
        <w:t>16. Handoff to Block C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Primary Block C input: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mart.mart_credit_application_core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 xml:space="preserve">B7/B8 findings are </w:t>
      </w:r>
      <w:r>
        <w:rPr>
          <w:rFonts w:ascii="Liberation Sans" w:hAnsi="Liberation Sans" w:eastAsia="Liberation Sans"/>
          <w:b/>
          <w:color w:val="1E293B"/>
          <w:sz w:val="20"/>
        </w:rPr>
        <w:t>analytical outputs</w:t>
      </w:r>
      <w:r>
        <w:rPr>
          <w:rFonts w:ascii="Liberation Sans" w:hAnsi="Liberation Sans" w:eastAsia="Liberation Sans"/>
          <w:color w:val="1E293B"/>
          <w:sz w:val="20"/>
        </w:rPr>
        <w:t>, not automatically model features.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Target-derived findings should not be encoded into model features without independent governance because that can introduce leakage/circular design.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Block C should proceed: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Logistic Regression PD baseline</w:t>
        <w:br/>
        <w:t xml:space="preserve">        ↓</w:t>
        <w:br/>
        <w:t>Credit Scorecard</w:t>
        <w:br/>
        <w:t xml:space="preserve">        ↓</w:t>
        <w:br/>
        <w:t>ML challenger</w:t>
        <w:br/>
        <w:t xml:space="preserve">        ↓</w:t>
        <w:br/>
        <w:t>OOT validation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and evaluate model discrimination, calibration and stability only after model specifications are frozen.</w:t>
      </w:r>
    </w:p>
    <w:p>
      <w:pPr>
        <w:pStyle w:val="Heading1"/>
      </w:pPr>
      <w:r>
        <w:t>17. Final Assessment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Block B is much stronger than a typical portfolio project that jumps from a CSV directly into machine learning.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Its main strength is the discipline around: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population authority</w:t>
        <w:br/>
        <w:t>target definition</w:t>
        <w:br/>
        <w:t>temporal authority</w:t>
        <w:br/>
        <w:t>feature governance</w:t>
        <w:br/>
        <w:t>source-conflict handling</w:t>
        <w:br/>
        <w:t>descriptive vs predictive boundaries</w:t>
        <w:br/>
        <w:t>reconciliation</w:t>
        <w:br/>
        <w:t>audit evidence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completed analytical path is:</w:t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raw source</w:t>
        <w:br/>
        <w:t>→ governed staging</w:t>
        <w:br/>
        <w:t>→ executable DQ</w:t>
        <w:br/>
        <w:t>→ canonical marts</w:t>
        <w:br/>
        <w:t>→ controlled enrichment</w:t>
        <w:br/>
        <w:t>→ portfolio baseline</w:t>
        <w:br/>
        <w:t>→ segment risk</w:t>
        <w:br/>
        <w:t>→ risk concentration</w:t>
        <w:br/>
        <w:t>→ vintage analysis</w:t>
        <w:br/>
        <w:t>→ final QA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That gives Block C a defensible foundation.</w:t>
      </w:r>
    </w:p>
    <w:p>
      <w:pPr>
        <w:pStyle w:val="Heading1"/>
      </w:pPr>
      <w:r>
        <w:t>18. Repository Documentation Consistency Note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At commit 363c98b, executable and documentation results show:</w:t>
      </w:r>
      <w:r>
        <w:rPr>
          <w:rFonts w:ascii="Liberation Mono" w:hAnsi="Liberation Mono" w:eastAsia="Liberation Mono"/>
          <w:color w:val="0F766E"/>
          <w:sz w:val="19"/>
        </w:rPr>
      </w:r>
      <w:r>
        <w:rPr>
          <w:rFonts w:ascii="Liberation Sans" w:hAnsi="Liberation Sans" w:eastAsia="Liberation Sans"/>
          <w:color w:val="1E293B"/>
          <w:sz w:val="20"/>
        </w:rPr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B6 = PASS</w:t>
        <w:br/>
        <w:t>B7 = PASS</w:t>
        <w:br/>
        <w:t>B8 = PASS</w:t>
        <w:br/>
        <w:t>B9 = PASS</w:t>
        <w:br/>
        <w:t>Final QA = 15/15 PASS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After the closure cleanup, the human-readable lock and status files also report B6 and B9 as PASS:</w:t>
      </w:r>
      <w:r>
        <w:rPr>
          <w:rFonts w:ascii="Liberation Mono" w:hAnsi="Liberation Mono" w:eastAsia="Liberation Mono"/>
          <w:color w:val="0F766E"/>
          <w:sz w:val="19"/>
        </w:rPr>
      </w:r>
      <w:r>
        <w:rPr>
          <w:rFonts w:ascii="Liberation Sans" w:hAnsi="Liberation Sans" w:eastAsia="Liberation Sans"/>
          <w:color w:val="1E293B"/>
          <w:sz w:val="20"/>
        </w:rPr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docs/BLOCK_B_FINAL_LOCK.md</w:t>
        <w:br/>
        <w:t>docs/B6_RUN_REPORT.md</w:t>
        <w:br/>
        <w:t>docs/B9_STATUS.md</w:t>
        <w:br/>
        <w:t>evidence/block-b/block-b-final-lock.md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The analytical outputs and the reviewed closure documentation are consistent at this repository snapshot.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Final QA BBF15 validates required public files, privacy and website consistency; the lock-label cleanup was additionally verified by repository inspection.</w:t>
      </w:r>
      <w:r>
        <w:rPr>
          <w:rFonts w:ascii="Liberation Mono" w:hAnsi="Liberation Mono" w:eastAsia="Liberation Mono"/>
          <w:color w:val="0F766E"/>
          <w:sz w:val="19"/>
        </w:rPr>
      </w:r>
      <w:r>
        <w:rPr>
          <w:rFonts w:ascii="Liberation Sans" w:hAnsi="Liberation Sans" w:eastAsia="Liberation Sans"/>
          <w:color w:val="1E293B"/>
          <w:sz w:val="20"/>
        </w:rPr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This report uses the machine-readable test outputs, stage reports, evidence index and closure QA as the analytical source of truth.</w:t>
      </w:r>
    </w:p>
    <w:p>
      <w:pPr>
        <w:pStyle w:val="Heading1"/>
      </w:pPr>
      <w:r>
        <w:t>19. Source Basis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This report is grounded in commit 363c98b, principally:</w:t>
      </w:r>
      <w:r>
        <w:rPr>
          <w:rFonts w:ascii="Liberation Mono" w:hAnsi="Liberation Mono" w:eastAsia="Liberation Mono"/>
          <w:color w:val="0F766E"/>
          <w:sz w:val="19"/>
        </w:rPr>
      </w:r>
      <w:r>
        <w:rPr>
          <w:rFonts w:ascii="Liberation Sans" w:hAnsi="Liberation Sans" w:eastAsia="Liberation Sans"/>
          <w:color w:val="1E293B"/>
          <w:sz w:val="20"/>
        </w:rPr>
      </w:r>
    </w:p>
    <w:p>
      <w:pPr>
        <w:pStyle w:val="CodeBlock"/>
        <w:shd w:fill="F1F5F9"/>
      </w:pPr>
      <w:r>
        <w:rPr>
          <w:rFonts w:ascii="Liberation Mono" w:hAnsi="Liberation Mono" w:eastAsia="Liberation Mono"/>
          <w:color w:val="0F172A"/>
          <w:sz w:val="17"/>
        </w:rPr>
        <w:t>evidence/block-b/README.md</w:t>
        <w:br/>
        <w:t>evidence/block-b/dq-results.md</w:t>
        <w:br/>
        <w:t>outputs/b4/b4_reconciliation.json</w:t>
        <w:br/>
        <w:t>outputs/b5/b5_test_results.json</w:t>
        <w:br/>
        <w:t>outputs/b6/portfolio_kpis.json</w:t>
        <w:br/>
        <w:t>outputs/b6/b6_test_results.json</w:t>
        <w:br/>
        <w:t>outputs/b7/b7_test_results.json</w:t>
        <w:br/>
        <w:t>docs/B7_RUN_REPORT.md</w:t>
        <w:br/>
        <w:t>outputs/b8/b8_summary.json</w:t>
        <w:br/>
        <w:t>outputs/b8/b8_dimension_profile.csv</w:t>
        <w:br/>
        <w:t>docs/B8_RUN_REPORT.md</w:t>
        <w:br/>
        <w:t>docs/B9_RUN_REPORT.md</w:t>
        <w:br/>
        <w:t>outputs/b9/vintage_composition_annual.csv</w:t>
        <w:br/>
        <w:t>outputs/block_b_final/block_b_final_qa.json</w:t>
        <w:br/>
        <w:t>outputs/block_b_final/block_b_final_reconciliation.json</w:t>
        <w:br/>
        <w:t>docs/BLOCK_B_ANALYTICAL_FINDINGS.md</w:t>
        <w:br/>
        <w:t>docs/BLOCK_B_ASSUMPTIONS_AND_LIMITS.md</w:t>
        <w:br/>
        <w:t>docs/BLOCK_B_FINAL_CLOSURE_REMEDIATION.md</w:t>
        <w:br/>
        <w:t>docs/BLOCK_B_CLOSURE_FILE_INDEX.md</w:t>
      </w:r>
    </w:p>
    <w:p>
      <w:pPr>
        <w:spacing w:after="120"/>
      </w:pPr>
      <w:r>
        <w:rPr>
          <w:rFonts w:ascii="Liberation Sans" w:hAnsi="Liberation Sans" w:eastAsia="Liberation Sans"/>
          <w:color w:val="1E293B"/>
          <w:sz w:val="20"/>
        </w:rPr>
        <w:t>No raw dataset is reproduced in this report.</w:t>
      </w:r>
    </w:p>
    <w:p>
      <w:pPr>
        <w:spacing w:before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CFD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065F46"/>
                <w:sz w:val="21"/>
              </w:rPr>
              <w:t>BLOCK B — ANALYTICAL FOUNDATION COMPLETE  |  NEXT: BLOCK C — CREDIT RISK MODELING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smallCaps/>
        <w:color w:val="475569"/>
        <w:sz w:val="16"/>
      </w:rPr>
      <w:t>CRD.PI  |  Block B Detailed Technical &amp; Portfolio Risk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E40A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216"/>
    </w:pPr>
    <w:rPr>
      <w:rFonts w:ascii="Liberation Mono" w:hAnsi="Liberation Mono"/>
      <w:color w:val="0F17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CRD.PI — Block B Detailed Technical &amp; Portfolio Risk Report</dc:title>
  <dc:subject>Data Engineering, Quality Control, Portfolio Risk Segmentation, Concentration &amp; Vintage Analysis</dc:subject>
  <dc:creator>CRD.PI</dc:creator>
  <cp:keywords>credit risk, portfolio risk, data engineering, data quality, LendingClub, risk analytics</cp:keywords>
  <dc:description>Finalized against Block B repository commit 363c98b; corrected B8 quasi-constant count and closure documentation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