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B3440" w14:textId="77777777" w:rsidR="0068419C" w:rsidRPr="0068419C" w:rsidRDefault="0068419C" w:rsidP="00684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19C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6841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Gaps in Standard GNNs for Healthcare</w:t>
      </w:r>
    </w:p>
    <w:p w14:paraId="57D08724" w14:textId="77777777"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</w:rPr>
        <w:t>Black-box predictions</w:t>
      </w:r>
    </w:p>
    <w:p w14:paraId="75DD4EB6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>Standard GNNs achieve high accuracy but offer little interpretability.</w:t>
      </w:r>
    </w:p>
    <w:p w14:paraId="462185C4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 xml:space="preserve">Clinicians need to know </w:t>
      </w:r>
      <w:r w:rsidRPr="0068419C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68419C">
        <w:rPr>
          <w:rFonts w:ascii="Times New Roman" w:eastAsia="Times New Roman" w:hAnsi="Times New Roman" w:cs="Times New Roman"/>
          <w:sz w:val="24"/>
          <w:szCs w:val="24"/>
        </w:rPr>
        <w:t xml:space="preserve"> a model reached a decision (e.g., which organs/symptoms mattered).</w:t>
      </w:r>
    </w:p>
    <w:p w14:paraId="0F158E8B" w14:textId="77777777"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</w:rPr>
        <w:t>Flat representation</w:t>
      </w:r>
    </w:p>
    <w:p w14:paraId="490A11E8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 xml:space="preserve">Most GNNs treat all nodes equally, without reflecting </w:t>
      </w: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anatomy</w:t>
      </w:r>
      <w:r w:rsidRPr="0068419C">
        <w:rPr>
          <w:rFonts w:ascii="Times New Roman" w:eastAsia="Times New Roman" w:hAnsi="Times New Roman" w:cs="Times New Roman"/>
          <w:sz w:val="24"/>
          <w:szCs w:val="24"/>
        </w:rPr>
        <w:t xml:space="preserve"> (organ → tissue → symptom → patient).</w:t>
      </w:r>
    </w:p>
    <w:p w14:paraId="225DDFF4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>But medicine is inherently hierarchical.</w:t>
      </w:r>
    </w:p>
    <w:p w14:paraId="066551FC" w14:textId="77777777"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</w:rPr>
        <w:t>Weak explanation faithfulness</w:t>
      </w:r>
    </w:p>
    <w:p w14:paraId="7806E8D1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>Many GNN explainers highlight nodes/edges but don’t prove whether removing them actually changes the prediction.</w:t>
      </w:r>
    </w:p>
    <w:p w14:paraId="3C1E8393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>This risks producing unfaithful “just-so stories.”</w:t>
      </w:r>
    </w:p>
    <w:p w14:paraId="79AA7CBC" w14:textId="77777777" w:rsidR="0068419C" w:rsidRPr="0068419C" w:rsidRDefault="0068419C" w:rsidP="00684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b/>
          <w:bCs/>
          <w:sz w:val="24"/>
          <w:szCs w:val="24"/>
        </w:rPr>
        <w:t>Lack of counterfactual reasoning</w:t>
      </w:r>
    </w:p>
    <w:p w14:paraId="1C802C70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>Doctors often ask “What if this symptom wasn’t present?” or “What if bilirubin was lower?”</w:t>
      </w:r>
    </w:p>
    <w:p w14:paraId="7C358D24" w14:textId="77777777" w:rsidR="0068419C" w:rsidRPr="0068419C" w:rsidRDefault="0068419C" w:rsidP="006841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19C">
        <w:rPr>
          <w:rFonts w:ascii="Times New Roman" w:eastAsia="Times New Roman" w:hAnsi="Times New Roman" w:cs="Times New Roman"/>
          <w:sz w:val="24"/>
          <w:szCs w:val="24"/>
        </w:rPr>
        <w:t>Vanilla GNNs can’t provide such alternative scenario reasoning.</w:t>
      </w:r>
    </w:p>
    <w:p w14:paraId="66B5AA4C" w14:textId="77777777" w:rsidR="0068419C" w:rsidRDefault="0068419C" w:rsidP="0068419C">
      <w:pPr>
        <w:pStyle w:val="Heading2"/>
      </w:pPr>
      <w:r>
        <w:br/>
      </w:r>
      <w:r>
        <w:br/>
      </w:r>
      <w:r>
        <w:rPr>
          <w:rFonts w:ascii="Segoe UI Emoji" w:hAnsi="Segoe UI Emoji" w:cs="Segoe UI Emoji"/>
        </w:rPr>
        <w:t>✅</w:t>
      </w:r>
      <w:r>
        <w:t xml:space="preserve"> How AX-GNN Serves These Gaps</w:t>
      </w:r>
    </w:p>
    <w:p w14:paraId="62530345" w14:textId="77777777" w:rsidR="0068419C" w:rsidRDefault="0068419C" w:rsidP="0068419C">
      <w:pPr>
        <w:pStyle w:val="NormalWeb"/>
        <w:numPr>
          <w:ilvl w:val="0"/>
          <w:numId w:val="2"/>
        </w:numPr>
      </w:pPr>
      <w:r>
        <w:rPr>
          <w:rStyle w:val="Strong"/>
        </w:rPr>
        <w:t>Interpretability via Landmark Attention</w:t>
      </w:r>
    </w:p>
    <w:p w14:paraId="25B149DB" w14:textId="77777777" w:rsidR="0068419C" w:rsidRDefault="0068419C" w:rsidP="0068419C">
      <w:pPr>
        <w:pStyle w:val="NormalWeb"/>
        <w:numPr>
          <w:ilvl w:val="1"/>
          <w:numId w:val="2"/>
        </w:numPr>
      </w:pPr>
      <w:r>
        <w:t xml:space="preserve">Introduces a </w:t>
      </w:r>
      <w:r>
        <w:rPr>
          <w:rStyle w:val="Strong"/>
        </w:rPr>
        <w:t>landmark-gated attention</w:t>
      </w:r>
      <w:r>
        <w:t xml:space="preserve"> mechanism: organs/tissues are prioritized automatically.</w:t>
      </w:r>
    </w:p>
    <w:p w14:paraId="1D6B1D98" w14:textId="77777777" w:rsidR="0068419C" w:rsidRDefault="0068419C" w:rsidP="0068419C">
      <w:pPr>
        <w:pStyle w:val="NormalWeb"/>
        <w:numPr>
          <w:ilvl w:val="1"/>
          <w:numId w:val="2"/>
        </w:numPr>
      </w:pPr>
      <w:r>
        <w:t>Aligns model focus with medical intuition.</w:t>
      </w:r>
    </w:p>
    <w:p w14:paraId="315B0B30" w14:textId="77777777" w:rsidR="0068419C" w:rsidRDefault="0068419C" w:rsidP="0068419C">
      <w:pPr>
        <w:pStyle w:val="NormalWeb"/>
        <w:numPr>
          <w:ilvl w:val="0"/>
          <w:numId w:val="2"/>
        </w:numPr>
      </w:pPr>
      <w:r>
        <w:rPr>
          <w:rStyle w:val="Strong"/>
        </w:rPr>
        <w:t>Anatomy-aware hierarchical encoding</w:t>
      </w:r>
    </w:p>
    <w:p w14:paraId="0CC90868" w14:textId="77777777" w:rsidR="0068419C" w:rsidRDefault="0068419C" w:rsidP="0068419C">
      <w:pPr>
        <w:pStyle w:val="NormalWeb"/>
        <w:numPr>
          <w:ilvl w:val="1"/>
          <w:numId w:val="2"/>
        </w:numPr>
      </w:pPr>
      <w:r>
        <w:t>Explicit node types (Organ, Tissue, Symptom, Patient) + edge semantics (e.g., “part_of”, “manifests_in”).</w:t>
      </w:r>
    </w:p>
    <w:p w14:paraId="17543AB3" w14:textId="77777777" w:rsidR="0068419C" w:rsidRDefault="0068419C" w:rsidP="0068419C">
      <w:pPr>
        <w:pStyle w:val="NormalWeb"/>
        <w:numPr>
          <w:ilvl w:val="1"/>
          <w:numId w:val="2"/>
        </w:numPr>
      </w:pPr>
      <w:r>
        <w:t>Captures domain structure missing in generic GNNs.</w:t>
      </w:r>
    </w:p>
    <w:p w14:paraId="155CB25B" w14:textId="77777777" w:rsidR="0068419C" w:rsidRDefault="0068419C" w:rsidP="0068419C">
      <w:pPr>
        <w:pStyle w:val="NormalWeb"/>
        <w:numPr>
          <w:ilvl w:val="0"/>
          <w:numId w:val="2"/>
        </w:numPr>
      </w:pPr>
      <w:r>
        <w:rPr>
          <w:rStyle w:val="Strong"/>
        </w:rPr>
        <w:t>Faithfulness via deletion curves</w:t>
      </w:r>
    </w:p>
    <w:p w14:paraId="203311EC" w14:textId="77777777" w:rsidR="0068419C" w:rsidRDefault="0068419C" w:rsidP="0068419C">
      <w:pPr>
        <w:pStyle w:val="NormalWeb"/>
        <w:numPr>
          <w:ilvl w:val="1"/>
          <w:numId w:val="2"/>
        </w:numPr>
      </w:pPr>
      <w:r>
        <w:t xml:space="preserve">The model checks whether removing high-scoring nodes/edges </w:t>
      </w:r>
      <w:r>
        <w:rPr>
          <w:rStyle w:val="Emphasis"/>
        </w:rPr>
        <w:t>actually</w:t>
      </w:r>
      <w:r>
        <w:t xml:space="preserve"> reduces confidence.</w:t>
      </w:r>
    </w:p>
    <w:p w14:paraId="62433B70" w14:textId="77777777" w:rsidR="0068419C" w:rsidRDefault="0068419C" w:rsidP="0068419C">
      <w:pPr>
        <w:pStyle w:val="NormalWeb"/>
        <w:numPr>
          <w:ilvl w:val="1"/>
          <w:numId w:val="2"/>
        </w:numPr>
      </w:pPr>
      <w:r>
        <w:t>Provides a theoretical guarantee of explanation reliability.</w:t>
      </w:r>
    </w:p>
    <w:p w14:paraId="484C1413" w14:textId="77777777" w:rsidR="0068419C" w:rsidRDefault="0068419C" w:rsidP="0068419C">
      <w:pPr>
        <w:pStyle w:val="NormalWeb"/>
        <w:numPr>
          <w:ilvl w:val="0"/>
          <w:numId w:val="2"/>
        </w:numPr>
      </w:pPr>
      <w:r>
        <w:rPr>
          <w:rStyle w:val="Strong"/>
        </w:rPr>
        <w:t>Counterfactual reasoning</w:t>
      </w:r>
    </w:p>
    <w:p w14:paraId="29AAF552" w14:textId="77777777" w:rsidR="0068419C" w:rsidRDefault="0068419C" w:rsidP="0068419C">
      <w:pPr>
        <w:pStyle w:val="NormalWeb"/>
        <w:numPr>
          <w:ilvl w:val="1"/>
          <w:numId w:val="2"/>
        </w:numPr>
      </w:pPr>
      <w:r>
        <w:t xml:space="preserve">Counterfactual search shows the </w:t>
      </w:r>
      <w:r>
        <w:rPr>
          <w:rStyle w:val="Strong"/>
        </w:rPr>
        <w:t>minimal feature change</w:t>
      </w:r>
      <w:r>
        <w:t xml:space="preserve"> needed to flip a diagnosis.</w:t>
      </w:r>
    </w:p>
    <w:p w14:paraId="1E920B28" w14:textId="77777777" w:rsidR="0068419C" w:rsidRDefault="0068419C" w:rsidP="0068419C">
      <w:pPr>
        <w:pStyle w:val="NormalWeb"/>
        <w:numPr>
          <w:ilvl w:val="1"/>
          <w:numId w:val="2"/>
        </w:numPr>
      </w:pPr>
      <w:r>
        <w:t>Mimics clinical “what-if” reasoning and helps doctors trust the model.</w:t>
      </w:r>
    </w:p>
    <w:p w14:paraId="63C2B221" w14:textId="77777777" w:rsidR="0068419C" w:rsidRDefault="0068419C" w:rsidP="0068419C">
      <w:pPr>
        <w:pStyle w:val="NormalWeb"/>
        <w:numPr>
          <w:ilvl w:val="0"/>
          <w:numId w:val="2"/>
        </w:numPr>
      </w:pPr>
      <w:r>
        <w:rPr>
          <w:rStyle w:val="Strong"/>
        </w:rPr>
        <w:t>Aggregate analytics</w:t>
      </w:r>
    </w:p>
    <w:p w14:paraId="3F388975" w14:textId="77777777" w:rsidR="0068419C" w:rsidRDefault="0068419C" w:rsidP="0068419C">
      <w:pPr>
        <w:pStyle w:val="NormalWeb"/>
        <w:numPr>
          <w:ilvl w:val="1"/>
          <w:numId w:val="2"/>
        </w:numPr>
      </w:pPr>
      <w:r>
        <w:t xml:space="preserve">Summaries (bar plots, heatmaps) reveal </w:t>
      </w:r>
      <w:r>
        <w:rPr>
          <w:rStyle w:val="Strong"/>
        </w:rPr>
        <w:t>global trends</w:t>
      </w:r>
      <w:r>
        <w:t xml:space="preserve"> — e.g., “the model relies most on organ→symptom edges.”</w:t>
      </w:r>
    </w:p>
    <w:p w14:paraId="76FE35CD" w14:textId="77777777" w:rsidR="0068419C" w:rsidRDefault="0068419C" w:rsidP="0068419C">
      <w:pPr>
        <w:pStyle w:val="NormalWeb"/>
        <w:numPr>
          <w:ilvl w:val="1"/>
          <w:numId w:val="2"/>
        </w:numPr>
      </w:pPr>
      <w:r>
        <w:t>Moves beyond single-case explanations.</w:t>
      </w:r>
    </w:p>
    <w:p w14:paraId="43C6B7EE" w14:textId="77777777" w:rsidR="0068419C" w:rsidRDefault="0068419C" w:rsidP="0068419C">
      <w:pPr>
        <w:pStyle w:val="NormalWeb"/>
        <w:rPr>
          <w:rFonts w:hAnsi="Symbol"/>
        </w:rPr>
      </w:pPr>
    </w:p>
    <w:p w14:paraId="2246379B" w14:textId="5152D40A" w:rsidR="0068419C" w:rsidRDefault="0068419C" w:rsidP="0068419C">
      <w:pPr>
        <w:pStyle w:val="NormalWeb"/>
        <w:rPr>
          <w:rFonts w:hAnsi="Symbol"/>
        </w:rPr>
      </w:pPr>
      <w:r>
        <w:rPr>
          <w:rFonts w:hAnsi="Symbol"/>
        </w:rPr>
        <w:t>IN this model:</w:t>
      </w:r>
    </w:p>
    <w:p w14:paraId="1946E8F9" w14:textId="77777777" w:rsidR="0068419C" w:rsidRDefault="0068419C" w:rsidP="0068419C">
      <w:pPr>
        <w:pStyle w:val="NormalWeb"/>
        <w:rPr>
          <w:rFonts w:hAnsi="Symbol"/>
        </w:rPr>
      </w:pPr>
    </w:p>
    <w:p w14:paraId="64003BD0" w14:textId="7AD0046E" w:rsidR="0068419C" w:rsidRDefault="0068419C" w:rsidP="006841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Anatomy-aware graph construction</w:t>
      </w:r>
    </w:p>
    <w:p w14:paraId="780379A5" w14:textId="77777777" w:rsidR="0068419C" w:rsidRDefault="0068419C" w:rsidP="0068419C">
      <w:pPr>
        <w:pStyle w:val="NormalWeb"/>
        <w:numPr>
          <w:ilvl w:val="0"/>
          <w:numId w:val="3"/>
        </w:numPr>
      </w:pPr>
      <w:r>
        <w:t>Nodes are explicitly typed (</w:t>
      </w:r>
      <w:r>
        <w:rPr>
          <w:rStyle w:val="HTMLCode"/>
        </w:rPr>
        <w:t>Organ</w:t>
      </w:r>
      <w:r>
        <w:t xml:space="preserve">, </w:t>
      </w:r>
      <w:r>
        <w:rPr>
          <w:rStyle w:val="HTMLCode"/>
        </w:rPr>
        <w:t>Tissue</w:t>
      </w:r>
      <w:r>
        <w:t xml:space="preserve">, </w:t>
      </w:r>
      <w:r>
        <w:rPr>
          <w:rStyle w:val="HTMLCode"/>
        </w:rPr>
        <w:t>Symptom</w:t>
      </w:r>
      <w:r>
        <w:t xml:space="preserve">, </w:t>
      </w:r>
      <w:r>
        <w:rPr>
          <w:rStyle w:val="HTMLCode"/>
        </w:rPr>
        <w:t>Patient</w:t>
      </w:r>
      <w:r>
        <w:t>).</w:t>
      </w:r>
    </w:p>
    <w:p w14:paraId="385E9C0A" w14:textId="77777777" w:rsidR="0068419C" w:rsidRDefault="0068419C" w:rsidP="0068419C">
      <w:pPr>
        <w:pStyle w:val="NormalWeb"/>
        <w:numPr>
          <w:ilvl w:val="0"/>
          <w:numId w:val="3"/>
        </w:numPr>
      </w:pPr>
      <w:r>
        <w:t>Edges encode medical/anatomical relations (</w:t>
      </w:r>
      <w:r>
        <w:rPr>
          <w:rStyle w:val="HTMLCode"/>
        </w:rPr>
        <w:t>part_of</w:t>
      </w:r>
      <w:r>
        <w:t xml:space="preserve">, </w:t>
      </w:r>
      <w:r>
        <w:rPr>
          <w:rStyle w:val="HTMLCode"/>
        </w:rPr>
        <w:t>manifests_in</w:t>
      </w:r>
      <w:r>
        <w:t xml:space="preserve">, </w:t>
      </w:r>
      <w:r>
        <w:rPr>
          <w:rStyle w:val="HTMLCode"/>
        </w:rPr>
        <w:t>co_dep</w:t>
      </w:r>
      <w:r>
        <w:t xml:space="preserve">, </w:t>
      </w:r>
      <w:r>
        <w:rPr>
          <w:rStyle w:val="HTMLCode"/>
        </w:rPr>
        <w:t>adjacent_to</w:t>
      </w:r>
      <w:r>
        <w:t xml:space="preserve">, </w:t>
      </w:r>
      <w:r>
        <w:rPr>
          <w:rStyle w:val="HTMLCode"/>
        </w:rPr>
        <w:t>has_finding</w:t>
      </w:r>
      <w:r>
        <w:t>).</w:t>
      </w:r>
    </w:p>
    <w:p w14:paraId="2094F118" w14:textId="77777777" w:rsidR="0068419C" w:rsidRDefault="0068419C" w:rsidP="006841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Landmark-based attention (interpretability)</w:t>
      </w:r>
    </w:p>
    <w:p w14:paraId="0CF1E7CF" w14:textId="77777777" w:rsidR="0068419C" w:rsidRDefault="0068419C" w:rsidP="0068419C">
      <w:pPr>
        <w:pStyle w:val="NormalWeb"/>
        <w:numPr>
          <w:ilvl w:val="0"/>
          <w:numId w:val="4"/>
        </w:numPr>
      </w:pPr>
      <w:r>
        <w:t xml:space="preserve">A </w:t>
      </w:r>
      <w:r>
        <w:rPr>
          <w:rStyle w:val="HTMLCode"/>
        </w:rPr>
        <w:t>LandmarkGate</w:t>
      </w:r>
      <w:r>
        <w:t xml:space="preserve"> module biases attention toward anatomically important nodes (organs/tissues).</w:t>
      </w:r>
    </w:p>
    <w:p w14:paraId="3756AB9E" w14:textId="77777777" w:rsidR="0068419C" w:rsidRDefault="0068419C" w:rsidP="0068419C">
      <w:pPr>
        <w:pStyle w:val="NormalWeb"/>
        <w:numPr>
          <w:ilvl w:val="0"/>
          <w:numId w:val="4"/>
        </w:numPr>
      </w:pPr>
      <w:r>
        <w:t>This is novel compared to standard GNNs, where attention is uniform.</w:t>
      </w:r>
    </w:p>
    <w:p w14:paraId="1302A7D0" w14:textId="77777777" w:rsidR="0068419C" w:rsidRDefault="0068419C" w:rsidP="006841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Explainability layer</w:t>
      </w:r>
    </w:p>
    <w:p w14:paraId="67ECA11D" w14:textId="77777777" w:rsidR="0068419C" w:rsidRDefault="0068419C" w:rsidP="0068419C">
      <w:pPr>
        <w:pStyle w:val="NormalWeb"/>
        <w:numPr>
          <w:ilvl w:val="0"/>
          <w:numId w:val="5"/>
        </w:numPr>
      </w:pPr>
      <w:r>
        <w:rPr>
          <w:rStyle w:val="Strong"/>
        </w:rPr>
        <w:t>Saliency</w:t>
      </w:r>
      <w:r>
        <w:t>: Gradient×Input highlights important nodes.</w:t>
      </w:r>
    </w:p>
    <w:p w14:paraId="7BEDCB78" w14:textId="77777777" w:rsidR="0068419C" w:rsidRDefault="0068419C" w:rsidP="0068419C">
      <w:pPr>
        <w:pStyle w:val="NormalWeb"/>
        <w:numPr>
          <w:ilvl w:val="0"/>
          <w:numId w:val="5"/>
        </w:numPr>
      </w:pPr>
      <w:r>
        <w:rPr>
          <w:rStyle w:val="Strong"/>
        </w:rPr>
        <w:t>Edge Attention</w:t>
      </w:r>
      <w:r>
        <w:t>: Learned weights show critical connections.</w:t>
      </w:r>
    </w:p>
    <w:p w14:paraId="6CA3B70C" w14:textId="77777777" w:rsidR="0068419C" w:rsidRDefault="0068419C" w:rsidP="0068419C">
      <w:pPr>
        <w:pStyle w:val="NormalWeb"/>
        <w:numPr>
          <w:ilvl w:val="0"/>
          <w:numId w:val="5"/>
        </w:numPr>
      </w:pPr>
      <w:r>
        <w:rPr>
          <w:rStyle w:val="Strong"/>
        </w:rPr>
        <w:t>Counterfactuals</w:t>
      </w:r>
      <w:r>
        <w:t>: Minimal feature changes to flip predictions.</w:t>
      </w:r>
    </w:p>
    <w:p w14:paraId="5FB23C52" w14:textId="77777777" w:rsidR="0068419C" w:rsidRDefault="0068419C" w:rsidP="0068419C">
      <w:pPr>
        <w:pStyle w:val="NormalWeb"/>
        <w:numPr>
          <w:ilvl w:val="0"/>
          <w:numId w:val="5"/>
        </w:numPr>
      </w:pPr>
      <w:r>
        <w:rPr>
          <w:rStyle w:val="Strong"/>
        </w:rPr>
        <w:t>Faithfulness</w:t>
      </w:r>
      <w:r>
        <w:t>: Node/edge deletion curves to check explanation validity.</w:t>
      </w:r>
    </w:p>
    <w:p w14:paraId="53C10475" w14:textId="77777777" w:rsidR="0068419C" w:rsidRDefault="0068419C" w:rsidP="006841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Visualization</w:t>
      </w:r>
    </w:p>
    <w:p w14:paraId="2ED4E135" w14:textId="77777777" w:rsidR="0068419C" w:rsidRDefault="0068419C" w:rsidP="0068419C">
      <w:pPr>
        <w:pStyle w:val="NormalWeb"/>
        <w:numPr>
          <w:ilvl w:val="0"/>
          <w:numId w:val="6"/>
        </w:numPr>
      </w:pPr>
      <w:r>
        <w:t xml:space="preserve">Per-graph explanations with </w:t>
      </w:r>
      <w:r>
        <w:rPr>
          <w:rStyle w:val="Strong"/>
        </w:rPr>
        <w:t>node colors (importance)</w:t>
      </w:r>
      <w:r>
        <w:t xml:space="preserve">, </w:t>
      </w:r>
      <w:r>
        <w:rPr>
          <w:rStyle w:val="Strong"/>
        </w:rPr>
        <w:t>shapes (type)</w:t>
      </w:r>
      <w:r>
        <w:t xml:space="preserve">, </w:t>
      </w:r>
      <w:r>
        <w:rPr>
          <w:rStyle w:val="Strong"/>
        </w:rPr>
        <w:t>sizes (faithfulness)</w:t>
      </w:r>
      <w:r>
        <w:t xml:space="preserve">, and </w:t>
      </w:r>
      <w:r>
        <w:rPr>
          <w:rStyle w:val="Strong"/>
        </w:rPr>
        <w:t>borders (counterfactual changes)</w:t>
      </w:r>
      <w:r>
        <w:t>.</w:t>
      </w:r>
    </w:p>
    <w:p w14:paraId="37D08CE4" w14:textId="77777777" w:rsidR="0068419C" w:rsidRDefault="0068419C" w:rsidP="0068419C">
      <w:pPr>
        <w:pStyle w:val="NormalWeb"/>
        <w:numPr>
          <w:ilvl w:val="0"/>
          <w:numId w:val="6"/>
        </w:numPr>
      </w:pPr>
      <w:r>
        <w:t>Interactive HTML + static PNG.</w:t>
      </w:r>
    </w:p>
    <w:p w14:paraId="56B9CA1D" w14:textId="77777777" w:rsidR="0068419C" w:rsidRDefault="0068419C" w:rsidP="0068419C">
      <w:pPr>
        <w:pStyle w:val="NormalWeb"/>
        <w:numPr>
          <w:ilvl w:val="0"/>
          <w:numId w:val="6"/>
        </w:numPr>
      </w:pPr>
      <w:r>
        <w:t>Aggregate summaries (bar plots, CSV, and node-type pair attention heatmaps).</w:t>
      </w:r>
    </w:p>
    <w:p w14:paraId="308B98B9" w14:textId="77777777" w:rsidR="0068419C" w:rsidRDefault="0068419C" w:rsidP="0068419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Guarantee alignment with the abstract</w:t>
      </w:r>
    </w:p>
    <w:p w14:paraId="766EB10B" w14:textId="77777777" w:rsidR="0068419C" w:rsidRDefault="0068419C" w:rsidP="0068419C">
      <w:pPr>
        <w:pStyle w:val="NormalWeb"/>
        <w:numPr>
          <w:ilvl w:val="0"/>
          <w:numId w:val="7"/>
        </w:numPr>
      </w:pPr>
      <w:r>
        <w:t xml:space="preserve">It’s not just a classifier. The whole pipeline is tailored for </w:t>
      </w:r>
      <w:r>
        <w:rPr>
          <w:rStyle w:val="Strong"/>
        </w:rPr>
        <w:t>interpretable, clinically meaningful outputs</w:t>
      </w:r>
      <w:r>
        <w:t xml:space="preserve"> with theoretical faithfulness checks.</w:t>
      </w:r>
    </w:p>
    <w:p w14:paraId="500E97B0" w14:textId="1162F3AF" w:rsidR="00B263E4" w:rsidRDefault="00B263E4"/>
    <w:sectPr w:rsidR="00B26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1F8C"/>
    <w:multiLevelType w:val="multilevel"/>
    <w:tmpl w:val="E10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67AD"/>
    <w:multiLevelType w:val="multilevel"/>
    <w:tmpl w:val="672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2EA8"/>
    <w:multiLevelType w:val="multilevel"/>
    <w:tmpl w:val="288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211D"/>
    <w:multiLevelType w:val="multilevel"/>
    <w:tmpl w:val="0A24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058A9"/>
    <w:multiLevelType w:val="multilevel"/>
    <w:tmpl w:val="3C1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D62A7"/>
    <w:multiLevelType w:val="multilevel"/>
    <w:tmpl w:val="B2CE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E0E87"/>
    <w:multiLevelType w:val="multilevel"/>
    <w:tmpl w:val="15B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8A"/>
    <w:rsid w:val="0068419C"/>
    <w:rsid w:val="00B263E4"/>
    <w:rsid w:val="00DD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2478B"/>
  <w15:chartTrackingRefBased/>
  <w15:docId w15:val="{C205C543-43A5-4F43-8D17-0AA9FD5E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41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41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4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19C"/>
    <w:rPr>
      <w:b/>
      <w:bCs/>
    </w:rPr>
  </w:style>
  <w:style w:type="character" w:styleId="Emphasis">
    <w:name w:val="Emphasis"/>
    <w:basedOn w:val="DefaultParagraphFont"/>
    <w:uiPriority w:val="20"/>
    <w:qFormat/>
    <w:rsid w:val="006841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841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4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2455</Characters>
  <Application>Microsoft Office Word</Application>
  <DocSecurity>0</DocSecurity>
  <Lines>64</Lines>
  <Paragraphs>53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2025-10-06T03:35:00Z</dcterms:created>
  <dcterms:modified xsi:type="dcterms:W3CDTF">2025-10-06T03:36:00Z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deaf6ee3-b9c3-41a2-9984-0070c3205bfd</vt:lpwstr>
  </property>
</Properties>
</file>