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The same paper reports a complementary finding specifically for Abadi et al.’s DP-SGD (calibrated via the Moments Accountant): models configured for strong theoretical privacy (small ε) lose the utility a real deployment needs, while models configured for acceptable utility are vulnerable to membership inference at a level that, in their measurements, can approach that of a fully non-private model — the accuracy/privacy trade-off is not merely theoretical, it manifests as measurable leakage at the utility levels a deployment would actually choose.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unmodified, LiRA's own parametric assumption that the shadow loss distribution is approximately Gaussian under both the IN and OUT hypotheses — an assumption we carry forward, not one we introduce.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and log a per-run skip rate for transparency.</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at every site tested (canary members reconstruct 4–7× more accurately at Office 1; qualitatively similar separation at Caltech and JPL) — an unambiguous positive control at the loss level. The calibrated LiRA score is more nuanced. After fixing a shadow-sampling contamination bug (duplicate canary copies could previously fragment across a single shadow's IN/OUT split, diluting the differential signal LiRA's calibration relies on), calibrated LiRA on the Office 1 canaries — the densest insertion, ≈11% of that client's training set — detects the canary consistently across all three rounds (0.6375 / 0.6625 / 0.5875, composed 0.6875), above our pre-declared 0.60 threshold. It remains systematically weaker than the raw-loss signal, which we attribute to a separate, still-open limitation: LiRA's Gaussian calibration operates at its per-shadow variance floor in 96–99% of cases in this run rather than on genuine per-shadow variance. Replicating the identical protocol at Caltech and JPL — where duplicate density is far lower (≈0.5% of local training data, since both clients have larger local datasets than Office 1) — does not reproduce the calibrated-LiRA signal (Caltech composed AUC 0.42–0.50; JPL composed AUC 0.5368), consistent with a density-dependent effect. To isolate density from site, we re-ran the canary insertion at Caltech with density matched to Office 1's (≈10% of local training data, n_templates=84): calibrated LiRA still failed to detect the canary (AUC 0.46–0.53, near or below chance), so duplicate density alone does not fully explain the Office 1/Caltech gap either — the site-dependence of calibrated LiRA's canary sensitivity is only partially understood and is reported here as an open methodological nuance, not a resolved one.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0.5000 / 0.5015 / 0.5003 / 0.5012 (seeds 123 / 456 / 789 / 1234, post-fix; plus one pre-fix baseline seed 42). local: composed LiRA AUC per seed 0.4993 / 0.5007 / 0.4991 / 0.5003 / 0.5007 (seeds 42 / 123 / 456 / 789 / 1234), 95% bootstrap CI [0.4994, 0.5006] — contains 0.5. Both are consistent with the single-process simulation results above;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ε alone is not interpretable, and this section exists because of that gap: Rahman et al. [15] motivate their own study by noting that differential privacy "has always been criticized for not being able to provide an intuitive explanation of the privacy parameter ε," and aim to give ε a concrete empirical meaning by measuring the membership-inference success it actually permits. PES_v1 pursues the same goal for this project: instead of reporting ε alone, it reports a single risk score that folds the nominal DP budget together with the residual attack advantage actually observed.</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