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0.4863 / 0.6265 / 0.4250</w:t>
            </w:r>
          </w:p>
        </w:tc>
        <w:tc>
          <w:tcPr>
            <w:tcW w:type="dxa" w:w="2975"/>
            <w:shd w:fill="F2F2F2" w:val="clear"/>
          </w:tcPr>
          <w:p>
            <w:r>
              <w:rPr>
                <w:sz w:val="18"/>
                <w:szCs w:val="18"/>
              </w:rPr>
              <w:t xml:space="preserve">Unstable, near chance</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(canary members reconstruct 4–7× more accurately) — an unambiguous positive control: the model and a loss-threshold detector both clearly pick up a deliberately engineered vulnerability. The calibrated LiRA score on the same canaries, by contrast, stays unstable and near chance. We attribute this to LiRA's shadow models being trained on the same shared population that now contains 150 duplicate canary copies, so their own random IN/OUT subsampling draws multiple near-identical copies regardless of which specific copy is nominally held out for a given shadow, diluting the differential signal LiRA's calibration relies on — a methodological artifact specific to literal near-duplicate records in a population shared between target and shadow training. Natural EV sessions in our dataset are never literal duplicates of one another, so this does not extend to, or undermine,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We additionally cross-validated against the real Containerlab/NVFLARE deployment (composed LiRA AUC 0.4992, dp-fedavg ε=1.0, 10 rounds across 5 real containers) — the only run in this section not produced by the single-process simulation, using the same unmodified attack code — consistent with the simulation results above.</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but only at the raw reconstruction-loss level (AUC 0.70–0.90, stable), not at the level of the calibrated LiRA score itself (AUC 0.43–0.63, unstable) — we attribute the gap to shadow-model contamination specific to literal near-duplicate records shared between target and shadow training populations, a methodological limitation of LiRA's calibration under canary-style auditing rather than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TPR@low-FPR-based re-analysis of the full campaign;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