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but only for centralized DP-SGD training on standard benchmarks.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at every site tested (canary members reconstruct 4–7× more accurately at Office 1; qualitatively similar separation at Caltech and JPL) — an unambiguous positive control at the loss level. The calibrated LiRA score is more nuanced. After fixing a shadow-sampling contamination bug (duplicate canary copies could previously fragment across a single shadow's IN/OUT split, diluting the differential signal LiRA's calibration relies on), calibrated LiRA on the Office 1 canaries — the densest insertion, ≈11% of that client's training set — detects the canary consistently across all three rounds (0.6375 / 0.6625 / 0.5875, composed 0.6875), above our pre-declared 0.60 threshold. It remains systematically weaker than the raw-loss signal, which we attribute to a separate, still-open limitation: LiRA's Gaussian calibration operates at its per-shadow variance floor in 96–99% of cases in this run rather than on genuine per-shadow variance. Replicating the identical protocol at Caltech and JPL — where duplicate density is far lower (≈0.5% of local training data, since both clients have larger local datasets than Office 1) — does not reproduce the calibrated-LiRA signal (Caltech composed AUC 0.42–0.50; JPL composed AUC 0.5368), consistent with a density-dependent effect. To isolate density from site, we re-ran the canary insertion at Caltech with density matched to Office 1's (≈10% of local training data, n_templates=84): calibrated LiRA still failed to detect the canary (AUC 0.46–0.53, near or below chance), so duplicate density alone does not fully explain the Office 1/Caltech gap either — the site-dependence of calibrated LiRA's canary sensitivity is only partially understood and is reported here as an open methodological nuance, not a resolved one.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0.5000 / 0.5015 / 0.5003 / 0.5012 (seeds 123 / 456 / 789 / 1234, post-fix; plus one pre-fix baseline seed 42). local: composed LiRA AUC per seed 0.4993 / 0.5007 / 0.4991 / 0.5003 / 0.5007 (seeds 42 / 123 / 456 / 789 / 1234), 95% bootstrap CI [0.4994, 0.5006] — contains 0.5. Both are consistent with the single-process simulation results above;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