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0.4975–0.5024 across 10 configurations, 5 seeds each; 9 of 10 95% bootstrap CIs contain 0.5, the tenth — central, ε=0.1 — excludes it by a narrow margin without reaching Wilcoxon significance;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concretely, Rényi DP (RDP) matches naive composition's utility at a 50× tighter budget (53% accuracy loss at ε=10 versus ε=500 for the same loss under naive composition) on a neural-network classification benchmark, yet a white-box membership-inference attacker still achieves 0.399 advantage against the RDP-trained model at ε=1000 — but only for centralized DP-SGD training on standard benchmarks. The naive-composition cost this gap describes can be extreme in practice: Rahman et al. [15] note that Shokri and Shmatikov’s distributed SGD mechanism, which perturbs gradients per-parameter, delivers only ε&gt;2 per parameter and — composed naively over roughly 300,000 parameters — a total ε exceeding 600,000, which they judge to provide no meaningful privacy guarantee at all. The same paper reports a complementary finding specifically for Abadi et al.’s DP-SGD (calibrated via the Moments Accountant): models configured for strong theoretical privacy (small ε) lose the utility a real deployment needs, while models configured for acceptable utility are vulnerable to membership inference at a level that, in their measurements, can approach that of a fully non-private model — the accuracy/privacy trade-off is not merely theoretical, it manifests as measurable leakage at the utility levels a deployment would actually choose. We perform the same class of measurement in a federated, cross-silo setting: three concrete DP placements ("dp-fedavg", "central", "local") evaluated against a Yeom/Shadow/LiRA attack hierarchy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 Our own composition accounting across FL rounds is naive, not RDP-based (§9); the gap Jayaraman and Evans document between naive and tighter composition is exactly why our reported multi-round privacy budget should be read as a conservative upper bound, not a tight guarantee. All three placements clip and noise at client granularity: the unit of protection is a client's per-round contribution as a whole — the notion McMahan et al. [3] formalize as client-level DP — not per-example DP-SGD (Abadi et al. [7]), which instead bounds the influence of a single training record. LiRA targets exactly that finer granularity: it asks whether one specific charging session, inside one client's local training set, can be detected as a member. None of our three placements is calibrated to bound a single record's contribution to its client's local training, so client-level clipping provides no formal guarantee at the granularity LiRA actually attacks. Our result is therefore an empirical measurement of whether a record-level attacker finds detectable leakage under a client-level DP configuration, not a claim that client-level DP formally protects individual sessions — the same gap between theoretical guarantee and empirical attack surface that motivates this paper's central question (§1).</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unmodified, LiRA's own parametric assumption that the shadow loss distribution is approximately Gaussian under both the IN and OUT hypotheses — an assumption we carry forward, not one we introduce.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and log a per-run skip rate for transparency.</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0.5155</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we pre-declared as evidence of detectable memorization.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held-out sibling sessions from the same site as a clean member/non-member comparison group.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reconstruction-loss AUC (no shadow calibration)</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on the same canaries</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target model's raw reconstruction loss cleanly and consistently distinguishes canary members from held-out canary non-members in every round at every site tested (canary members reconstruct 4–7× more accurately at Office 1; qualitatively similar separation at Caltech and JPL) — an unambiguous positive control at the loss level. The calibrated LiRA score is more nuanced. After fixing a shadow-sampling contamination bug (duplicate canary copies could previously fragment across a single shadow's IN/OUT split, diluting the differential signal LiRA's calibration relies on), calibrated LiRA on the Office 1 canaries — the densest insertion, ≈11% of that client's training set — detects the canary consistently across all three rounds (0.6375 / 0.6625 / 0.5875, composed 0.6875), above our pre-declared 0.60 threshold. It remains systematically weaker than the raw-loss signal, which we attribute to a separate, still-open limitation: LiRA's Gaussian calibration operates at its per-shadow variance floor in 96–99% of cases in this run rather than on genuine per-shadow variance. Replicating the identical protocol at Caltech and JPL — where duplicate density is far lower (≈0.5% of local training data, since both clients have larger local datasets than Office 1) — does not reproduce the calibrated-LiRA signal (Caltech composed AUC 0.42–0.50; JPL composed AUC 0.5368), consistent with a density-dependent effect. To isolate density from site, we re-ran the canary insertion at Caltech with density matched to Office 1's (≈10% of local training data, n_templates=84): calibrated LiRA still failed to detect the canary (AUC 0.46–0.53, near or below chance), so duplicate density alone does not fully explain the Office 1/Caltech gap either — the site-dependence of calibrated LiRA's canary sensitivity is only partially understood and is reported here as an open methodological nuance, not a resolved one. In every case this is a property of LiRA's calibration under an artificial near-duplicate-record design; natural EV sessions in our dataset are never literal duplicates of one another, so none of this extends to, or undermines,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0.5004 (σ=0.0030)</w:t>
            </w:r>
          </w:p>
        </w:tc>
        <w:tc>
          <w:tcPr>
            <w:tcW w:type="dxa" w:w="2340"/>
            <w:shd w:fill="F2F2F2" w:val="clear"/>
          </w:tcPr>
          <w:p>
            <w:r>
              <w:rPr>
                <w:sz w:val="18"/>
                <w:szCs w:val="18"/>
              </w:rPr>
              <w:t xml:space="preserve">[0.4977, 0.5025]</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0.5024 (σ=0.0049)</w:t>
            </w:r>
          </w:p>
        </w:tc>
        <w:tc>
          <w:tcPr>
            <w:tcW w:type="dxa" w:w="2340"/>
            <w:shd w:fill="F2F2F2" w:val="clear"/>
          </w:tcPr>
          <w:p>
            <w:r>
              <w:rPr>
                <w:sz w:val="18"/>
                <w:szCs w:val="18"/>
              </w:rPr>
              <w:t xml:space="preserve">[0.4987, 0.5062]</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0.5003 (σ=0.0032)</w:t>
            </w:r>
          </w:p>
        </w:tc>
        <w:tc>
          <w:tcPr>
            <w:tcW w:type="dxa" w:w="2340"/>
            <w:shd w:fill="F2F2F2" w:val="clear"/>
          </w:tcPr>
          <w:p>
            <w:r>
              <w:rPr>
                <w:sz w:val="18"/>
                <w:szCs w:val="18"/>
              </w:rPr>
              <w:t xml:space="preserve">[0.4977, 0.5026]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0.5020 (σ=0.0024)</w:t>
            </w:r>
          </w:p>
        </w:tc>
        <w:tc>
          <w:tcPr>
            <w:tcW w:type="dxa" w:w="2340"/>
            <w:shd w:fill="F2F2F2" w:val="clear"/>
          </w:tcPr>
          <w:p>
            <w:r>
              <w:rPr>
                <w:sz w:val="18"/>
                <w:szCs w:val="18"/>
              </w:rPr>
              <w:t xml:space="preserve">[0.5001, 0.5038]</w:t>
            </w:r>
          </w:p>
        </w:tc>
        <w:tc>
          <w:tcPr>
            <w:tcW w:type="dxa" w:w="2800"/>
            <w:shd w:fill="F2F2F2" w:val="clear"/>
          </w:tcPr>
          <w:p>
            <w:r>
              <w:rPr>
                <w:sz w:val="18"/>
                <w:szCs w:val="18"/>
              </w:rPr>
              <w:t xml:space="preserve">0.1875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bl>
    <w:p>
      <w:pPr>
        <w:spacing w:after="160"/>
      </w:pPr>
    </w:p>
    <w:p>
      <w:pPr>
        <w:spacing w:after="160"/>
        <w:jc w:val="both"/>
      </w:pPr>
      <w:r>
        <w:rPr>
          <w:b w:val="false"/>
          <w:bCs w:val="false"/>
          <w:i w:val="false"/>
          <w:iCs w:val="false"/>
        </w:rPr>
        <w:t xml:space="preserve">9 of the 10 configurations' 95% bootstrap CI contains 0.5, and no mean deviates from 0.5 by more than 0.0025 in absolute terms — still well over an order of magnitude tighter than the 0.60 positive-control threshold used in the sanity check (§6). The sole exception is central, ε=0.1, whose CI ([0.5001, 0.5038]) excludes 0.5 by a narrow margin; this is not Wilcoxon-significant (p=0.1875, the same n=5 floor discussed below) and its mean (0.5020) remains more than an order of magnitude below the 0.60 threshold, so we do not read it as evidence of a real DP-dependent leakage signal, but flag it explicitly rather than average it away.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0.5006 / 0.5056 / 0.5042 / 0.5063 (seeds 123 / 456 / 789 / 1234, post-fix; plus one pre-fix baseline seed 42, excluded from this average). local: composed LiRA AUC per seed 0.4977 / 0.5002 / 0.4963 / 0.5032 / 0.5021 (seeds 42 / 123 / 456 / 789 / 1234), 95% bootstrap CI [0.4976, 0.5022] — contains 0.5. central's mean (0.5042, n=4, 95% CI [0.5019, 0.5059]) sits further from 0.5 than the single-process simulation equivalent and, at this smaller n, its CI excludes 0.5; we do not read this as a genuine DP-placement effect — it remains two orders of magnitude below the 0.60 positive-control threshold, and n=4 is too small to draw a firm conclusion either way — but we flag it rather than describe both placements as simply “consistent.”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ε alone is not interpretable, and this section exists because of that gap: Rahman et al. [15] motivate their own study by noting that differential privacy "has always been criticized for not being able to provide an intuitive explanation of the privacy parameter ε," and aim to give ε a concrete empirical meaning by measuring the membership-inference success it actually permits. PES_v1 pursues the same goal for this project: instead of reporting ε alone, it reports a single risk score that folds the nominal DP budget together with the residual attack advantage actually observed.</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nine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 Client-level clipping only (§3.4): none of the three placements bounds a single record's contribution the way per-example DP-SGD does; implementing and evaluating true per-example DP-SGD as a fourth placement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0.6875, after fixing a shadow-sampling contamination bug),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w:t>
      </w:r>
    </w:p>
    <w:p>
      <w:pPr>
        <w:pStyle w:val="ListParagraph"/>
        <w:numPr>
          <w:ilvl w:val="0"/>
          <w:numId w:val="1"/>
        </w:numPr>
        <w:spacing w:after="90"/>
      </w:pPr>
      <w:r>
        <w:t xml:space="preserve">Composition across FL rounds is naive (ε_total = ε_per_round × rounds), not Rényi DP (RDP) or zCDP — a real gap: Jayaraman and Evans [14] show naive composition needs 50× the budget RDP needs for matched utility on a comparable task (§2), so our reported multi-round ε is a conservative (loose) upper bound, not a tight guarantee. This does not affect the MIA measurements themselves, which are empirical and independent of the composition bound used to state the theoretical budget. We additionally implemented the closed-form advanced-composition bound (Dwork and Roth [6], Theorem 3.20) and computed it for every completed experiment (epsilon_cumulative_advanced, scripts/compute_advanced_composition.py): at the T=10 rounds used throughout this campaign it is never tighter than the naive bound above — advanced composition is a large-round/small-ε asymptotic improvement that needs far more rounds than we run (analytically: ≥29 rounds at ε=0.1, ≥187 at ε=0.5, and never at ε=1.0, since ε ≥ ln(2)≈0.693 rules out any finite-round crossover). An RDP accountant specific to the Gaussian mechanism remains the more promising path to a tighter number and is not implemented — future work. 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160"/>
        <w:jc w:val="left"/>
      </w:pPr>
      <w:r>
        <w:rPr>
          <w:b w:val="false"/>
          <w:bCs w:val="false"/>
          <w:i w:val="false"/>
          <w:iCs w:val="false"/>
        </w:rPr>
        <w:t xml:space="preserve">[15] M. A. Rahman, T. Rahman, R. Laganière, N. Mohammed, and Y. Wang, "Membership Inference Attack against Differentially Private Deep Learning Model," Transactions on Data Privacy, vol. 11, no. 1, pp. 61–79, 2018.</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