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0.4995–0.5005 across 10 configurations, 5 seeds each, all 95% bootstrap CIs containing 0.5,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but only for centralized DP-SGD training on standard benchmarks.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unmodified, LiRA's own parametric assumption that the shadow loss distribution is approximately Gaussian under both the IN and OUT hypotheses — an assumption we carry forward, not one we introduce.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and log a per-run skip rate for transparency.</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0.5155</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we pre-declared as evidence of detectable memorization.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held-out sibling sessions from the same site as a clean member/non-member comparison group.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reconstruction-loss AUC (no shadow calibration)</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on the same canaries</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target model's raw reconstruction loss cleanly and consistently distinguishes canary members from held-out canary non-members in every round at every site tested (canary members reconstruct 4–7× more accurately at Office 1; qualitatively similar separation at Caltech and JPL) — an unambiguous positive control at the loss level. The calibrated LiRA score is more nuanced. After fixing a shadow-sampling contamination bug (duplicate canary copies could previously fragment across a single shadow's IN/OUT split, diluting the differential signal LiRA's calibration relies on), calibrated LiRA on the Office 1 canaries — the densest insertion, ≈11% of that client's training set — detects the canary consistently across all three rounds (0.6375 / 0.6625 / 0.5875, composed 0.6875), above our pre-declared 0.60 threshold. It remains systematically weaker than the raw-loss signal, which we attribute to a separate, still-open limitation: LiRA's Gaussian calibration operates at its per-shadow variance floor in 96–99% of cases in this run rather than on genuine per-shadow variance. Replicating the identical protocol at Caltech and JPL — where duplicate density is far lower (≈0.5% of local training data, since both clients have larger local datasets than Office 1) — does not reproduce the calibrated-LiRA signal (Caltech composed AUC 0.42–0.50; JPL composed AUC 0.5368), consistent with a density-dependent effect. To isolate density from site, we re-ran the canary insertion at Caltech with density matched to Office 1's (≈10% of local training data, n_templates=84): calibrated LiRA still failed to detect the canary (AUC 0.46–0.53, near or below chance), so duplicate density alone does not fully explain the Office 1/Caltech gap either — the site-dependence of calibrated LiRA's canary sensitivity is only partially understood and is reported here as an open methodological nuance, not a resolved one.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0.5003 (σ=0.0008)</w:t>
            </w:r>
          </w:p>
        </w:tc>
        <w:tc>
          <w:tcPr>
            <w:tcW w:type="dxa" w:w="2340"/>
            <w:shd w:fill="F2F2F2" w:val="clear"/>
          </w:tcPr>
          <w:p>
            <w:r>
              <w:rPr>
                <w:sz w:val="18"/>
                <w:szCs w:val="18"/>
              </w:rPr>
              <w:t xml:space="preserve">[0.4997, 0.5009]</w:t>
            </w:r>
          </w:p>
        </w:tc>
        <w:tc>
          <w:tcPr>
            <w:tcW w:type="dxa" w:w="2800"/>
            <w:shd w:fill="F2F2F2" w:val="clear"/>
          </w:tcPr>
          <w:p>
            <w:r>
              <w:rPr>
                <w:sz w:val="18"/>
                <w:szCs w:val="18"/>
              </w:rPr>
              <w:t xml:space="preserve">0.6250</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0.5005 (σ=0.0012)</w:t>
            </w:r>
          </w:p>
        </w:tc>
        <w:tc>
          <w:tcPr>
            <w:tcW w:type="dxa" w:w="2340"/>
            <w:shd w:fill="F2F2F2" w:val="clear"/>
          </w:tcPr>
          <w:p>
            <w:r>
              <w:rPr>
                <w:sz w:val="18"/>
                <w:szCs w:val="18"/>
              </w:rPr>
              <w:t xml:space="preserve">[0.4996, 0.5014]</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0.5005 (σ=0.0009)</w:t>
            </w:r>
          </w:p>
        </w:tc>
        <w:tc>
          <w:tcPr>
            <w:tcW w:type="dxa" w:w="2340"/>
            <w:shd w:fill="F2F2F2" w:val="clear"/>
          </w:tcPr>
          <w:p>
            <w:r>
              <w:rPr>
                <w:sz w:val="18"/>
                <w:szCs w:val="18"/>
              </w:rPr>
              <w:t xml:space="preserve">[0.4998,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0.5000 (σ=0.0004)</w:t>
            </w:r>
          </w:p>
        </w:tc>
        <w:tc>
          <w:tcPr>
            <w:tcW w:type="dxa" w:w="2340"/>
            <w:shd w:fill="F2F2F2" w:val="clear"/>
          </w:tcPr>
          <w:p>
            <w:r>
              <w:rPr>
                <w:sz w:val="18"/>
                <w:szCs w:val="18"/>
              </w:rPr>
              <w:t xml:space="preserve">[0.4996, 0.5003]</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0.4995 (σ=0.0010)</w:t>
            </w:r>
          </w:p>
        </w:tc>
        <w:tc>
          <w:tcPr>
            <w:tcW w:type="dxa" w:w="2340"/>
            <w:shd w:fill="F2F2F2" w:val="clear"/>
          </w:tcPr>
          <w:p>
            <w:r>
              <w:rPr>
                <w:sz w:val="18"/>
                <w:szCs w:val="18"/>
              </w:rPr>
              <w:t xml:space="preserve">[0.4987,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0.4999 (σ=0.0009)</w:t>
            </w:r>
          </w:p>
        </w:tc>
        <w:tc>
          <w:tcPr>
            <w:tcW w:type="dxa" w:w="2340"/>
            <w:shd w:fill="F2F2F2" w:val="clear"/>
          </w:tcPr>
          <w:p>
            <w:r>
              <w:rPr>
                <w:sz w:val="18"/>
                <w:szCs w:val="18"/>
              </w:rPr>
              <w:t xml:space="preserve">[0.4992, 0.5007]</w:t>
            </w:r>
          </w:p>
        </w:tc>
        <w:tc>
          <w:tcPr>
            <w:tcW w:type="dxa" w:w="2800"/>
            <w:shd w:fill="F2F2F2" w:val="clear"/>
          </w:tcPr>
          <w:p>
            <w:r>
              <w:rPr>
                <w:sz w:val="18"/>
                <w:szCs w:val="18"/>
              </w:rPr>
              <w:t xml:space="preserve">1.0000</w:t>
            </w:r>
          </w:p>
        </w:tc>
      </w:tr>
    </w:tbl>
    <w:p>
      <w:pPr>
        <w:spacing w:after="160"/>
      </w:pPr>
    </w:p>
    <w:p>
      <w:pPr>
        <w:spacing w:after="160"/>
        <w:jc w:val="both"/>
      </w:pPr>
      <w:r>
        <w:rPr>
          <w:b w:val="false"/>
          <w:bCs w:val="false"/>
          <w:i w:val="false"/>
          <w:iCs w:val="false"/>
        </w:rPr>
        <w:t xml:space="preserve">Every one of the 10 configurations' 95% bootstrap CI contains 0.5, and no mean deviates from 0.5 by more than 0.0005 in absolute terms — an order of magnitude tighter than the 0.60 positive-control threshold used in the sanity check (§6).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0.5000 / 0.5015 / 0.5003 / 0.5012 (seeds 123 / 456 / 789 / 1234, post-fix; plus one pre-fix baseline seed 42). local: composed LiRA AUC per seed 0.4993 / 0.5007 / 0.4991 / 0.5003 / 0.5007 (seeds 42 / 123 / 456 / 789 / 1234), 95% bootstrap CI [0.4994, 0.5006] — contains 0.5. Both are consistent with the single-process simulation results above;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eight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