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i w:val="false"/>
          <w:iCs w:val="false"/>
          <w:sz w:val="28"/>
          <w:szCs w:val="28"/>
        </w:rPr>
        <w:t xml:space="preserve">ChargeShield-FL: Un ML Plane Event-Driven e un Privacy Auditor per Misurare l'Efficacia della Privacy Differenziale contro il Membership Inference in Sistemi Federati di Ricarica per Veicoli Elettrici</w:t>
      </w:r>
    </w:p>
    <w:p>
      <w:pPr>
        <w:spacing w:after="160"/>
        <w:jc w:val="center"/>
      </w:pPr>
      <w:r>
        <w:rPr>
          <w:b w:val="false"/>
          <w:bCs w:val="false"/>
          <w:i/>
          <w:iCs/>
        </w:rPr>
        <w:t xml:space="preserve">[Autori e affiliazioni rimossi per la revisione in doppio cieco]</w:t>
      </w:r>
    </w:p>
    <w:p>
      <w:pPr>
        <w:spacing w:after="160"/>
        <w:jc w:val="center"/>
      </w:pPr>
      <w:r>
        <w:rPr>
          <w:b w:val="false"/>
          <w:bCs w:val="false"/>
          <w:i/>
          <w:iCs/>
        </w:rPr>
        <w:t xml:space="preserve">Categoria del paper: Regular Paper (11 pagine) — da confermare, vedi nota</w:t>
      </w:r>
    </w:p>
    <w:p>
      <w:pPr>
        <w:spacing w:after="160"/>
        <w:jc w:val="both"/>
      </w:pPr>
      <w:r>
        <w:rPr>
          <w:b w:val="false"/>
          <w:bCs w:val="false"/>
          <w:i/>
          <w:iCs/>
        </w:rPr>
        <w:t xml:space="preserve">NOTA DI PROGETTO (rimuovere prima della submission): questa è una versione italiana di lavoro del contenuto del paper, richiesta esplicitamente dall'autrice per la stesura e revisione interna — NON ancora formattata nel template IEEE a due colonne 8.5"×11" richiesto da DSN 2027. La submission finale a DSN 2027 deve essere in inglese (vedi CFP): questa versione italiana è un documento di lavoro parallelo alla versione inglese in docs/paper/ChargeShield-FL_DSN2027_paper_skeleton.docx, che resta l'unica fonte per la submission — ogni modifica di contenuto va fatta su ENTRAMBE le versioni, o quantomeno riportata dall'una all'altra prima della submission finale.</w:t>
      </w:r>
    </w:p>
    <w:p>
      <w:pPr>
        <w:pStyle w:val="Heading2"/>
        <w:spacing w:after="120" w:before="220"/>
      </w:pPr>
      <w:r>
        <w:t xml:space="preserve">Abstract (max 150 parole, prima pagina — bozza)</w:t>
      </w:r>
    </w:p>
    <w:p>
      <w:pPr>
        <w:spacing w:after="160"/>
        <w:jc w:val="both"/>
      </w:pPr>
      <w:r>
        <w:rPr>
          <w:b w:val="false"/>
          <w:bCs w:val="false"/>
          <w:i w:val="false"/>
          <w:iCs w:val="false"/>
        </w:rPr>
        <w:t xml:space="preserve">Il Federated Learning (FL) viene sempre più proposto per addestrare modelli condivisi su infrastrutture critiche senza centralizzare i dati grezzi, ma se la privacy differenziale (DP) applicata al canale di comunicazione FL prevenga davvero il leakage da membership inference proveniente dal calcolo sottostante resta una domanda empirica aperta. Presentiamo ChargeShield-FL, costruito attorno a due componenti agnostici rispetto al dominio applicativo — un ML Plane event-driven e un Privacy Auditor in tempo reale — validati tramite un caso di studio reale sulla ricarica di veicoli elettrici (ACN-Data, tre siti reali) usando tre collocazioni della DP e una gerarchia di attacchi Yeom/Shadow/LiRA, sia in simulazione sia in un deployment reale multi-container NVFLARE/Containerlab. In ogni configurazione DP testata, inclusa l'assenza di DP, non troviamo alcun segnale di membership rilevabile da LiRA (AUC-ROC composto 0.4975–0.5024 su 10 configurazioni, 5 seed ciascuna; 9 su 10 intervalli di confidenza bootstrap al 95% contengono 0.5, il decimo — central, ε=0.1 — lo esclude per un margine ristretto senza raggiungere la significatività di Wilcoxon; confermato con un vero test di Wilcoxon a rango con segno). Un'estesa verifica di sanità su cinque assi indipendenti (epoche di training, capacità del modello, informatività delle feature, la loro combinazione, e la popolazione di training) esclude che uno strumento di attacco insensibile sia la spiegazione. Riportiamo questo risultato nullo, la sua validazione statistica, e le sue implicazioni per la valutazione delle claim di privacy del FL nella pratica.</w:t>
      </w:r>
    </w:p>
    <w:p>
      <w:pPr>
        <w:spacing w:after="160"/>
        <w:jc w:val="both"/>
      </w:pPr>
      <w:r>
        <w:rPr>
          <w:b w:val="false"/>
          <w:bCs w:val="false"/>
          <w:i/>
          <w:iCs/>
        </w:rPr>
        <w:t xml:space="preserve">[~175 parole — da rifinire a ≤150 in fase di editing finale.]</w:t>
      </w:r>
    </w:p>
    <w:p>
      <w:pPr>
        <w:pStyle w:val="Heading1"/>
        <w:spacing w:after="140" w:before="280"/>
      </w:pPr>
      <w:r>
        <w:t xml:space="preserve">1. Introduzione</w:t>
      </w:r>
    </w:p>
    <w:p>
      <w:pPr>
        <w:spacing w:after="160"/>
        <w:jc w:val="both"/>
      </w:pPr>
      <w:r>
        <w:rPr>
          <w:b w:val="false"/>
          <w:bCs w:val="false"/>
          <w:i w:val="false"/>
          <w:iCs w:val="false"/>
        </w:rPr>
        <w:t xml:space="preserve">Il Federated Learning (FL) viene sempre più proposto come percorso per preservare la privacy nell'addestramento di modelli condivisi su infrastrutture critiche — smart grid, reti di ricarica per veicoli elettrici, sistemi di controllo industriale — dove centralizzare i dati operativi grezzi rappresenta sia un rischio normativo che di sicurezza. Se il FL mantenga davvero questa promessa in deployment realistici, in stile produzione, è una domanda empirica a cui la ricerca attuale risponde in modo frammentario: un paper per ogni attacco, un dataset per ogni paper, raramente un vero framework FL di produzione, raramente un dataset industriale reale.</w:t>
      </w:r>
    </w:p>
    <w:p>
      <w:pPr>
        <w:spacing w:after="160"/>
        <w:jc w:val="both"/>
      </w:pPr>
      <w:r>
        <w:rPr>
          <w:b w:val="false"/>
          <w:bCs w:val="false"/>
          <w:i w:val="false"/>
          <w:iCs w:val="false"/>
        </w:rPr>
        <w:t xml:space="preserve">Questa frammentazione non è casuale: secondo la survey di Wahab et al. [14], su 130 articoli sul FL pubblicati tra il 2016 e il 2020, il 50% ha affrontato sfide statistiche e di comunicazione, il 14% la selezione e pianificazione dei client, e il 7% questioni di pricing — mentre solo il 29% si è occupato di privacy e sicurezza. La domanda pratica se la DP applicata al canale FL prevenga davvero il leakage dal calcolo sottostante resta quindi relativamente sotto-esplorata rispetto alle altre dimensioni del problema, nonostante sia proprio la privacy la promessa centrale spesso usata per giustificare l'adozione del FL su infrastrutture critiche — la motivazione diretta di questo lavoro.</w:t>
      </w:r>
    </w:p>
    <w:p>
      <w:pPr>
        <w:spacing w:after="160"/>
        <w:jc w:val="both"/>
      </w:pPr>
      <w:r>
        <w:rPr>
          <w:b w:val="false"/>
          <w:bCs w:val="false"/>
          <w:i w:val="false"/>
          <w:iCs w:val="false"/>
        </w:rPr>
        <w:t xml:space="preserve">Presentiamo ChargeShield-FL, costruito attorno a due componenti agnostici rispetto al dominio: l'ML Plane, un substrato di osservabilità event-driven che qualunque ciclo di training FL può collegare senza accoppiare il codice di training a chi lo osserva, e il Privacy Auditor, un auditor del rischio di membership inference guidato da configurazione e in tempo reale, che consuma ciò che l'ML Plane osserva per segnalare il rischio di privacy per nodo e per round, indipendentemente da uno specifico attacco. Usando dati reali di sessioni di ricarica EV (ACN-Data, tre siti: Caltech, JPL, Office 1) come caso di studio — non dati sintetici che fingono di rappresentare un deployment reale — instanziamo una suite di attacchi benchmark collegabile (Yeom, Shadow-model MIA, e LiRA) contro questa architettura per rispondere alla domanda praticamente rilevante: la privacy differenziale applicata al canale di comunicazione FL impedisce davvero il leakage di privacy che il Privacy Auditor è costruito per rilevare, o rende solo il canale stesso apparentemente privato mentre il calcolo sottostante continua a perdere informazione?</w:t>
      </w:r>
    </w:p>
    <w:p>
      <w:pPr>
        <w:spacing w:after="160"/>
        <w:jc w:val="both"/>
      </w:pPr>
      <w:r>
        <w:rPr>
          <w:b w:val="false"/>
          <w:bCs w:val="false"/>
          <w:i w:val="false"/>
          <w:iCs w:val="false"/>
        </w:rPr>
        <w:t xml:space="preserve">Un job/app NVFLARE gemello che implementa la stessa pipeline gira su una federazione Containerlab/Docker multi-container reale, non solo un'impalcatura di simulazione. I nostri risultati, sotto un'implementazione di LiRA corretta e ri-verificata in modo indipendente, convergono attraverso test indipendenti — una simulazione locale, uno sweep completo delle modalità DP, e il deployment multi-container reale — su un unico risultato: nessun segnale di membership rilevabile da LiRA sopravvive in questa architettura, sotto nessuna configurazione DP testata, inclusa l'assenza totale di DP. Poiché un risultato nullo di questo tipo è informativo solo se lo strumento di misura stesso è noto per essere sensibile, abbiamo progettato ed eseguito un'estesa verifica di sanità su cinque assi indipendenti — variando epoche di training, capacità del modello, informatività delle feature, la loro combinazione, e la popolazione di training — per escludere che uno strumento di attacco insensibile sia la spiegazione.</w:t>
      </w:r>
    </w:p>
    <w:p>
      <w:pPr>
        <w:pStyle w:val="Heading2"/>
        <w:spacing w:after="120" w:before="220"/>
      </w:pPr>
      <w:r>
        <w:t xml:space="preserve">1.1 Contributi</w:t>
      </w:r>
    </w:p>
    <w:p>
      <w:pPr>
        <w:pStyle w:val="ListParagraph"/>
        <w:numPr>
          <w:ilvl w:val="0"/>
          <w:numId w:val="1"/>
        </w:numPr>
        <w:spacing w:after="90"/>
      </w:pPr>
      <w:r>
        <w:t xml:space="preserve">L'ML Plane (§3.1): un substrato di osservabilità event-driven, agnostico rispetto al dominio, per il training FL, che disaccoppia il codice di training da chi lo osserva.</w:t>
      </w:r>
    </w:p>
    <w:p>
      <w:pPr>
        <w:pStyle w:val="ListParagraph"/>
        <w:numPr>
          <w:ilvl w:val="0"/>
          <w:numId w:val="1"/>
        </w:numPr>
        <w:spacing w:after="90"/>
      </w:pPr>
      <w:r>
        <w:t xml:space="preserve">Il Privacy Auditor (§3.2): un auditor generico, guidato da configurazione, del rischio di membership inference, che opera sull'aggiornamento del modello di qualunque nodo come un dizionario numerico piatto, indipendentemente dal dominio o dall'attacco.</w:t>
      </w:r>
    </w:p>
    <w:p>
      <w:pPr>
        <w:pStyle w:val="ListParagraph"/>
        <w:numPr>
          <w:ilvl w:val="0"/>
          <w:numId w:val="1"/>
        </w:numPr>
        <w:spacing w:after="90"/>
      </w:pPr>
      <w:r>
        <w:t xml:space="preserve">Un caso di studio empirico su dati reali e multi-sito di ricarica EV (ACN-Data) e un deployment NVFLARE/Containerlab containerizzato reale, che valuta tre collocazioni della DP contro una gerarchia di attacchi a tre livelli (§5).</w:t>
      </w:r>
    </w:p>
    <w:p>
      <w:pPr>
        <w:pStyle w:val="ListParagraph"/>
        <w:numPr>
          <w:ilvl w:val="0"/>
          <w:numId w:val="1"/>
        </w:numPr>
        <w:spacing w:after="90"/>
      </w:pPr>
      <w:r>
        <w:t xml:space="preserve">Un risultato nullo rigorosamente validato — nessun leakage rilevabile da LiRA sotto nessuna configurazione DP testata — supportato da intervalli di confidenza bootstrap, un test di significatività di Wilcoxon/segno, e la rendicontazione del TPR@low-FPR (§7).</w:t>
      </w:r>
    </w:p>
    <w:p>
      <w:pPr>
        <w:pStyle w:val="ListParagraph"/>
        <w:numPr>
          <w:ilvl w:val="0"/>
          <w:numId w:val="1"/>
        </w:numPr>
        <w:spacing w:after="90"/>
      </w:pPr>
      <w:r>
        <w:t xml:space="preserve">Un'estesa metodologia di verifica di sanità a cinque assi (§6) che distingue "lo strumento di attacco non riesce a rilevare la memorizzazione" da "questa architettura genuinamente non perde informazione a questa scala" — essa stessa un pattern di validazione riutilizzabile per risultati nulli di MIA nella ricerca sulla privacy in FL.</w:t>
      </w:r>
    </w:p>
    <w:p>
      <w:pPr>
        <w:pStyle w:val="ListParagraph"/>
        <w:numPr>
          <w:ilvl w:val="0"/>
          <w:numId w:val="1"/>
        </w:numPr>
        <w:spacing w:after="90"/>
      </w:pPr>
      <w:r>
        <w:t xml:space="preserve">PES_v1 (§8), un punteggio composito di esposizione alla privacy che combina il vantaggio residuo dell'attacco e il budget DP nominale, con una fondazione teorica informale rispetto ai limiti di membership-advantage di Yeom (2018) / Humphries et al. (2020).</w:t>
      </w:r>
    </w:p>
    <w:p>
      <w:pPr>
        <w:pStyle w:val="Heading1"/>
        <w:spacing w:after="140" w:before="280"/>
      </w:pPr>
      <w:r>
        <w:t xml:space="preserve">2. Lavori Correlati</w:t>
      </w:r>
    </w:p>
    <w:p>
      <w:pPr>
        <w:spacing w:after="160"/>
        <w:jc w:val="both"/>
      </w:pPr>
      <w:r>
        <w:rPr>
          <w:b w:val="false"/>
          <w:bCs w:val="false"/>
          <w:i w:val="false"/>
          <w:iCs w:val="false"/>
        </w:rPr>
        <w:t xml:space="preserve">Gli attacchi di membership inference (MIA) sono stati introdotti da Shokri et al. [1] e formalizzati rispetto alla connessione con l'overfitting basata sulla loss da Yeom et al. [1a]; Carlini et al. [2] hanno introdotto il Likelihood-Ratio Attack (LiRA), il più forte dei tre attacchi della nostra gerarchia e l'attacco primario sotto cui sono riportati i risultati di questo paper. Nasr et al. [5] estendono l'analisi MIA al contesto federato con avversari white-box attivi e passivi. Il nostro modello di minaccia (§4) mira all'aggregatore passivo, honest-but-curious — una capacità più debole e più realistica rispetto all'avversario attivo di Nasr et al., scelta deliberatamente per corrispondere a un operatore semi-fidato piuttosto che a un attaccante nel caso peggiore.</w:t>
      </w:r>
    </w:p>
    <w:p>
      <w:pPr>
        <w:spacing w:after="160"/>
        <w:jc w:val="both"/>
      </w:pPr>
      <w:r>
        <w:rPr>
          <w:b w:val="false"/>
          <w:bCs w:val="false"/>
          <w:i w:val="false"/>
          <w:iCs w:val="false"/>
        </w:rPr>
        <w:t xml:space="preserve">La privacy differenziale per il FL segue il DP-FedAvg di McMahan et al. [3] (la nostra collocazione DP "central" — clipping lato client, una singola estrazione di rumore lato server sull'aggregato) e il Meccanismo Gaussiano fondazionale di Dwork et al. [6] e il DP-SGD di Abadi et al. [7]. Valutiamo inoltre due collocazioni di rumore per-client ("dp-fedavg" e "local") che sono più stringenti dell'Algoritmo 1 letterale di McMahan et al. e, per quanto ne sappiamo, non valutate insieme ad attacchi della forza di LiRA altrove in letteratura. FedProx [4] è alla base della nostra aggregazione FL con termine prossimale, che si riduce al FedAvg standard [3a] quando proximal_mu=0.0.</w:t>
      </w:r>
    </w:p>
    <w:p>
      <w:pPr>
        <w:spacing w:after="160"/>
        <w:jc w:val="both"/>
      </w:pPr>
      <w:r>
        <w:rPr>
          <w:b w:val="false"/>
          <w:bCs w:val="false"/>
          <w:i w:val="false"/>
          <w:iCs w:val="false"/>
        </w:rPr>
        <w:t xml:space="preserve">La differential privacy è definita per occultare se un singolo record abbia partecipato al training, mentre gli attacchi di inferenza di appartenenza sono definiti per rilevare esattamente questa presenza o assenza — un'opposizione concettuale diretta che Jayaraman e Evans [15] richiamano per motivare l'auditing empirico tramite MIA come test naturale per verificare se una garanzia DP valga davvero in pratica, anziché fidarsi solo del limite teorico. Forniscono inoltre la misurazione empirica pregressa più vicina del divario tra la garanzia teorica della differential privacy (ε) e il leakage effettivamente estraibile da un attacco reale, mostrando che diverse nozioni di DP rilassate riducono il rumore necessario per un'utilità accettabile a un costo misurabile in maggiore leakage da membership inference — concretamente, la Differential Privacy di Rényi (RDP) eguaglia l'utilità della composizione naive con un budget 50× più stretto (53% di perdita di accuratezza a ε=10 contro ε=500 per la stessa perdita sotto composizione naive) su un benchmark di classificazione a rete neurale, eppure un attaccante white-box di membership inference raggiunge comunque un vantaggio di 0.399 contro il modello allenato con RDP a ε=1000 — ma solo per training DP-SGD centralizzato su benchmark standard. Il costo della composizione naive che questo divario descrive può essere estremo in pratica: Rahman et al. [16] osservano che il meccanismo SGD distribuito di Shokri e Shmatikov, che perturba i gradienti per-parametro, fornisce solo ε&gt;2 per parametro e — composto naivamente su circa 300.000 parametri — un ε totale che supera 600.000, il che secondo gli autori non fornisce alcuna garanzia di privacy significativa. Lo stesso paper riporta un risultato complementare specifico per il DP-SGD di Abadi et al. (calibrato tramite il Moments Accountant): i modelli configurati per una privacy teorica forte (ε piccolo) perdono l'utilità di cui un deployment reale ha bisogno, mentre i modelli configurati per un'utilità accettabile sono vulnerabili alla membership inference a un livello che, nelle loro misurazioni, può avvicinarsi a quello di un modello totalmente non privato — il trade-off accuratezza/privacy non è solo teorico, si manifesta come leakage misurabile ai livelli di utilità che un deployment sceglierebbe davvero. Noi eseguiamo la stessa classe di misurazione in un contesto federato cross-silo: tre collocazioni DP concrete ("dp-fedavg", "central", "local") valutate contro una gerarchia di attacchi Yeom/Shadow/LiRA su client di ricarica EV reali e organizzativamente distinti (ACN-Data), anziché un singolo modello centralizzato su dati di benchmark standard. Dove le loro misurazioni rilevano effettivamente leakage nelle configurazioni testate, la nostra restituisce invece un risultato nullo — nessun leakage rilevabile da LiRA in nessuna collocazione o ε testato, DP assente inclusa — un esito più difficile da riportare responsabilmente, poiché un segnale assente è compatibile anche con uno strumento di misura poco sensibile, non solo con un rischio di privacy assente. Affrontiamo questo punto direttamente con il sanity-check a cinque assi e il controllo positivo tramite inserimento di canary del §6, che escludono un harness d'attacco poco sensibile come spiegazione del risultato nullo. Infine, il nostro ML Plane e il Privacy Auditor (§3) trasformano la domanda empirica centrale di Jayaraman e Evans — la garanzia teorica vale davvero in pratica? — in un livello di osservabilità permanente e riutilizzabile, disaccoppiato dal training loop, anziché uno script di misurazione una tantum: la stessa architettura che ha prodotto il risultato di questo paper può, senza modifiche, essere puntata su un attacco, un dataset o una configurazione DP diversi per porre di nuovo la stessa domanda.</w:t>
      </w:r>
    </w:p>
    <w:p>
      <w:pPr>
        <w:spacing w:after="160"/>
        <w:jc w:val="both"/>
      </w:pPr>
      <w:r>
        <w:rPr>
          <w:b w:val="false"/>
          <w:bCs w:val="false"/>
          <w:i w:val="false"/>
          <w:iCs w:val="false"/>
        </w:rPr>
        <w:t xml:space="preserve">L'aggregazione Byzantine-robust (Krum [9], e le varianti CUSUM/cosine-similarity) è usata nel nostro livello di difesa ByzantineDetector, ma — come argomentiamo esplicitamente in §4 — appartiene a un dominio di minaccia formalmente separato (integrità lato client, Scenario 2) dalla domanda sulla privacy a cui risponde questo paper (osservazione passiva lato server, Scenario 1); nessun meccanismo di integrità è qui rivendicato come mitigazione del MIA, correggendo una conflazione che abbiamo trovato e respinto durante il nostro stesso processo di revisione (vedi §4.3).</w:t>
      </w:r>
    </w:p>
    <w:p>
      <w:pPr>
        <w:spacing w:after="160"/>
        <w:jc w:val="both"/>
      </w:pPr>
      <w:r>
        <w:rPr>
          <w:b w:val="false"/>
          <w:bCs w:val="false"/>
          <w:i w:val="false"/>
          <w:iCs w:val="false"/>
        </w:rPr>
        <w:t xml:space="preserve">ChargeShield-FL specializza ed estende una precedente proposta architetturale, Imperatrice &amp; Romano [12], che introduce l'astrazione dell'ML Plane e il modello di minaccia dell'aggregatore honest-but-curious per un testbed generico di intrusion-detection Smart Grid/OT, con esperimenti FedMIA riportati come non ancora completati. Questo paper trasforma quell'architettura in un deployment concreto, su dati reali, di ricarica EV: tre collocazioni DP reali (contro una), una gerarchia di attacchi a tre livelli che include LiRA (contro una singola variante FedMIA), un livello IDS difensivo, e — criticamente — risultati empirici completati e ri-verificati in modo indipendente sia in simulazione che in un deployment multi-container reale.</w:t>
      </w:r>
    </w:p>
    <w:p>
      <w:pPr>
        <w:spacing w:after="160"/>
        <w:jc w:val="both"/>
      </w:pPr>
      <w:r>
        <w:rPr>
          <w:b w:val="false"/>
          <w:bCs w:val="false"/>
          <w:i w:val="false"/>
          <w:iCs w:val="false"/>
        </w:rPr>
        <w:t xml:space="preserve">Inquadriamo il nostro setup a tre siti reali usando la tassonomia di Enterprise Cross-Silo Federated Learning di Kairouz et al. [13] — pochi partecipanti, grandi, organizzativamente distinti — in contrapposizione ai molti piccoli client inaffidabili del cross-device FL; sosteniamo che questo dia una validità ecologica maggiore rispetto ai setup a dataset singolo sinteticamente frammentati comuni nella letteratura sulla privacy in FL, al costo esplicito della scala del numero di client (§9).</w:t>
      </w:r>
    </w:p>
    <w:p>
      <w:pPr>
        <w:pStyle w:val="Heading1"/>
        <w:spacing w:after="140" w:before="280"/>
      </w:pPr>
      <w:r>
        <w:t xml:space="preserve">3. Architettura del Sistema</w:t>
      </w:r>
    </w:p>
    <w:p>
      <w:pPr>
        <w:pStyle w:val="Heading2"/>
        <w:spacing w:after="120" w:before="220"/>
      </w:pPr>
      <w:r>
        <w:t xml:space="preserve">3.1 L'ML Plane</w:t>
      </w:r>
    </w:p>
    <w:p>
      <w:pPr>
        <w:spacing w:after="160"/>
        <w:jc w:val="both"/>
      </w:pPr>
      <w:r>
        <w:rPr>
          <w:b w:val="false"/>
          <w:bCs w:val="false"/>
          <w:i w:val="false"/>
          <w:iCs w:val="false"/>
        </w:rPr>
        <w:t xml:space="preserve">L'ML Plane è un substrato di osservabilità event-driven, agnostico rispetto al dominio, per il training FL. Ogni componente di training/DP/aggregazione (trainer locale, gestore gradiente/DP, aggregatore FedAvg) espone una coppia emit_event()/subscribe() rispetto a un'interfaccia astratta comune; un hub centrale si collega a tutti loro, e un collector assembla gli aggiornamenti grezzi e privatizzati di ogni round senza che il ciclo di training stesso sappia che qualcuno sta ascoltando. Nulla in questo livello è specifico per EV o per un attacco specifico — si collega in modo identico a qualunque ciclo di training FL che emetta gli stessi tre tipi di evento (aggiornamento locale prodotto, aggiornamento privatizzato, round aggregato).</w:t>
      </w:r>
    </w:p>
    <w:p>
      <w:pPr>
        <w:pStyle w:val="Heading2"/>
        <w:spacing w:after="120" w:before="220"/>
      </w:pPr>
      <w:r>
        <w:t xml:space="preserve">3.2 Il Privacy Auditor</w:t>
      </w:r>
    </w:p>
    <w:p>
      <w:pPr>
        <w:spacing w:after="160"/>
        <w:jc w:val="both"/>
      </w:pPr>
      <w:r>
        <w:rPr>
          <w:b w:val="false"/>
          <w:bCs w:val="false"/>
          <w:i w:val="false"/>
          <w:iCs w:val="false"/>
        </w:rPr>
        <w:t xml:space="preserve">Il Privacy Auditor è un auditor generico, guidato da configurazione, del rischio di membership inference: dato l'aggiornamento del modello di un nodo qualsiasi come dizionario piatto di pesi numerici, calcola un proxy di sensibilità del gradiente, traccia il consumo cumulativo del budget DP per nodo attraverso i round, e segnala minacce (esplosione del gradiente, budget di privacy vicino/completamente esaurito) — senza alcuna dipendenza dalla semantica della ricarica EV, dall'architettura del modello, o da un attacco specifico. È telemetria di privacy in tempo reale, sempre attiva, complementare a (e architetturalmente indipendente da) qualunque attacco benchmark venga eseguito offline contro gli stessi dati di round per una misurazione completa e post-hoc del leakage.</w:t>
      </w:r>
    </w:p>
    <w:p>
      <w:pPr>
        <w:pStyle w:val="Heading2"/>
        <w:spacing w:after="120" w:before="220"/>
      </w:pPr>
      <w:r>
        <w:t xml:space="preserve">3.3 ByzantineDetector: un dominio di integrità formalmente separato</w:t>
      </w:r>
    </w:p>
    <w:p>
      <w:pPr>
        <w:spacing w:after="160"/>
        <w:jc w:val="both"/>
      </w:pPr>
      <w:r>
        <w:rPr>
          <w:b w:val="false"/>
          <w:bCs w:val="false"/>
          <w:i w:val="false"/>
          <w:iCs w:val="false"/>
        </w:rPr>
        <w:t xml:space="preserve">ByzantineDetector (Krum, cosine-similarity, CUSUM, rilevamento di esplosione del gradiente) protegge la convergenza del FL da client Byzantine/di poisoning — una preoccupazione di integrità lato client (Scenario 2 nel nostro modello di minaccia, §4). Dichiariamo esplicitamente, avendo trovato e corretto una nostra precedente conflazione di questo punto durante lo sviluppo: nessun meccanismo IDS fornisce alcuna garanzia di privacy contro il server honest-but-curious di cui si occupano i risultati MIA di questo paper. Integrità e privacy sono due domini ortogonali in questa architettura; ByzantineDetector non è mai citato qui come difesa MIA, attiva o passiva.</w:t>
      </w:r>
    </w:p>
    <w:p>
      <w:pPr>
        <w:pStyle w:val="Heading2"/>
        <w:spacing w:after="120" w:before="220"/>
      </w:pPr>
      <w:r>
        <w:t xml:space="preserve">3.4 Tre Collocazioni della Privacy Differenziale</w:t>
      </w:r>
    </w:p>
    <w:p>
      <w:pPr>
        <w:spacing w:after="160"/>
        <w:jc w:val="both"/>
      </w:pPr>
      <w:r>
        <w:rPr>
          <w:b w:val="false"/>
          <w:bCs w:val="false"/>
          <w:i w:val="false"/>
          <w:iCs w:val="false"/>
        </w:rPr>
        <w:t xml:space="preserve">Valutiamo tre collocazioni del clipping degli aggiornamenti client e dell'aggiunta di rumore Gaussiano rispetto all'aggregazione FedAvg: dp-fedavg (clip + rumore per-client prima dell'aggregazione — il server osserva transitoriamente l'aggiornamento grezzo, esattamente ciò che LiRA è costruito per attaccare); central (solo clip lato client, una singola estrazione di rumore a livello di aggregato dopo il FedAvg — corrisponde letteralmente all'Algoritmo 1 di McMahan et al. [3]; i contributi dei singoli client non vengono mai rumorizzati); e local (clip + rumore per-client, con l'aggiornamento grezzo mai trasmesso o osservato dal server, nemmeno transitoriamente). Il nostro conteggio della composizione attraverso i round FL è naive, non basato su RDP (§9); il divario che Jayaraman ed Evans documentano tra composizione naive e composizione più stretta è esattamente il motivo per cui il nostro budget di privacy multi-round riportato va letto come un limite superiore conservativo, non una garanzia stretta. Tutte e tre le collocazioni clippano e rumorizzano a granularità client: l'unità di protezione è il contributo per-round di un client nel suo insieme — la nozione che McMahan et al. [3] formalizzano come DP client-level — non DP-SGD per-esempio (Abadi et al. [7]), che limita invece l'influenza di un singolo record di training. LiRA punta esattamente a quella granularità più fine: chiede se una specifica sessione di ricarica, dentro il training set locale di un client, possa essere rilevata come membro. Nessuna delle nostre tre collocazioni è calibrata per limitare il contributo di un singolo record al training locale del suo client, quindi il clipping client-level non fornisce alcuna garanzia formale alla granularità che LiRA attacca davvero. Il nostro risultato è quindi una misura empirica di se un attaccante a livello di record trovi leakage rilevabile sotto una configurazione DP client-level, non un'affermazione che la DP client-level protegga formalmente le singole sessioni — lo stesso scarto tra garanzia teorica e superficie di attacco empirica che motiva la domanda centrale di questo paper (§1).</w:t>
      </w:r>
    </w:p>
    <w:p>
      <w:pPr>
        <w:pStyle w:val="Heading2"/>
        <w:spacing w:after="120" w:before="220"/>
      </w:pPr>
      <w:r>
        <w:t xml:space="preserve">3.5 LiRA: Adattamenti a Questo Contesto</w:t>
      </w:r>
    </w:p>
    <w:p>
      <w:pPr>
        <w:spacing w:after="160"/>
        <w:jc w:val="both"/>
      </w:pPr>
      <w:r>
        <w:rPr>
          <w:b w:val="false"/>
          <w:bCs w:val="false"/>
          <w:i w:val="false"/>
          <w:iCs w:val="false"/>
        </w:rPr>
        <w:t xml:space="preserve">La nostra implementazione di LiRA [2] si discosta dalla costruzione di Carlini et al. in quattro modi dichiarati, nessuno silenzioso. Primo, i modelli shadow di Carlini et al. sono addestrati indipendentemente, una sola volta, su sottoinsiemi partizionati casualmente; poiché un client FL reale non si addestra da zero dopo il round 1 ma piuttosto affina localmente per local_epochs a partire dai pesi globali condivisi del round precedente, il nostro ensemble shadow viene ri-addestrato ogni round, con warm-start dagli stessi pesi globali reali di quel round, per corrispondere alla traiettoria da cui proviene l'aggiornamento reale di un client — un adattamento sostanziale della procedura di training shadow, non cosmetico. Secondo, LiRA è stato progettato per punteggi di confidenza di classificazione (trasformati logit per approssimare la normalità) su modelli di immagini e testo; il nostro target è un autoencoder non supervisionato senza output di confidenza di classe, quindi applichiamo la stessa costruzione log-likelihood-ratio al suo MSE di ricostruzione su feature tabellari di ricarica EV. Terzo, la formulazione likelihood-ratio eredita l'assunzione parametrica propria di LiRA che la distribuzione della loss shadow sia approssimativamente Gaussiana sotto entrambe le ipotesi IN e OUT. Abbiamo misurato l'aderenza reale di questa assunzione sui nostri dati invece di lasciarla inesaminata (baseline no-DP, seed 42, n_shadow=16, ~13.000 punteggi member/non-member aggregati): sul MSE grezzo è violata di sei ordini di grandezza (il test di Jarque-Bera rigetta la normalità con un fattore ~2,7-4,1 milioni ad α=0,05 per member/non-member rispettivamente; asimmetria 10,3/11,4, curtosi in eccesso 172/211); una variante log-trasformata (_lira_log_score, implementata ma non promossa a metrica primaria di questo paper) riduce la violazione di quattro-cinque ordini di grandezza (rigetta con un fattore ~61-79) senza eliminarla. Quarto, il debug dei punteggi reali delle sessioni di ricarica ha rivelato campioni fino a ~20 deviazioni standard da entrambe le medie stimate simultaneamente, un regime in cui il segno del log-likelihood-ratio diventa un artefatto di quale delle due medie quasi identiche capiti di trovarsi marginalmente più vicina a un outlier distante, piuttosto che un genuino segnale di membership (§6.1). Escludiamo quindi dal punteggio qualunque campione il cui punteggio sia a più di 8 deviazioni standard da entrambe μ_in e μ_out, invece di assegnargli un punteggio di segno arbitrario. Nel run storico di debug che ha motivato questo filtro, escludeva il 2,37% dei campioni; nella campagna a 5 seed×10 configurazioni riportata in §7, esclude esattamente lo 0,0000% dei campioni in tutte e dieci le configurazioni — il floor di varianza condiviso descritto in §9 comprime gli z-score a sufficienza perché la soglia 8σ non venga praticamente mai raggiunta a questa scala di campagna, quindi riportiamo questa salvaguardia come inerte nei numeri sotto, non come attivamente filtrante. (Tutti i risultati LiRA in questo paper usano n_shadow=16 shadow model per cluster per round; il default del codice, usato solo quando un config omette il valore, è 8.)</w:t>
      </w:r>
    </w:p>
    <w:p>
      <w:pPr>
        <w:spacing w:after="160"/>
        <w:jc w:val="both"/>
      </w:pPr>
      <w:r>
        <w:rPr>
          <w:b w:val="false"/>
          <w:bCs w:val="false"/>
          <w:i w:val="false"/>
          <w:iCs w:val="false"/>
        </w:rPr>
        <w:t xml:space="preserve">I primi due adattamenti sono conseguenze necessarie dell'applicare LiRA al di fuori del suo contesto originale di classificazione single-shot su immagini/testo, non scelte progettuali libere; il terzo è ereditato, non nostro; il quarto è una salvaguardia meccanica trovata durante il debug piuttosto che anticipata in anticipo. Una derivazione più completa che collega questi punti alla riduzione in tre passi di Carlini et al. stessi (ottimalità di Neyman-Pearson, il test esatto intrattabile, e la riduzione parametrica 1-D a una statistica di loss) è disponibile e può essere ampliata in un'appendice se i revisori lo desiderano.</w:t>
      </w:r>
    </w:p>
    <w:p>
      <w:pPr>
        <w:pStyle w:val="Heading1"/>
        <w:spacing w:after="140" w:before="280"/>
      </w:pPr>
      <w:r>
        <w:t xml:space="preserve">4. Modello di Minaccia</w:t>
      </w:r>
    </w:p>
    <w:p>
      <w:pPr>
        <w:spacing w:after="160"/>
        <w:jc w:val="both"/>
      </w:pPr>
      <w:r>
        <w:rPr>
          <w:b w:val="false"/>
          <w:bCs w:val="false"/>
          <w:i w:val="false"/>
          <w:iCs w:val="false"/>
        </w:rPr>
        <w:t xml:space="preserve">Formalizziamo cinque scenari lungo una gerarchia della capacità dell'attaccante ispirata al modello Purdue. I risultati di questo paper riguardano esclusivamente lo Scenario 1 — ogni altro scenario è esplicitamente fuori ambito e riportato come tale, non silenziosamente assunto.</w:t>
      </w:r>
    </w:p>
    <w:p>
      <w:pPr>
        <w:pStyle w:val="Heading2"/>
        <w:spacing w:after="120" w:before="220"/>
      </w:pPr>
      <w:r>
        <w:t xml:space="preserve">4.1 Scenario 1 — Aggregatore Honest-but-Curious (valutato)</w:t>
      </w:r>
    </w:p>
    <w:p>
      <w:pPr>
        <w:spacing w:after="160"/>
        <w:jc w:val="both"/>
      </w:pPr>
      <w:r>
        <w:rPr>
          <w:b w:val="false"/>
          <w:bCs w:val="false"/>
          <w:i w:val="false"/>
          <w:iCs w:val="false"/>
        </w:rPr>
        <w:t xml:space="preserve">Il server/aggregatore segue fedelmente il protocollo FL (non devia mai, non invia mai pesi globali malformati) ma può registrare e analizzare passivamente ogni aggiornamento che riceve legittimamente. I client sono onesti per costruzione. Questo è l'unico scenario che i nostri risultati LiRA/Shadow/Yeom caratterizzano.</w:t>
      </w:r>
    </w:p>
    <w:p>
      <w:pPr>
        <w:pStyle w:val="Heading2"/>
        <w:spacing w:after="120" w:before="220"/>
      </w:pPr>
      <w:r>
        <w:t xml:space="preserve">4.2 Scenari 2–4 (fuori ambito, brevemente)</w:t>
      </w:r>
    </w:p>
    <w:p>
      <w:pPr>
        <w:spacing w:after="160"/>
        <w:jc w:val="both"/>
      </w:pPr>
      <w:r>
        <w:rPr>
          <w:b w:val="false"/>
          <w:bCs w:val="false"/>
          <w:i w:val="false"/>
          <w:iCs w:val="false"/>
        </w:rPr>
        <w:t xml:space="preserve">Lo Scenario 2 (client FL malevolo), lo Scenario 3 (gateway di rete compromesso), e lo Scenario 4 (intercettatore passivo esterno, sconfitto dalla sicurezza a livello di trasporto) sono esplicitamente lavoro futuro o fuori ambito per progettazione — non valutati qui, e non confusi con lo Scenario 1 nei nostri risultati.</w:t>
      </w:r>
    </w:p>
    <w:p>
      <w:pPr>
        <w:pStyle w:val="Heading2"/>
        <w:spacing w:after="120" w:before="220"/>
      </w:pPr>
      <w:r>
        <w:t xml:space="preserve">4.3 Scenario 5 — Attaccante Adattivo / Su Misura (solo discussione)</w:t>
      </w:r>
    </w:p>
    <w:p>
      <w:pPr>
        <w:spacing w:after="160"/>
        <w:jc w:val="both"/>
      </w:pPr>
      <w:r>
        <w:rPr>
          <w:b w:val="false"/>
          <w:bCs w:val="false"/>
          <w:i w:val="false"/>
          <w:iCs w:val="false"/>
        </w:rPr>
        <w:t xml:space="preserve">Discutiamo, senza valutarle, due domande aperte: un attacco su misura calibrato esattamente su questo setup autoencoder/FedProx/ACN-Data (S5a, non gli attacchi standard di letteratura Yeom/Shadow/LiRA), e l'evasione del punteggio stesso del Privacy Auditor (S5b). Respingiamo esplicitamente una soluzione candidata che abbiamo considerato e respinto durante lo sviluppo — che i controlli di stabilità di ByzantineDetector catturerebbero un attaccante di privacy adattivo — perché lo Scenario 1 definisce i client come onesti per costruzione: qualunque attaccante che devii dal protocollo per evadere l'Auditor è, per definizione, Scenario 2, non un legittimo attaccante "attivo-ma-ancora-Scenario-1". Dichiariamo questo come un'architettura formale a doppia difesa con due domini ortogonali (Integrità tramite ByzantineDetector, Scenario 2; Privacy tramite l'Auditor + DP, Scenario 1) piuttosto che rivendicare che un componente copra entrambi.</w:t>
      </w:r>
    </w:p>
    <w:p>
      <w:pPr>
        <w:pStyle w:val="Heading1"/>
        <w:spacing w:after="140" w:before="280"/>
      </w:pPr>
      <w:r>
        <w:t xml:space="preserve">5. Caso di Studio: Ricarica EV nel Mondo Reale (ACN-Data)</w:t>
      </w:r>
    </w:p>
    <w:p>
      <w:pPr>
        <w:spacing w:after="160"/>
        <w:jc w:val="both"/>
      </w:pPr>
      <w:r>
        <w:rPr>
          <w:b w:val="false"/>
          <w:bCs w:val="false"/>
          <w:i w:val="false"/>
          <w:iCs w:val="false"/>
        </w:rPr>
        <w:t xml:space="preserve">Usiamo ACN-Data [10], l'unico dataset pubblicamente disponibile di sessioni di ricarica EV reali a questa scala, sui suoi tre siti reali (Caltech, 54 EVSE; JPL, 50 EVSE; Office 1, 8 EVSE) — un contesto Enterprise Cross-Silo FL [13], non un singolo dataset sinteticamente frammentato. Ogni client addestra un piccolo autoencoder (570 parametri: 6 → 16 → 8 → 4 → 8 → 16 → 6) su sei feature continue di sessione (energia erogata, potenza media, energia richiesta, finestra di disponibilità dichiarata, ora di connessione, durata della sessione) tramite FedAvg/FedProx. Ogni client si allena con Adam (learning rate 0.001, batch size 32) per 50 epoche locali per round FL, su 10 round per esperimento.</w:t>
      </w:r>
    </w:p>
    <w:p>
      <w:pPr>
        <w:spacing w:after="160"/>
        <w:jc w:val="both"/>
      </w:pPr>
      <w:r>
        <w:rPr>
          <w:b w:val="false"/>
          <w:bCs w:val="false"/>
          <w:i w:val="false"/>
          <w:iCs w:val="false"/>
        </w:rPr>
        <w:t xml:space="preserve">Gerarchia degli attacchi: Yeom [1a] (basato sulla loss, globale), un attacco Shadow-Model calibrato [1], e LiRA [2] (likelihood-ratio, lato server, valutato sull'aggiornamento per-round di ogni client così come effettivamente sottomesso per l'aggregazione — LiRA è l'attacco primario sotto cui questo paper riporta i risultati, essendo il più forte dei tre).</w:t>
      </w:r>
    </w:p>
    <w:p>
      <w:pPr>
        <w:spacing w:after="160"/>
        <w:jc w:val="both"/>
      </w:pPr>
      <w:r>
        <w:rPr>
          <w:b w:val="false"/>
          <w:bCs w:val="false"/>
          <w:i w:val="false"/>
          <w:iCs w:val="false"/>
        </w:rPr>
        <w:t xml:space="preserve">La validazione è stata eseguita sia in una simulazione single-process sia su un deployment reale multi-container NVFLARE/Containerlab/Docker (5 container: server, caltech, jpl, office1, fl-admin), con lo stesso codice di attacco/analisi non modificato eseguito contro entrambi — non due percorsi di codice mantenuti indipendentemente.</w:t>
      </w:r>
    </w:p>
    <w:p>
      <w:pPr>
        <w:pStyle w:val="Heading1"/>
        <w:spacing w:after="140" w:before="280"/>
      </w:pPr>
      <w:r>
        <w:t xml:space="preserve">6. Metodologia di Validazione: Il Risultato Nullo è Reale?</w:t>
      </w:r>
    </w:p>
    <w:p>
      <w:pPr>
        <w:spacing w:after="160"/>
        <w:jc w:val="both"/>
      </w:pPr>
      <w:r>
        <w:rPr>
          <w:b w:val="false"/>
          <w:bCs w:val="false"/>
          <w:i w:val="false"/>
          <w:iCs w:val="false"/>
        </w:rPr>
        <w:t xml:space="preserve">Un risultato MIA nullo (AUC ≈ 0.5) è informativo solo se è noto che lo strumento di attacco è capace di rilevare la memorizzazione quando è presente — altrimenti "nessun leakage rilevato" è indistinguibile da "lo strumento di misura non riesce a rilevare nulla". Abbiamo validato la sensibilità dello strumento in due fasi: escalation su dati naturali (inconclusiva da sola) seguita dall'inserimento di canary sintetici (conclusiva).</w:t>
      </w:r>
    </w:p>
    <w:p>
      <w:pPr>
        <w:pStyle w:val="Heading2"/>
        <w:spacing w:after="120" w:before="220"/>
      </w:pPr>
      <w:r>
        <w:t xml:space="preserve">6.1 Fase 1 — Escalation su Dati Naturali</w:t>
      </w:r>
    </w:p>
    <w:p>
      <w:pPr>
        <w:spacing w:after="160"/>
        <w:jc w:val="both"/>
      </w:pPr>
      <w:r>
        <w:rPr>
          <w:b w:val="false"/>
          <w:bCs w:val="false"/>
          <w:i w:val="false"/>
          <w:iCs w:val="false"/>
        </w:rPr>
        <w:t xml:space="preserve">Abbiamo variato cinque fattori indipendenti su una baseline senza DP (dove la memorizzazione, se raggiungibile, dovrebbe essere più facile da osservare), ciascuno isolato dagli altri: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3550"/>
        <w:gridCol w:w="2400"/>
      </w:tblGrid>
      <w:tr>
        <w:tc>
          <w:tcPr>
            <w:tcW w:type="dxa" w:w="3400"/>
            <w:shd w:fill="F2F2F2" w:val="clear"/>
          </w:tcPr>
          <w:p>
            <w:r>
              <w:rPr>
                <w:sz w:val="18"/>
                <w:szCs w:val="18"/>
              </w:rPr>
              <w:t xml:space="preserve">Asse</w:t>
            </w:r>
          </w:p>
        </w:tc>
        <w:tc>
          <w:tcPr>
            <w:tcW w:type="dxa" w:w="3550"/>
            <w:shd w:fill="F2F2F2" w:val="clear"/>
          </w:tcPr>
          <w:p>
            <w:r>
              <w:rPr>
                <w:sz w:val="18"/>
                <w:szCs w:val="18"/>
              </w:rPr>
              <w:t xml:space="preserve">Manipolazione</w:t>
            </w:r>
          </w:p>
        </w:tc>
        <w:tc>
          <w:tcPr>
            <w:tcW w:type="dxa" w:w="2400"/>
            <w:shd w:fill="F2F2F2" w:val="clear"/>
          </w:tcPr>
          <w:p>
            <w:r>
              <w:rPr>
                <w:sz w:val="18"/>
                <w:szCs w:val="18"/>
              </w:rPr>
              <w:t xml:space="preserve">AUC LiRA composito</w:t>
            </w:r>
          </w:p>
        </w:tc>
      </w:tr>
      <w:tr>
        <w:tc>
          <w:tcPr>
            <w:tcW w:type="dxa" w:w="3400"/>
          </w:tcPr>
          <w:p>
            <w:r>
              <w:rPr>
                <w:sz w:val="18"/>
                <w:szCs w:val="18"/>
              </w:rPr>
              <w:t xml:space="preserve">Epoche di training</w:t>
            </w:r>
          </w:p>
        </w:tc>
        <w:tc>
          <w:tcPr>
            <w:tcW w:type="dxa" w:w="3550"/>
          </w:tcPr>
          <w:p>
            <w:r>
              <w:rPr>
                <w:sz w:val="18"/>
                <w:szCs w:val="18"/>
              </w:rPr>
              <w:t xml:space="preserve">50 → 1000 epoche locali, singolo client</w:t>
            </w:r>
          </w:p>
        </w:tc>
        <w:tc>
          <w:tcPr>
            <w:tcW w:type="dxa" w:w="2400"/>
          </w:tcPr>
          <w:p>
            <w:r>
              <w:rPr>
                <w:sz w:val="18"/>
                <w:szCs w:val="18"/>
              </w:rPr>
              <w:t xml:space="preserve">0.4767 – 0.5363</w:t>
            </w:r>
          </w:p>
        </w:tc>
      </w:tr>
      <w:tr>
        <w:tc>
          <w:tcPr>
            <w:tcW w:type="dxa" w:w="3400"/>
          </w:tcPr>
          <w:p>
            <w:r>
              <w:rPr>
                <w:sz w:val="18"/>
                <w:szCs w:val="18"/>
              </w:rPr>
              <w:t xml:space="preserve">Capacità del modello</w:t>
            </w:r>
          </w:p>
        </w:tc>
        <w:tc>
          <w:tcPr>
            <w:tcW w:type="dxa" w:w="3550"/>
          </w:tcPr>
          <w:p>
            <w:r>
              <w:rPr>
                <w:sz w:val="18"/>
                <w:szCs w:val="18"/>
              </w:rPr>
              <w:t xml:space="preserve">~3.3× parametri (hidden dims 32/16, latent 8)</w:t>
            </w:r>
          </w:p>
        </w:tc>
        <w:tc>
          <w:tcPr>
            <w:tcW w:type="dxa" w:w="2400"/>
          </w:tcPr>
          <w:p>
            <w:r>
              <w:rPr>
                <w:sz w:val="18"/>
                <w:szCs w:val="18"/>
              </w:rPr>
              <w:t xml:space="preserve">0.5294</w:t>
            </w:r>
          </w:p>
        </w:tc>
      </w:tr>
      <w:tr>
        <w:tc>
          <w:tcPr>
            <w:tcW w:type="dxa" w:w="3400"/>
          </w:tcPr>
          <w:p>
            <w:r>
              <w:rPr>
                <w:sz w:val="18"/>
                <w:szCs w:val="18"/>
              </w:rPr>
              <w:t xml:space="preserve">Informatività delle feature</w:t>
            </w:r>
          </w:p>
        </w:tc>
        <w:tc>
          <w:tcPr>
            <w:tcW w:type="dxa" w:w="3550"/>
          </w:tcPr>
          <w:p>
            <w:r>
              <w:rPr>
                <w:sz w:val="18"/>
                <w:szCs w:val="18"/>
              </w:rPr>
              <w:t xml:space="preserve">Aggiunta una feature timestamp quasi-unica per sessione</w:t>
            </w:r>
          </w:p>
        </w:tc>
        <w:tc>
          <w:tcPr>
            <w:tcW w:type="dxa" w:w="2400"/>
          </w:tcPr>
          <w:p>
            <w:r>
              <w:rPr>
                <w:sz w:val="18"/>
                <w:szCs w:val="18"/>
              </w:rPr>
              <w:t xml:space="preserve">0.5352</w:t>
            </w:r>
          </w:p>
        </w:tc>
      </w:tr>
      <w:tr>
        <w:tc>
          <w:tcPr>
            <w:tcW w:type="dxa" w:w="3400"/>
          </w:tcPr>
          <w:p>
            <w:r>
              <w:rPr>
                <w:sz w:val="18"/>
                <w:szCs w:val="18"/>
              </w:rPr>
              <w:t xml:space="preserve">Capacità + feature combinate</w:t>
            </w:r>
          </w:p>
        </w:tc>
        <w:tc>
          <w:tcPr>
            <w:tcW w:type="dxa" w:w="3550"/>
          </w:tcPr>
          <w:p>
            <w:r>
              <w:rPr>
                <w:sz w:val="18"/>
                <w:szCs w:val="18"/>
              </w:rPr>
              <w:t xml:space="preserve">Entrambe le manipolazioni insieme</w:t>
            </w:r>
          </w:p>
        </w:tc>
        <w:tc>
          <w:tcPr>
            <w:tcW w:type="dxa" w:w="2400"/>
          </w:tcPr>
          <w:p>
            <w:r>
              <w:rPr>
                <w:sz w:val="18"/>
                <w:szCs w:val="18"/>
              </w:rPr>
              <w:t xml:space="preserve">0.5169</w:t>
            </w:r>
          </w:p>
        </w:tc>
      </w:tr>
      <w:tr>
        <w:tc>
          <w:tcPr>
            <w:tcW w:type="dxa" w:w="3400"/>
          </w:tcPr>
          <w:p>
            <w:r>
              <w:rPr>
                <w:sz w:val="18"/>
                <w:szCs w:val="18"/>
              </w:rPr>
              <w:t xml:space="preserve">Popolazione di training</w:t>
            </w:r>
          </w:p>
        </w:tc>
        <w:tc>
          <w:tcPr>
            <w:tcW w:type="dxa" w:w="3550"/>
          </w:tcPr>
          <w:p>
            <w:r>
              <w:rPr>
                <w:sz w:val="18"/>
                <w:szCs w:val="18"/>
              </w:rPr>
              <w:t xml:space="preserve">Sito diverso, molto più grande (Caltech vs. Office 1)</w:t>
            </w:r>
          </w:p>
        </w:tc>
        <w:tc>
          <w:tcPr>
            <w:tcW w:type="dxa" w:w="2400"/>
          </w:tcPr>
          <w:p>
            <w:r>
              <w:rPr>
                <w:sz w:val="18"/>
                <w:szCs w:val="18"/>
              </w:rPr>
              <w:t xml:space="preserve">0.5168</w:t>
            </w:r>
          </w:p>
        </w:tc>
      </w:tr>
    </w:tbl>
    <w:p>
      <w:pPr>
        <w:spacing w:after="160"/>
      </w:pPr>
    </w:p>
    <w:p>
      <w:pPr>
        <w:spacing w:after="160"/>
        <w:jc w:val="both"/>
      </w:pPr>
      <w:r>
        <w:rPr>
          <w:b w:val="false"/>
          <w:bCs w:val="false"/>
          <w:i w:val="false"/>
          <w:iCs w:val="false"/>
        </w:rPr>
        <w:t xml:space="preserve">In ognuna delle cinque configurazioni, l'AUC LiRA composito è rimasto entro una banda di rumore 0.48–0.54, ben al di sotto della soglia di 0.60 registrata come criterio di lavoro per la memorizzazione rilevabile nella nostra roadmap di test interna (docs/TestRoadmap_DSN2027.md, 2026-08-27) — un documento di lavoro, non un piano di analisi formalmente pre-registrato. Ciascuna delle cinque configurazioni d'asse riflette un singolo run a seed (42) fisso e 3 round, non il protocollo a 5 seed×10 round usato per la campagna principale in §7, quindi questi valori vanno letti come uno screening grossolano di sensibilità, non come stime con lo stesso rigore statistico della Tabella 2. Questa fase da sola è inconclusiva sulla sensibilità dello strumento: esclude un facile overfitting naturale in questo regime di architettura/dati, ma non una metodologia di attacco che semplicemente non riesce a rilevare la membership in nessuna circostanza.</w:t>
      </w:r>
    </w:p>
    <w:p>
      <w:pPr>
        <w:pStyle w:val="Heading2"/>
        <w:spacing w:after="120" w:before="220"/>
      </w:pPr>
      <w:r>
        <w:t xml:space="preserve">6.2 Fase 2 — Inserimento di Canary (Controllo Positivo)</w:t>
      </w:r>
    </w:p>
    <w:p>
      <w:pPr>
        <w:spacing w:after="160"/>
        <w:jc w:val="both"/>
      </w:pPr>
      <w:r>
        <w:rPr>
          <w:b w:val="false"/>
          <w:bCs w:val="false"/>
          <w:i w:val="false"/>
          <w:iCs w:val="false"/>
        </w:rPr>
        <w:t xml:space="preserve">Per stabilire direttamente la sensibilità dello strumento, abbiamo inserito canary sintetici — una tecnica standard nella letteratura DP/MIA (Carlini, "The Secret Sharer," 2019; Jagielski et al., "Auditing Differentially Private Machine Learning," 2020): cinque sessioni reali di un client (Office 1) duplicate 30× ciascuna nel training set di quel client, con 20 sessioni campionate in modo indipendente dallo stesso sito come non-membri — sessioni holdout ordinarie, non copie dei template duplicati. A differenza della campagna principale in §7, ogni run canary riportato in questa sezione è un singolo run a seed (42) fisso e 3 round, senza replica cross-seed; per questo riportiamo gli AUC esatti per round invece di intervalli bootstrap.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975"/>
        <w:gridCol w:w="2975"/>
      </w:tblGrid>
      <w:tr>
        <w:tc>
          <w:tcPr>
            <w:tcW w:type="dxa" w:w="3400"/>
            <w:shd w:fill="F2F2F2" w:val="clear"/>
          </w:tcPr>
          <w:p>
            <w:r>
              <w:rPr>
                <w:sz w:val="18"/>
                <w:szCs w:val="18"/>
              </w:rPr>
              <w:t xml:space="preserve">Metrica (per round, 3 round)</w:t>
            </w:r>
          </w:p>
        </w:tc>
        <w:tc>
          <w:tcPr>
            <w:tcW w:type="dxa" w:w="2975"/>
            <w:shd w:fill="F2F2F2" w:val="clear"/>
          </w:tcPr>
          <w:p>
            <w:r>
              <w:rPr>
                <w:sz w:val="18"/>
                <w:szCs w:val="18"/>
              </w:rPr>
              <w:t xml:space="preserve">Valori per round</w:t>
            </w:r>
          </w:p>
        </w:tc>
        <w:tc>
          <w:tcPr>
            <w:tcW w:type="dxa" w:w="2975"/>
            <w:shd w:fill="F2F2F2" w:val="clear"/>
          </w:tcPr>
          <w:p>
            <w:r>
              <w:rPr>
                <w:sz w:val="18"/>
                <w:szCs w:val="18"/>
              </w:rPr>
              <w:t xml:space="preserve">Direzione</w:t>
            </w:r>
          </w:p>
        </w:tc>
      </w:tr>
      <w:tr>
        <w:tc>
          <w:tcPr>
            <w:tcW w:type="dxa" w:w="3400"/>
          </w:tcPr>
          <w:p>
            <w:r>
              <w:rPr>
                <w:sz w:val="18"/>
                <w:szCs w:val="18"/>
              </w:rPr>
              <w:t xml:space="preserve">AUC raw recon.-loss — run A (n=146 mem., 19 non-mem.)</w:t>
            </w:r>
          </w:p>
        </w:tc>
        <w:tc>
          <w:tcPr>
            <w:tcW w:type="dxa" w:w="2975"/>
          </w:tcPr>
          <w:p>
            <w:r>
              <w:rPr>
                <w:sz w:val="18"/>
                <w:szCs w:val="18"/>
              </w:rPr>
              <w:t xml:space="preserve">0.7040 / 0.8951 / 0.8526</w:t>
            </w:r>
          </w:p>
        </w:tc>
        <w:tc>
          <w:tcPr>
            <w:tcW w:type="dxa" w:w="2975"/>
          </w:tcPr>
          <w:p>
            <w:r>
              <w:rPr>
                <w:sz w:val="18"/>
                <w:szCs w:val="18"/>
              </w:rPr>
              <w:t xml:space="preserve">Consistente, tutti &gt; 0.60</w:t>
            </w:r>
          </w:p>
        </w:tc>
      </w:tr>
      <w:tr>
        <w:tc>
          <w:tcPr>
            <w:tcW w:type="dxa" w:w="3400"/>
          </w:tcPr>
          <w:p>
            <w:r>
              <w:rPr>
                <w:sz w:val="18"/>
                <w:szCs w:val="18"/>
              </w:rPr>
              <w:t xml:space="preserve">AUC LiRA calibrato — run B (n=120 mem., 20 non-mem.)</w:t>
            </w:r>
          </w:p>
        </w:tc>
        <w:tc>
          <w:tcPr>
            <w:tcW w:type="dxa" w:w="2975"/>
          </w:tcPr>
          <w:p>
            <w:r>
              <w:rPr>
                <w:sz w:val="18"/>
                <w:szCs w:val="18"/>
              </w:rPr>
              <w:t xml:space="preserve">0.6375 / 0.6625 / 0.5875</w:t>
            </w:r>
          </w:p>
        </w:tc>
        <w:tc>
          <w:tcPr>
            <w:tcW w:type="dxa" w:w="2975"/>
          </w:tcPr>
          <w:p>
            <w:r>
              <w:rPr>
                <w:sz w:val="18"/>
                <w:szCs w:val="18"/>
              </w:rPr>
              <w:t xml:space="preserve">Rileva il canary, composto 0.6875</w:t>
            </w:r>
          </w:p>
        </w:tc>
      </w:tr>
    </w:tbl>
    <w:p>
      <w:pPr>
        <w:spacing w:after="160"/>
      </w:pPr>
    </w:p>
    <w:p>
      <w:pPr>
        <w:spacing w:after="160"/>
        <w:jc w:val="both"/>
      </w:pPr>
      <w:r>
        <w:rPr>
          <w:b w:val="false"/>
          <w:bCs w:val="false"/>
          <w:i w:val="false"/>
          <w:iCs w:val="false"/>
        </w:rPr>
        <w:t xml:space="preserve">Le due righe sopra provengono da due run separati, ciascuno a singolo seed, dello stesso protocollo, non da un unico run condiviso, e quindi non vanno lette come un confronto prima/dopo sugli stessi canary: il run A riporta inoltre un AUC LiRA calibrato di 0.4863 / 0.6265 / 0.4250 (composto 0.5534), e il run B riporta un AUC raw reconstruction-loss di 0.6625 / 0.85 / 0.8375 — entrambi ampiamente coerenti con i valori in tabella, ma mostriamo la realizzazione singola più forte di ciascuna metrica invece di mediare tra run che non erano stati progettati per essere aggregati. La copertura per sito del segnale raw-loss è disomogenea, contrariamente a una bozza precedente di questa sezione che la descriveva come valida in ogni sito testato: a Office 1, la loss di ricostruzione grezza separa nettamente i membri canary dai non-membri in ogni round (come in tabella). A Caltech, lo stesso protocollo produce un AUC di 0.3710 / 0.3805 / 0.4236 — invertito, sotto il caso, non una separazione qualitativamente simile. A JPL, l'AUC raw-loss è 0.4737 / 0.4632 / 0.4947 — al livello del caso. Il controllo positivo raw-loss riesce quindi inequivocabilmente solo a Office 1 tra i tre siti; non abbiamo ancora una spiegazione per l'inversione di segno a Caltech e la riportiamo come una domanda aperta invece di ometterla. Il punteggio LiRA calibrato è ancora più sfumato. Dopo aver corretto un bug di contaminazione nel campionamento degli shadow (le copie canary duplicate potevano prima frammentarsi tra lo split IN/OUT di un singolo shadow, diluendo il segnale differenziale su cui si basa la calibrazione di LiRA), LiRA calibrato sui canary di Office 1 (run B, ≈11% del training set di quel client) rileva il canary in modo consistente in tutti e tre i round (0.6375 / 0.6625 / 0.5875, composto 0.6875), sopra la soglia di lavoro di 0.60 usata in §6.1 — sebbene, come altrove in questa sezione, si tratti di un risultato a singolo seed/3 round, non replicato tra seed. Resta sistematicamente più debole del segnale raw-loss, cosa che attribuiamo a un limite separato, ancora aperto: la calibrazione Gaussiana di LiRA opera al proprio floor di varianza per-shadow nel 96–99% dei casi in questo run, piuttosto che sulla vera varianza per-shadow (§3.5, §9). Replicare lo stesso identico protocollo a Caltech e JPL — dove la densità aggregata di duplicati è molto più bassa (≈0.5% dei dati di training locali, poiché entrambi i client hanno dataset locali più grandi di Office 1) — non riproduce il segnale LiRA calibrato (AUC composto Caltech 0.42–0.50; AUC composto JPL 0.5368). Abbiamo tentato di isolare la densità dal sito ripetendo l'inserimento del canary a Caltech con densità aggregata di duplicati equiparata a quella di Office 1 (≈10% dei dati di training locali, n_templates=84, n_duplicates=30): LiRA calibrato non è comunque riuscito a rilevare il canary (AUC 0.46–0.53, vicino o sotto il caso). Avevamo letto questo come evidenza che la densità di duplicati da sola non spiega il divario Office 1/Caltech, ma a un esame più attento le due configurazioni non sono equiparate sulla variabile che plausibilmente guida la memorizzazione: Office 1 duplica ciascuno di 5 template 30× in un pool di ≈1.680 sessioni (≈2.0% di amplificazione per-record), mentre la configurazione Caltech a densità equiparata duplica ciascuno di 84 template 30× in un pool di ≈25.123 sessioni (≈0.12% di amplificazione per-record) — una differenza di 17× nell'amplificazione per-record nonostante la densità aggregata equiparata. Densità aggregata e amplificazione per-record non sono la stessa grandezza, e l'esperimento come condotto le confonde; il risultato Caltech sopra va quindi letto come inconcludente sulla questione della densità, non come evidenza contro di essa. Un test più pulito manterrebbe n_templates=5 fisso (come a Office 1) e alzerebbe n_duplicates a Caltech finché l'amplificazione per-record, non la densità aggregata, eguaglia quella di Office 1; non abbiamo avuto tempo di eseguirlo prima della submission e lo segnaliamo come il naturale prossimo esperimento. In ogni caso questa è una proprietà della calibrazione di LiRA sotto un disegno artificiale di record quasi-duplicati; le sessioni EV naturali nel nostro dataset non sono mai duplicati letterali l'una dell'altra, quindi nulla di questo si estende al, o mina il, risultato nullo in §7.</w:t>
      </w:r>
    </w:p>
    <w:p>
      <w:pPr>
        <w:pStyle w:val="Heading1"/>
        <w:spacing w:after="140" w:before="280"/>
      </w:pPr>
      <w:r>
        <w:t xml:space="preserve">7. Risultati</w:t>
      </w:r>
    </w:p>
    <w:p>
      <w:pPr>
        <w:spacing w:after="160"/>
        <w:jc w:val="both"/>
      </w:pPr>
      <w:r>
        <w:rPr>
          <w:b w:val="false"/>
          <w:bCs w:val="false"/>
          <w:i w:val="false"/>
          <w:iCs w:val="false"/>
        </w:rPr>
        <w:t xml:space="preserve">La campagna completa 5-seed × 10-configurazioni si è conclusa il 2026-09-08 (seed 42, 123, 456, 789, 1234; ~108 ore / 6.485 minuti wall-clock, esecuzione sequenziale). Ogni seed re-inizializza i pesi del modello, lo split train/holdout dei client e l'ordine di shuffling, ed ogni estrazione stocastica successiva (rumore DP, campionamento degli shadow model) tramite random.seed/numpy.random.seed/torch.manual_seed, cosicché le 5 esecuzioni per configurazione sono ripetizioni genuinamente indipendenti dello stesso esperimento — non 5 letture di un'unica esecuzione — la precondizione per l'analisi bootstrap/Wilcoxon che segue. La Tabella 2 riporta, per ogni configurazione, la media dell'AUC-ROC LiRA composto su 5 seed indipendenti, il suo intervallo di confidenza bootstrap al 95% (10.000 ricampionamenti), e un test di significatività a due code contro il livello di caso (AUC = 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50"/>
        <w:gridCol w:w="2400"/>
      </w:tblGrid>
      <w:tr>
        <w:tc>
          <w:tcPr>
            <w:tcW w:type="dxa" w:w="2100"/>
            <w:shd w:fill="F2F2F2" w:val="clear"/>
          </w:tcPr>
          <w:p>
            <w:r>
              <w:rPr>
                <w:sz w:val="18"/>
                <w:szCs w:val="18"/>
              </w:rPr>
              <w:t xml:space="preserve">Modalità DP / ε</w:t>
            </w:r>
          </w:p>
        </w:tc>
        <w:tc>
          <w:tcPr>
            <w:tcW w:type="dxa" w:w="2500"/>
            <w:shd w:fill="F2F2F2" w:val="clear"/>
          </w:tcPr>
          <w:p>
            <w:r>
              <w:rPr>
                <w:sz w:val="18"/>
                <w:szCs w:val="18"/>
              </w:rPr>
              <w:t xml:space="preserve">AUC LiRA media (5 seed)</w:t>
            </w:r>
          </w:p>
        </w:tc>
        <w:tc>
          <w:tcPr>
            <w:tcW w:type="dxa" w:w="2350"/>
            <w:shd w:fill="F2F2F2" w:val="clear"/>
          </w:tcPr>
          <w:p>
            <w:r>
              <w:rPr>
                <w:sz w:val="18"/>
                <w:szCs w:val="18"/>
              </w:rPr>
              <w:t xml:space="preserve">IC Bootstrap 95%</w:t>
            </w:r>
          </w:p>
        </w:tc>
        <w:tc>
          <w:tcPr>
            <w:tcW w:type="dxa" w:w="2400"/>
            <w:shd w:fill="F2F2F2" w:val="clear"/>
          </w:tcPr>
          <w:p>
            <w:r>
              <w:rPr>
                <w:sz w:val="18"/>
                <w:szCs w:val="18"/>
              </w:rPr>
              <w:t xml:space="preserve">p vs. AUC=0.5 (Wilcoxon)</w:t>
            </w:r>
          </w:p>
        </w:tc>
      </w:tr>
      <w:tr>
        <w:tc>
          <w:tcPr>
            <w:tcW w:type="dxa" w:w="2100"/>
          </w:tcPr>
          <w:p>
            <w:r>
              <w:rPr>
                <w:sz w:val="18"/>
                <w:szCs w:val="18"/>
              </w:rPr>
              <w:t xml:space="preserve">baseline no-DP</w:t>
            </w:r>
          </w:p>
        </w:tc>
        <w:tc>
          <w:tcPr>
            <w:tcW w:type="dxa" w:w="2500"/>
          </w:tcPr>
          <w:p>
            <w:r>
              <w:rPr>
                <w:sz w:val="18"/>
                <w:szCs w:val="18"/>
              </w:rPr>
              <w:t xml:space="preserve">0.5004 (σ=0.0030)</w:t>
            </w:r>
          </w:p>
        </w:tc>
        <w:tc>
          <w:tcPr>
            <w:tcW w:type="dxa" w:w="2350"/>
          </w:tcPr>
          <w:p>
            <w:r>
              <w:rPr>
                <w:sz w:val="18"/>
                <w:szCs w:val="18"/>
              </w:rPr>
              <w:t xml:space="preserve">[0.4977, 0.5025]</w:t>
            </w:r>
          </w:p>
        </w:tc>
        <w:tc>
          <w:tcPr>
            <w:tcW w:type="dxa" w:w="2400"/>
          </w:tcPr>
          <w:p>
            <w:r>
              <w:rPr>
                <w:sz w:val="18"/>
                <w:szCs w:val="18"/>
              </w:rPr>
              <w:t xml:space="preserve">0.8125</w:t>
            </w:r>
          </w:p>
        </w:tc>
      </w:tr>
      <w:tr>
        <w:tc>
          <w:tcPr>
            <w:tcW w:type="dxa" w:w="2100"/>
          </w:tcPr>
          <w:p>
            <w:r>
              <w:rPr>
                <w:sz w:val="18"/>
                <w:szCs w:val="18"/>
              </w:rPr>
              <w:t xml:space="preserve">dp-fedavg, ε=1.0</w:t>
            </w:r>
          </w:p>
        </w:tc>
        <w:tc>
          <w:tcPr>
            <w:tcW w:type="dxa" w:w="2500"/>
          </w:tcPr>
          <w:p>
            <w:r>
              <w:rPr>
                <w:sz w:val="18"/>
                <w:szCs w:val="18"/>
              </w:rPr>
              <w:t xml:space="preserve">0.4983 (σ=0.0039)</w:t>
            </w:r>
          </w:p>
        </w:tc>
        <w:tc>
          <w:tcPr>
            <w:tcW w:type="dxa" w:w="2350"/>
          </w:tcPr>
          <w:p>
            <w:r>
              <w:rPr>
                <w:sz w:val="18"/>
                <w:szCs w:val="18"/>
              </w:rPr>
              <w:t xml:space="preserve">[0.4953, 0.5013]</w:t>
            </w:r>
          </w:p>
        </w:tc>
        <w:tc>
          <w:tcPr>
            <w:tcW w:type="dxa" w:w="2400"/>
          </w:tcPr>
          <w:p>
            <w:r>
              <w:rPr>
                <w:sz w:val="18"/>
                <w:szCs w:val="18"/>
              </w:rPr>
              <w:t xml:space="preserve">0.4375</w:t>
            </w:r>
          </w:p>
        </w:tc>
      </w:tr>
      <w:tr>
        <w:tc>
          <w:tcPr>
            <w:tcW w:type="dxa" w:w="2100"/>
          </w:tcPr>
          <w:p>
            <w:r>
              <w:rPr>
                <w:sz w:val="18"/>
                <w:szCs w:val="18"/>
              </w:rPr>
              <w:t xml:space="preserve">dp-fedavg, ε=0.5</w:t>
            </w:r>
          </w:p>
        </w:tc>
        <w:tc>
          <w:tcPr>
            <w:tcW w:type="dxa" w:w="2500"/>
          </w:tcPr>
          <w:p>
            <w:r>
              <w:rPr>
                <w:sz w:val="18"/>
                <w:szCs w:val="18"/>
              </w:rPr>
              <w:t xml:space="preserve">0.4975 (σ=0.0036)</w:t>
            </w:r>
          </w:p>
        </w:tc>
        <w:tc>
          <w:tcPr>
            <w:tcW w:type="dxa" w:w="2350"/>
          </w:tcPr>
          <w:p>
            <w:r>
              <w:rPr>
                <w:sz w:val="18"/>
                <w:szCs w:val="18"/>
              </w:rPr>
              <w:t xml:space="preserve">[0.4947, 0.5002]</w:t>
            </w:r>
          </w:p>
        </w:tc>
        <w:tc>
          <w:tcPr>
            <w:tcW w:type="dxa" w:w="2400"/>
          </w:tcPr>
          <w:p>
            <w:r>
              <w:rPr>
                <w:sz w:val="18"/>
                <w:szCs w:val="18"/>
              </w:rPr>
              <w:t xml:space="preserve">0.3125</w:t>
            </w:r>
          </w:p>
        </w:tc>
      </w:tr>
      <w:tr>
        <w:tc>
          <w:tcPr>
            <w:tcW w:type="dxa" w:w="2100"/>
          </w:tcPr>
          <w:p>
            <w:r>
              <w:rPr>
                <w:sz w:val="18"/>
                <w:szCs w:val="18"/>
              </w:rPr>
              <w:t xml:space="preserve">dp-fedavg, ε=0.1</w:t>
            </w:r>
          </w:p>
        </w:tc>
        <w:tc>
          <w:tcPr>
            <w:tcW w:type="dxa" w:w="2500"/>
          </w:tcPr>
          <w:p>
            <w:r>
              <w:rPr>
                <w:sz w:val="18"/>
                <w:szCs w:val="18"/>
              </w:rPr>
              <w:t xml:space="preserve">0.4986 (σ=0.0040)</w:t>
            </w:r>
          </w:p>
        </w:tc>
        <w:tc>
          <w:tcPr>
            <w:tcW w:type="dxa" w:w="2350"/>
          </w:tcPr>
          <w:p>
            <w:r>
              <w:rPr>
                <w:sz w:val="18"/>
                <w:szCs w:val="18"/>
              </w:rPr>
              <w:t xml:space="preserve">[0.4954, 0.5015]</w:t>
            </w:r>
          </w:p>
        </w:tc>
        <w:tc>
          <w:tcPr>
            <w:tcW w:type="dxa" w:w="2400"/>
          </w:tcPr>
          <w:p>
            <w:r>
              <w:rPr>
                <w:sz w:val="18"/>
                <w:szCs w:val="18"/>
              </w:rPr>
              <w:t xml:space="preserve">0.4375</w:t>
            </w:r>
          </w:p>
        </w:tc>
      </w:tr>
      <w:tr>
        <w:tc>
          <w:tcPr>
            <w:tcW w:type="dxa" w:w="2100"/>
          </w:tcPr>
          <w:p>
            <w:r>
              <w:rPr>
                <w:sz w:val="18"/>
                <w:szCs w:val="18"/>
              </w:rPr>
              <w:t xml:space="preserve">central, ε=1.0</w:t>
            </w:r>
          </w:p>
        </w:tc>
        <w:tc>
          <w:tcPr>
            <w:tcW w:type="dxa" w:w="2500"/>
          </w:tcPr>
          <w:p>
            <w:r>
              <w:rPr>
                <w:sz w:val="18"/>
                <w:szCs w:val="18"/>
              </w:rPr>
              <w:t xml:space="preserve">0.5024 (σ=0.0049)</w:t>
            </w:r>
          </w:p>
        </w:tc>
        <w:tc>
          <w:tcPr>
            <w:tcW w:type="dxa" w:w="2350"/>
          </w:tcPr>
          <w:p>
            <w:r>
              <w:rPr>
                <w:sz w:val="18"/>
                <w:szCs w:val="18"/>
              </w:rPr>
              <w:t xml:space="preserve">[0.4987, 0.5062]</w:t>
            </w:r>
          </w:p>
        </w:tc>
        <w:tc>
          <w:tcPr>
            <w:tcW w:type="dxa" w:w="2400"/>
          </w:tcPr>
          <w:p>
            <w:r>
              <w:rPr>
                <w:sz w:val="18"/>
                <w:szCs w:val="18"/>
              </w:rPr>
              <w:t xml:space="preserve">0.4375</w:t>
            </w:r>
          </w:p>
        </w:tc>
      </w:tr>
      <w:tr>
        <w:tc>
          <w:tcPr>
            <w:tcW w:type="dxa" w:w="2100"/>
          </w:tcPr>
          <w:p>
            <w:r>
              <w:rPr>
                <w:sz w:val="18"/>
                <w:szCs w:val="18"/>
              </w:rPr>
              <w:t xml:space="preserve">central, ε=0.5</w:t>
            </w:r>
          </w:p>
        </w:tc>
        <w:tc>
          <w:tcPr>
            <w:tcW w:type="dxa" w:w="2500"/>
          </w:tcPr>
          <w:p>
            <w:r>
              <w:rPr>
                <w:sz w:val="18"/>
                <w:szCs w:val="18"/>
              </w:rPr>
              <w:t xml:space="preserve">0.5003 (σ=0.0032)</w:t>
            </w:r>
          </w:p>
        </w:tc>
        <w:tc>
          <w:tcPr>
            <w:tcW w:type="dxa" w:w="2350"/>
          </w:tcPr>
          <w:p>
            <w:r>
              <w:rPr>
                <w:sz w:val="18"/>
                <w:szCs w:val="18"/>
              </w:rPr>
              <w:t xml:space="preserve">[0.4977, 0.5026]</w:t>
            </w:r>
          </w:p>
        </w:tc>
        <w:tc>
          <w:tcPr>
            <w:tcW w:type="dxa" w:w="2400"/>
          </w:tcPr>
          <w:p>
            <w:r>
              <w:rPr>
                <w:sz w:val="18"/>
                <w:szCs w:val="18"/>
              </w:rPr>
              <w:t xml:space="preserve">0.8125</w:t>
            </w:r>
          </w:p>
        </w:tc>
      </w:tr>
      <w:tr>
        <w:tc>
          <w:tcPr>
            <w:tcW w:type="dxa" w:w="2100"/>
          </w:tcPr>
          <w:p>
            <w:r>
              <w:rPr>
                <w:sz w:val="18"/>
                <w:szCs w:val="18"/>
              </w:rPr>
              <w:t xml:space="preserve">central, ε=0.1</w:t>
            </w:r>
          </w:p>
        </w:tc>
        <w:tc>
          <w:tcPr>
            <w:tcW w:type="dxa" w:w="2500"/>
          </w:tcPr>
          <w:p>
            <w:r>
              <w:rPr>
                <w:sz w:val="18"/>
                <w:szCs w:val="18"/>
              </w:rPr>
              <w:t xml:space="preserve">0.5020 (σ=0.0024)</w:t>
            </w:r>
          </w:p>
        </w:tc>
        <w:tc>
          <w:tcPr>
            <w:tcW w:type="dxa" w:w="2350"/>
          </w:tcPr>
          <w:p>
            <w:r>
              <w:rPr>
                <w:sz w:val="18"/>
                <w:szCs w:val="18"/>
              </w:rPr>
              <w:t xml:space="preserve">[0.5001, 0.5038]</w:t>
            </w:r>
          </w:p>
        </w:tc>
        <w:tc>
          <w:tcPr>
            <w:tcW w:type="dxa" w:w="2400"/>
          </w:tcPr>
          <w:p>
            <w:r>
              <w:rPr>
                <w:sz w:val="18"/>
                <w:szCs w:val="18"/>
              </w:rPr>
              <w:t xml:space="preserve">0.1875</w:t>
            </w:r>
          </w:p>
        </w:tc>
      </w:tr>
      <w:tr>
        <w:tc>
          <w:tcPr>
            <w:tcW w:type="dxa" w:w="2100"/>
          </w:tcPr>
          <w:p>
            <w:r>
              <w:rPr>
                <w:sz w:val="18"/>
                <w:szCs w:val="18"/>
              </w:rPr>
              <w:t xml:space="preserve">local, ε=1.0</w:t>
            </w:r>
          </w:p>
        </w:tc>
        <w:tc>
          <w:tcPr>
            <w:tcW w:type="dxa" w:w="2500"/>
          </w:tcPr>
          <w:p>
            <w:r>
              <w:rPr>
                <w:sz w:val="18"/>
                <w:szCs w:val="18"/>
              </w:rPr>
              <w:t xml:space="preserve">0.4983 (σ=0.0039)</w:t>
            </w:r>
          </w:p>
        </w:tc>
        <w:tc>
          <w:tcPr>
            <w:tcW w:type="dxa" w:w="2350"/>
          </w:tcPr>
          <w:p>
            <w:r>
              <w:rPr>
                <w:sz w:val="18"/>
                <w:szCs w:val="18"/>
              </w:rPr>
              <w:t xml:space="preserve">[0.4953, 0.5013]</w:t>
            </w:r>
          </w:p>
        </w:tc>
        <w:tc>
          <w:tcPr>
            <w:tcW w:type="dxa" w:w="2400"/>
          </w:tcPr>
          <w:p>
            <w:r>
              <w:rPr>
                <w:sz w:val="18"/>
                <w:szCs w:val="18"/>
              </w:rPr>
              <w:t xml:space="preserve">0.4375</w:t>
            </w:r>
          </w:p>
        </w:tc>
      </w:tr>
      <w:tr>
        <w:tc>
          <w:tcPr>
            <w:tcW w:type="dxa" w:w="2100"/>
          </w:tcPr>
          <w:p>
            <w:r>
              <w:rPr>
                <w:sz w:val="18"/>
                <w:szCs w:val="18"/>
              </w:rPr>
              <w:t xml:space="preserve">local, ε=0.5</w:t>
            </w:r>
          </w:p>
        </w:tc>
        <w:tc>
          <w:tcPr>
            <w:tcW w:type="dxa" w:w="2500"/>
          </w:tcPr>
          <w:p>
            <w:r>
              <w:rPr>
                <w:sz w:val="18"/>
                <w:szCs w:val="18"/>
              </w:rPr>
              <w:t xml:space="preserve">0.4975 (σ=0.0036)</w:t>
            </w:r>
          </w:p>
        </w:tc>
        <w:tc>
          <w:tcPr>
            <w:tcW w:type="dxa" w:w="2350"/>
          </w:tcPr>
          <w:p>
            <w:r>
              <w:rPr>
                <w:sz w:val="18"/>
                <w:szCs w:val="18"/>
              </w:rPr>
              <w:t xml:space="preserve">[0.4947, 0.5002]</w:t>
            </w:r>
          </w:p>
        </w:tc>
        <w:tc>
          <w:tcPr>
            <w:tcW w:type="dxa" w:w="2400"/>
          </w:tcPr>
          <w:p>
            <w:r>
              <w:rPr>
                <w:sz w:val="18"/>
                <w:szCs w:val="18"/>
              </w:rPr>
              <w:t xml:space="preserve">0.3125</w:t>
            </w:r>
          </w:p>
        </w:tc>
      </w:tr>
      <w:tr>
        <w:tc>
          <w:tcPr>
            <w:tcW w:type="dxa" w:w="2100"/>
          </w:tcPr>
          <w:p>
            <w:r>
              <w:rPr>
                <w:sz w:val="18"/>
                <w:szCs w:val="18"/>
              </w:rPr>
              <w:t xml:space="preserve">local, ε=0.1</w:t>
            </w:r>
          </w:p>
        </w:tc>
        <w:tc>
          <w:tcPr>
            <w:tcW w:type="dxa" w:w="2500"/>
          </w:tcPr>
          <w:p>
            <w:r>
              <w:rPr>
                <w:sz w:val="18"/>
                <w:szCs w:val="18"/>
              </w:rPr>
              <w:t xml:space="preserve">0.4986 (σ=0.0040)</w:t>
            </w:r>
          </w:p>
        </w:tc>
        <w:tc>
          <w:tcPr>
            <w:tcW w:type="dxa" w:w="2350"/>
          </w:tcPr>
          <w:p>
            <w:r>
              <w:rPr>
                <w:sz w:val="18"/>
                <w:szCs w:val="18"/>
              </w:rPr>
              <w:t xml:space="preserve">[0.4954, 0.5015]</w:t>
            </w:r>
          </w:p>
        </w:tc>
        <w:tc>
          <w:tcPr>
            <w:tcW w:type="dxa" w:w="2400"/>
          </w:tcPr>
          <w:p>
            <w:r>
              <w:rPr>
                <w:sz w:val="18"/>
                <w:szCs w:val="18"/>
              </w:rPr>
              <w:t xml:space="preserve">0.4375</w:t>
            </w:r>
          </w:p>
        </w:tc>
      </w:tr>
    </w:tbl>
    <w:p>
      <w:pPr>
        <w:spacing w:after="160"/>
      </w:pPr>
    </w:p>
    <w:p>
      <w:pPr>
        <w:spacing w:after="160"/>
        <w:jc w:val="both"/>
      </w:pPr>
      <w:r>
        <w:rPr>
          <w:b w:val="false"/>
          <w:bCs w:val="false"/>
          <w:i w:val="false"/>
          <w:iCs w:val="false"/>
        </w:rPr>
        <w:t xml:space="preserve">9 dei 10 intervalli di confidenza bootstrap al 95% delle configurazioni contengono 0.5, e nessuna media devia da 0.5 per più di 0.0025 in termini assoluti — comunque ben oltre un ordine di grandezza più stretto della soglia di controllo positivo di 0.60 usata nella verifica di sanità (§6). L'unica eccezione è central, ε=0.1, il cui IC ([0.5001, 0.5038]) esclude 0.5 per un margine ristretto; non è significativo secondo Wilcoxon (p=0.1875, lo stesso limite n=5 discusso più sotto) e la sua media (0.5020) resta comunque oltre un ordine di grandezza sotto la soglia di 0.60 — non lo leggiamo come evidenza di un vero segnale di leakage dipendente da DP, ma lo segnaliamo esplicitamente invece di mediarlo via. Questo vale uniformemente attraverso la collocazione DP (dp-fedavg / central / local) e il budget di privacy (ε ∈ {0.1, 0.5, 1.0}, più l'assenza totale di DP), rispondendo direttamente alla domanda centrale di questo paper: no, applicare la privacy differenziale al canale di comunicazione FL non ha bisogno di “funzionare” per prevenire il leakage di membership rilevabile da LiRA in questa architettura — nessun leakage rilevabile era presente nemmeno senza alcuna DP applicata.</w:t>
      </w:r>
    </w:p>
    <w:p>
      <w:pPr>
        <w:spacing w:after="160"/>
        <w:jc w:val="both"/>
      </w:pPr>
      <w:r>
        <w:rPr>
          <w:b w:val="false"/>
          <w:bCs w:val="false"/>
          <w:i w:val="false"/>
          <w:iCs w:val="false"/>
        </w:rPr>
        <w:t xml:space="preserve">Due delle tre collocazioni DP — dp-fedavg e local — riportano AUC LiRA composti identici a ogni ε in Tabella 2 sopra; non è una coincidenza né un errore di reporting. Entrambe applicano lo stesso meccanismo per-client (clipping del gradiente seguito da aggiunta di rumore, prima della sottomissione all'aggregatore) e differiscono solo nel fatto che l'aggiornamento clippato e rumoroso sia anche esposto al sottosistema di intrusion-detection sul percorso (local) oppure no (dp-fedavg) — una distinzione invisibile a un attaccante, come LiRA qui, che osserva solo l'aggiornamento sottomesso. Central differisce da entrambe aggiungendo rumore una sola volta, dopo l'aggregazione, invece che una volta per client prima di essa, motivo per cui è l'unica a produrre numeri LiRA diversi.</w:t>
      </w:r>
    </w:p>
    <w:p>
      <w:pPr>
        <w:spacing w:after="160"/>
        <w:jc w:val="both"/>
      </w:pPr>
      <w:r>
        <w:rPr>
          <w:b w:val="false"/>
          <w:bCs w:val="false"/>
          <w:i w:val="false"/>
          <w:iCs w:val="false"/>
        </w:rPr>
        <w:t xml:space="preserve">Un test di Wilcoxon a due code con n=5 seed non può raggiungere p&lt;0.05 per nessuna configurazione indipendentemente dai dati (il limite esatto del sign-test, 2×(1/32)=0.0625, è documentato in check_significance.py e si applica anche alla potenza di Wilcoxon a questa numerosità campionaria), quindi “fallire nel rigettare il nulla” in Tabella 2 non è di per sé evidenza di equivalenza al caso. Abbiamo quindi testato anche l'equivalenza statistica usando la procedura dei due test a una coda (TOST) (Schuirmann, 1987), col metodo dell'inclusione dell'intervallo di confidenza: una configurazione è dichiarata equivalente ad AUC=0.5 al margine 0.02 e α=0.05 quando il suo IC bootstrap al 90% cade interamente entro [0.48, 0.52]. Tutte le 10 configurazioni in Tabella 2 soddisfano questo criterio (es. central, ε=0.1: IC 95% [0.5001, 0.5038] dalla tabella sopra, l'IC al 90% usato per il TOST cade entro [0.48, 0.52]) — una affermazione materialmente più forte e più onesta di “non significativo”, e la più appropriata data la numerosità campionaria.</w:t>
      </w:r>
    </w:p>
    <w:p>
      <w:pPr>
        <w:spacing w:after="160"/>
        <w:jc w:val="both"/>
      </w:pPr>
      <w:r>
        <w:rPr>
          <w:b w:val="false"/>
          <w:bCs w:val="false"/>
          <w:i w:val="false"/>
          <w:iCs w:val="false"/>
        </w:rPr>
        <w:t xml:space="preserve">Il risultato nullo di Tabella 2 va letto insieme all'utilità del modello in ciascuna configurazione, poiché una difesa che distrugge anche il segnale che un attacco dovrebbe sfruttare è un risultato diverso da una difesa che preserva l'utilità pur bloccando l'attacco. mean_loss è la loss di ricostruzione media del modello globale FL nell'ultimo round di training, mediata sugli stessi 5 seed e deduplicata nello stesso modo di Tabella 2 (scripts/check_significance.py, per_round[ultimo_round]["fl"]["mean_loss"]).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c>
          <w:tcPr>
            <w:tcW w:type="dxa" w:w="3350"/>
            <w:shd w:fill="F2F2F2" w:val="clear"/>
          </w:tcPr>
          <w:p>
            <w:r>
              <w:rPr>
                <w:sz w:val="18"/>
                <w:szCs w:val="18"/>
              </w:rPr>
              <w:t xml:space="preserve">Configurazione</w:t>
            </w:r>
          </w:p>
        </w:tc>
        <w:tc>
          <w:tcPr>
            <w:tcW w:type="dxa" w:w="3000"/>
            <w:shd w:fill="F2F2F2" w:val="clear"/>
          </w:tcPr>
          <w:p>
            <w:r>
              <w:rPr>
                <w:sz w:val="18"/>
                <w:szCs w:val="18"/>
              </w:rPr>
              <w:t xml:space="preserve">mean_loss medio (ultimo round, 5 seed)</w:t>
            </w:r>
          </w:p>
        </w:tc>
        <w:tc>
          <w:tcPr>
            <w:tcW w:type="dxa" w:w="3000"/>
            <w:shd w:fill="F2F2F2" w:val="clear"/>
          </w:tcPr>
          <w:p>
            <w:r>
              <w:rPr>
                <w:sz w:val="18"/>
                <w:szCs w:val="18"/>
              </w:rPr>
              <w:t xml:space="preserve">U_cost vs baseline no-DP</w:t>
            </w:r>
          </w:p>
        </w:tc>
      </w:tr>
      <w:tr>
        <w:tc>
          <w:tcPr>
            <w:tcW w:type="dxa" w:w="3350"/>
            <w:shd w:fill="F2F2F2" w:val="clear"/>
          </w:tcPr>
          <w:p>
            <w:r>
              <w:rPr>
                <w:sz w:val="18"/>
                <w:szCs w:val="18"/>
              </w:rPr>
              <w:t xml:space="preserve">no-DP baseline</w:t>
            </w:r>
          </w:p>
        </w:tc>
        <w:tc>
          <w:tcPr>
            <w:tcW w:type="dxa" w:w="3000"/>
            <w:shd w:fill="F2F2F2" w:val="clear"/>
          </w:tcPr>
          <w:p>
            <w:r>
              <w:rPr>
                <w:sz w:val="18"/>
                <w:szCs w:val="18"/>
              </w:rPr>
              <w:t xml:space="preserve">0.0017</w:t>
            </w:r>
          </w:p>
        </w:tc>
        <w:tc>
          <w:tcPr>
            <w:tcW w:type="dxa" w:w="3000"/>
            <w:shd w:fill="F2F2F2" w:val="clear"/>
          </w:tcPr>
          <w:p>
            <w:r>
              <w:rPr>
                <w:sz w:val="18"/>
                <w:szCs w:val="18"/>
              </w:rPr>
              <w:t xml:space="preserve">— (baseline)</w:t>
            </w:r>
          </w:p>
        </w:tc>
      </w:tr>
      <w:tr>
        <w:tc>
          <w:tcPr>
            <w:tcW w:type="dxa" w:w="3350"/>
            <w:shd w:fill="F2F2F2" w:val="clear"/>
          </w:tcPr>
          <w:p>
            <w:r>
              <w:rPr>
                <w:sz w:val="18"/>
                <w:szCs w:val="18"/>
              </w:rPr>
              <w:t xml:space="preserve">dp-fedavg, ε=1.0</w:t>
            </w:r>
          </w:p>
        </w:tc>
        <w:tc>
          <w:tcPr>
            <w:tcW w:type="dxa" w:w="3000"/>
            <w:shd w:fill="F2F2F2" w:val="clear"/>
          </w:tcPr>
          <w:p>
            <w:r>
              <w:rPr>
                <w:sz w:val="18"/>
                <w:szCs w:val="18"/>
              </w:rPr>
              <w:t xml:space="preserve">0.4042</w:t>
            </w:r>
          </w:p>
        </w:tc>
        <w:tc>
          <w:tcPr>
            <w:tcW w:type="dxa" w:w="3000"/>
            <w:shd w:fill="F2F2F2" w:val="clear"/>
          </w:tcPr>
          <w:p>
            <w:r>
              <w:rPr>
                <w:sz w:val="18"/>
                <w:szCs w:val="18"/>
              </w:rPr>
              <w:t xml:space="preserve">×241</w:t>
            </w:r>
          </w:p>
        </w:tc>
      </w:tr>
      <w:tr>
        <w:tc>
          <w:tcPr>
            <w:tcW w:type="dxa" w:w="3350"/>
            <w:shd w:fill="F2F2F2" w:val="clear"/>
          </w:tcPr>
          <w:p>
            <w:r>
              <w:rPr>
                <w:sz w:val="18"/>
                <w:szCs w:val="18"/>
              </w:rPr>
              <w:t xml:space="preserve">dp-fedavg, ε=0.5</w:t>
            </w:r>
          </w:p>
        </w:tc>
        <w:tc>
          <w:tcPr>
            <w:tcW w:type="dxa" w:w="3000"/>
            <w:shd w:fill="F2F2F2" w:val="clear"/>
          </w:tcPr>
          <w:p>
            <w:r>
              <w:rPr>
                <w:sz w:val="18"/>
                <w:szCs w:val="18"/>
              </w:rPr>
              <w:t xml:space="preserve">0.4229</w:t>
            </w:r>
          </w:p>
        </w:tc>
        <w:tc>
          <w:tcPr>
            <w:tcW w:type="dxa" w:w="3000"/>
            <w:shd w:fill="F2F2F2" w:val="clear"/>
          </w:tcPr>
          <w:p>
            <w:r>
              <w:rPr>
                <w:sz w:val="18"/>
                <w:szCs w:val="18"/>
              </w:rPr>
              <w:t xml:space="preserve">×252</w:t>
            </w:r>
          </w:p>
        </w:tc>
      </w:tr>
      <w:tr>
        <w:tc>
          <w:tcPr>
            <w:tcW w:type="dxa" w:w="3350"/>
            <w:shd w:fill="F2F2F2" w:val="clear"/>
          </w:tcPr>
          <w:p>
            <w:r>
              <w:rPr>
                <w:sz w:val="18"/>
                <w:szCs w:val="18"/>
              </w:rPr>
              <w:t xml:space="preserve">dp-fedavg, ε=0.1</w:t>
            </w:r>
          </w:p>
        </w:tc>
        <w:tc>
          <w:tcPr>
            <w:tcW w:type="dxa" w:w="3000"/>
            <w:shd w:fill="F2F2F2" w:val="clear"/>
          </w:tcPr>
          <w:p>
            <w:r>
              <w:rPr>
                <w:sz w:val="18"/>
                <w:szCs w:val="18"/>
              </w:rPr>
              <w:t xml:space="preserve">0.4224</w:t>
            </w:r>
          </w:p>
        </w:tc>
        <w:tc>
          <w:tcPr>
            <w:tcW w:type="dxa" w:w="3000"/>
            <w:shd w:fill="F2F2F2" w:val="clear"/>
          </w:tcPr>
          <w:p>
            <w:r>
              <w:rPr>
                <w:sz w:val="18"/>
                <w:szCs w:val="18"/>
              </w:rPr>
              <w:t xml:space="preserve">×251</w:t>
            </w:r>
          </w:p>
        </w:tc>
      </w:tr>
      <w:tr>
        <w:tc>
          <w:tcPr>
            <w:tcW w:type="dxa" w:w="3350"/>
            <w:shd w:fill="F2F2F2" w:val="clear"/>
          </w:tcPr>
          <w:p>
            <w:r>
              <w:rPr>
                <w:sz w:val="18"/>
                <w:szCs w:val="18"/>
              </w:rPr>
              <w:t xml:space="preserve">local, ε=1.0</w:t>
            </w:r>
          </w:p>
        </w:tc>
        <w:tc>
          <w:tcPr>
            <w:tcW w:type="dxa" w:w="3000"/>
            <w:shd w:fill="F2F2F2" w:val="clear"/>
          </w:tcPr>
          <w:p>
            <w:r>
              <w:rPr>
                <w:sz w:val="18"/>
                <w:szCs w:val="18"/>
              </w:rPr>
              <w:t xml:space="preserve">0.4042</w:t>
            </w:r>
          </w:p>
        </w:tc>
        <w:tc>
          <w:tcPr>
            <w:tcW w:type="dxa" w:w="3000"/>
            <w:shd w:fill="F2F2F2" w:val="clear"/>
          </w:tcPr>
          <w:p>
            <w:r>
              <w:rPr>
                <w:sz w:val="18"/>
                <w:szCs w:val="18"/>
              </w:rPr>
              <w:t xml:space="preserve">×241</w:t>
            </w:r>
          </w:p>
        </w:tc>
      </w:tr>
      <w:tr>
        <w:tc>
          <w:tcPr>
            <w:tcW w:type="dxa" w:w="3350"/>
            <w:shd w:fill="F2F2F2" w:val="clear"/>
          </w:tcPr>
          <w:p>
            <w:r>
              <w:rPr>
                <w:sz w:val="18"/>
                <w:szCs w:val="18"/>
              </w:rPr>
              <w:t xml:space="preserve">local, ε=0.5</w:t>
            </w:r>
          </w:p>
        </w:tc>
        <w:tc>
          <w:tcPr>
            <w:tcW w:type="dxa" w:w="3000"/>
            <w:shd w:fill="F2F2F2" w:val="clear"/>
          </w:tcPr>
          <w:p>
            <w:r>
              <w:rPr>
                <w:sz w:val="18"/>
                <w:szCs w:val="18"/>
              </w:rPr>
              <w:t xml:space="preserve">0.4229</w:t>
            </w:r>
          </w:p>
        </w:tc>
        <w:tc>
          <w:tcPr>
            <w:tcW w:type="dxa" w:w="3000"/>
            <w:shd w:fill="F2F2F2" w:val="clear"/>
          </w:tcPr>
          <w:p>
            <w:r>
              <w:rPr>
                <w:sz w:val="18"/>
                <w:szCs w:val="18"/>
              </w:rPr>
              <w:t xml:space="preserve">×252</w:t>
            </w:r>
          </w:p>
        </w:tc>
      </w:tr>
      <w:tr>
        <w:tc>
          <w:tcPr>
            <w:tcW w:type="dxa" w:w="3350"/>
            <w:shd w:fill="F2F2F2" w:val="clear"/>
          </w:tcPr>
          <w:p>
            <w:r>
              <w:rPr>
                <w:sz w:val="18"/>
                <w:szCs w:val="18"/>
              </w:rPr>
              <w:t xml:space="preserve">local, ε=0.1</w:t>
            </w:r>
          </w:p>
        </w:tc>
        <w:tc>
          <w:tcPr>
            <w:tcW w:type="dxa" w:w="3000"/>
            <w:shd w:fill="F2F2F2" w:val="clear"/>
          </w:tcPr>
          <w:p>
            <w:r>
              <w:rPr>
                <w:sz w:val="18"/>
                <w:szCs w:val="18"/>
              </w:rPr>
              <w:t xml:space="preserve">0.4224</w:t>
            </w:r>
          </w:p>
        </w:tc>
        <w:tc>
          <w:tcPr>
            <w:tcW w:type="dxa" w:w="3000"/>
            <w:shd w:fill="F2F2F2" w:val="clear"/>
          </w:tcPr>
          <w:p>
            <w:r>
              <w:rPr>
                <w:sz w:val="18"/>
                <w:szCs w:val="18"/>
              </w:rPr>
              <w:t xml:space="preserve">×251</w:t>
            </w:r>
          </w:p>
        </w:tc>
      </w:tr>
      <w:tr>
        <w:tc>
          <w:tcPr>
            <w:tcW w:type="dxa" w:w="3350"/>
            <w:shd w:fill="F2F2F2" w:val="clear"/>
          </w:tcPr>
          <w:p>
            <w:r>
              <w:rPr>
                <w:sz w:val="18"/>
                <w:szCs w:val="18"/>
              </w:rPr>
              <w:t xml:space="preserve">central, ε=1.0</w:t>
            </w:r>
          </w:p>
        </w:tc>
        <w:tc>
          <w:tcPr>
            <w:tcW w:type="dxa" w:w="3000"/>
            <w:shd w:fill="F2F2F2" w:val="clear"/>
          </w:tcPr>
          <w:p>
            <w:r>
              <w:rPr>
                <w:sz w:val="18"/>
                <w:szCs w:val="18"/>
              </w:rPr>
              <w:t xml:space="preserve">0.3992</w:t>
            </w:r>
          </w:p>
        </w:tc>
        <w:tc>
          <w:tcPr>
            <w:tcW w:type="dxa" w:w="3000"/>
            <w:shd w:fill="F2F2F2" w:val="clear"/>
          </w:tcPr>
          <w:p>
            <w:r>
              <w:rPr>
                <w:sz w:val="18"/>
                <w:szCs w:val="18"/>
              </w:rPr>
              <w:t xml:space="preserve">×238</w:t>
            </w:r>
          </w:p>
        </w:tc>
      </w:tr>
      <w:tr>
        <w:tc>
          <w:tcPr>
            <w:tcW w:type="dxa" w:w="3350"/>
            <w:shd w:fill="F2F2F2" w:val="clear"/>
          </w:tcPr>
          <w:p>
            <w:r>
              <w:rPr>
                <w:sz w:val="18"/>
                <w:szCs w:val="18"/>
              </w:rPr>
              <w:t xml:space="preserve">central, ε=0.5</w:t>
            </w:r>
          </w:p>
        </w:tc>
        <w:tc>
          <w:tcPr>
            <w:tcW w:type="dxa" w:w="3000"/>
            <w:shd w:fill="F2F2F2" w:val="clear"/>
          </w:tcPr>
          <w:p>
            <w:r>
              <w:rPr>
                <w:sz w:val="18"/>
                <w:szCs w:val="18"/>
              </w:rPr>
              <w:t xml:space="preserve">0.4762</w:t>
            </w:r>
          </w:p>
        </w:tc>
        <w:tc>
          <w:tcPr>
            <w:tcW w:type="dxa" w:w="3000"/>
            <w:shd w:fill="F2F2F2" w:val="clear"/>
          </w:tcPr>
          <w:p>
            <w:r>
              <w:rPr>
                <w:sz w:val="18"/>
                <w:szCs w:val="18"/>
              </w:rPr>
              <w:t xml:space="preserve">×284</w:t>
            </w:r>
          </w:p>
        </w:tc>
      </w:tr>
      <w:tr>
        <w:tc>
          <w:tcPr>
            <w:tcW w:type="dxa" w:w="3350"/>
            <w:shd w:fill="F2F2F2" w:val="clear"/>
          </w:tcPr>
          <w:p>
            <w:r>
              <w:rPr>
                <w:sz w:val="18"/>
                <w:szCs w:val="18"/>
              </w:rPr>
              <w:t xml:space="preserve">central, ε=0.1</w:t>
            </w:r>
          </w:p>
        </w:tc>
        <w:tc>
          <w:tcPr>
            <w:tcW w:type="dxa" w:w="3000"/>
            <w:shd w:fill="F2F2F2" w:val="clear"/>
          </w:tcPr>
          <w:p>
            <w:r>
              <w:rPr>
                <w:sz w:val="18"/>
                <w:szCs w:val="18"/>
              </w:rPr>
              <w:t xml:space="preserve">0.4813</w:t>
            </w:r>
          </w:p>
        </w:tc>
        <w:tc>
          <w:tcPr>
            <w:tcW w:type="dxa" w:w="3000"/>
            <w:shd w:fill="F2F2F2" w:val="clear"/>
          </w:tcPr>
          <w:p>
            <w:r>
              <w:rPr>
                <w:sz w:val="18"/>
                <w:szCs w:val="18"/>
              </w:rPr>
              <w:t xml:space="preserve">×287</w:t>
            </w:r>
          </w:p>
        </w:tc>
      </w:tr>
    </w:tbl>
    <w:p>
      <w:pPr>
        <w:spacing w:after="160"/>
        <w:jc w:val="both"/>
      </w:pPr>
      <w:r>
        <w:rPr>
          <w:b w:val="false"/>
          <w:bCs w:val="false"/>
          <w:i w:val="false"/>
          <w:iCs w:val="false"/>
        </w:rPr>
        <w:t xml:space="preserve">Ogni configurazione DP aumenta la loss di ricostruzione media di circa 240–290× rispetto alla baseline no-DP (0.0017), indipendentemente da collocazione o ε, ed è vicina a un modello non funzionale in termini assoluti. Questo è un confondente per il risultato nullo sopra: con un modello a 570 parametri e rumore per-peso σ che va da 4.84 (ε=1.0) a 48.4 (ε=0.1) (§3.4), è plausibile che il modello mantenga troppo poco del segnale di training perché qualunque attacco — non solo LiRA — possa rilevare la membership, invece che la DP neutralizzi specificamente un attacco che altrimenti riuscirebbe. La baseline no-DP in Tabella 2 (anch'essa indistinguibile dal caso) è l'evidenza più forte contro questa spiegazione alternativa: mostra che l'architettura stessa non memorizza abbastanza perché LiRA rilevi la membership anche senza alcun rumore, quindi i risultati nulli delle configurazioni DP non sono solo un artefatto della distruzione di utilità. Riportiamo comunque U_cost esplicitamente, non solo il risultato nullo dell'AUC, così che questo confondente resti visibile invece che implicito.</w:t>
      </w:r>
    </w:p>
    <w:p>
      <w:pPr>
        <w:spacing w:after="160"/>
        <w:jc w:val="both"/>
      </w:pPr>
      <w:r>
        <w:rPr>
          <w:b w:val="false"/>
          <w:bCs w:val="false"/>
          <w:i w:val="false"/>
          <w:iCs w:val="false"/>
        </w:rPr>
        <w:t xml:space="preserve">Seguendo l'argomento di Carlini et al. [2] secondo cui metriche di caso medio come l'AUC-ROC possono nascondere la capacità di un attacco di isolare i membri a un tasso di falsi positivi fisso e basso, abbiamo inoltre ri-analizzato la stessa campagna 5-seed × 10-configurazioni sul TPR@FPR di LiRA composto per FPR ∈ {0.1%, 1%, 5%}, con la stessa procedura di IC bootstrap e Wilcoxon della Tabella 2, testata contro il corretto livello di caso per una statistica a FPR fisso (un attacco non informativo si trova sulla diagonale ROC, quindi il caso è TPR = FPR, non 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600"/>
        <w:gridCol w:w="2450"/>
      </w:tblGrid>
      <w:tr>
        <w:tc>
          <w:tcPr>
            <w:tcW w:type="dxa" w:w="1800"/>
            <w:shd w:fill="F2F2F2" w:val="clear"/>
          </w:tcPr>
          <w:p>
            <w:r>
              <w:rPr>
                <w:sz w:val="18"/>
                <w:szCs w:val="18"/>
              </w:rPr>
              <w:t xml:space="preserve">FPR target</w:t>
            </w:r>
          </w:p>
        </w:tc>
        <w:tc>
          <w:tcPr>
            <w:tcW w:type="dxa" w:w="2500"/>
            <w:shd w:fill="F2F2F2" w:val="clear"/>
          </w:tcPr>
          <w:p>
            <w:r>
              <w:rPr>
                <w:sz w:val="18"/>
                <w:szCs w:val="18"/>
              </w:rPr>
              <w:t xml:space="preserve">Intervallo medio TPR (10 gruppi)</w:t>
            </w:r>
          </w:p>
        </w:tc>
        <w:tc>
          <w:tcPr>
            <w:tcW w:type="dxa" w:w="2600"/>
            <w:shd w:fill="F2F2F2" w:val="clear"/>
          </w:tcPr>
          <w:p>
            <w:r>
              <w:rPr>
                <w:sz w:val="18"/>
                <w:szCs w:val="18"/>
              </w:rPr>
              <w:t xml:space="preserve">IC 95% esclude il livello di caso</w:t>
            </w:r>
          </w:p>
        </w:tc>
        <w:tc>
          <w:tcPr>
            <w:tcW w:type="dxa" w:w="2450"/>
            <w:shd w:fill="F2F2F2" w:val="clear"/>
          </w:tcPr>
          <w:p>
            <w:r>
              <w:rPr>
                <w:sz w:val="18"/>
                <w:szCs w:val="18"/>
              </w:rPr>
              <w:t xml:space="preserve">Intervallo p Wilcoxon (10 gruppi)</w:t>
            </w:r>
          </w:p>
        </w:tc>
      </w:tr>
      <w:tr>
        <w:tc>
          <w:tcPr>
            <w:tcW w:type="dxa" w:w="1800"/>
          </w:tcPr>
          <w:p>
            <w:r>
              <w:rPr>
                <w:sz w:val="18"/>
                <w:szCs w:val="18"/>
              </w:rPr>
              <w:t xml:space="preserve">0.1% (0.001)</w:t>
            </w:r>
          </w:p>
        </w:tc>
        <w:tc>
          <w:tcPr>
            <w:tcW w:type="dxa" w:w="2500"/>
          </w:tcPr>
          <w:p>
            <w:r>
              <w:rPr>
                <w:sz w:val="18"/>
                <w:szCs w:val="18"/>
              </w:rPr>
              <w:t xml:space="preserve">[0.0008, 0.0012]</w:t>
            </w:r>
          </w:p>
        </w:tc>
        <w:tc>
          <w:tcPr>
            <w:tcW w:type="dxa" w:w="2600"/>
          </w:tcPr>
          <w:p>
            <w:r>
              <w:rPr>
                <w:sz w:val="18"/>
                <w:szCs w:val="18"/>
              </w:rPr>
              <w:t xml:space="preserve">0 / 10</w:t>
            </w:r>
          </w:p>
        </w:tc>
        <w:tc>
          <w:tcPr>
            <w:tcW w:type="dxa" w:w="2450"/>
          </w:tcPr>
          <w:p>
            <w:r>
              <w:rPr>
                <w:sz w:val="18"/>
                <w:szCs w:val="18"/>
              </w:rPr>
              <w:t xml:space="preserve">[0.3125, 1.0000]</w:t>
            </w:r>
          </w:p>
        </w:tc>
      </w:tr>
      <w:tr>
        <w:tc>
          <w:tcPr>
            <w:tcW w:type="dxa" w:w="1800"/>
          </w:tcPr>
          <w:p>
            <w:r>
              <w:rPr>
                <w:sz w:val="18"/>
                <w:szCs w:val="18"/>
              </w:rPr>
              <w:t xml:space="preserve">1% (0.01)</w:t>
            </w:r>
          </w:p>
        </w:tc>
        <w:tc>
          <w:tcPr>
            <w:tcW w:type="dxa" w:w="2500"/>
          </w:tcPr>
          <w:p>
            <w:r>
              <w:rPr>
                <w:sz w:val="18"/>
                <w:szCs w:val="18"/>
              </w:rPr>
              <w:t xml:space="preserve">[0.0092, 0.0109]</w:t>
            </w:r>
          </w:p>
        </w:tc>
        <w:tc>
          <w:tcPr>
            <w:tcW w:type="dxa" w:w="2600"/>
          </w:tcPr>
          <w:p>
            <w:r>
              <w:rPr>
                <w:sz w:val="18"/>
                <w:szCs w:val="18"/>
              </w:rPr>
              <w:t xml:space="preserve">2 / 10 (entrambi sotto il caso)</w:t>
            </w:r>
          </w:p>
        </w:tc>
        <w:tc>
          <w:tcPr>
            <w:tcW w:type="dxa" w:w="2450"/>
          </w:tcPr>
          <w:p>
            <w:r>
              <w:rPr>
                <w:sz w:val="18"/>
                <w:szCs w:val="18"/>
              </w:rPr>
              <w:t xml:space="preserve">[0.1250, 0.8125]</w:t>
            </w:r>
          </w:p>
        </w:tc>
      </w:tr>
      <w:tr>
        <w:tc>
          <w:tcPr>
            <w:tcW w:type="dxa" w:w="1800"/>
          </w:tcPr>
          <w:p>
            <w:r>
              <w:rPr>
                <w:sz w:val="18"/>
                <w:szCs w:val="18"/>
              </w:rPr>
              <w:t xml:space="preserve">5% (0.05)</w:t>
            </w:r>
          </w:p>
        </w:tc>
        <w:tc>
          <w:tcPr>
            <w:tcW w:type="dxa" w:w="2500"/>
          </w:tcPr>
          <w:p>
            <w:r>
              <w:rPr>
                <w:sz w:val="18"/>
                <w:szCs w:val="18"/>
              </w:rPr>
              <w:t xml:space="preserve">[0.0483, 0.0515]</w:t>
            </w:r>
          </w:p>
        </w:tc>
        <w:tc>
          <w:tcPr>
            <w:tcW w:type="dxa" w:w="2600"/>
          </w:tcPr>
          <w:p>
            <w:r>
              <w:rPr>
                <w:sz w:val="18"/>
                <w:szCs w:val="18"/>
              </w:rPr>
              <w:t xml:space="preserve">0 / 10</w:t>
            </w:r>
          </w:p>
        </w:tc>
        <w:tc>
          <w:tcPr>
            <w:tcW w:type="dxa" w:w="2450"/>
          </w:tcPr>
          <w:p>
            <w:r>
              <w:rPr>
                <w:sz w:val="18"/>
                <w:szCs w:val="18"/>
              </w:rPr>
              <w:t xml:space="preserve">[0.1875, 1.0000]</w:t>
            </w:r>
          </w:p>
        </w:tc>
      </w:tr>
    </w:tbl>
    <w:p>
      <w:pPr>
        <w:spacing w:after="160"/>
      </w:pPr>
    </w:p>
    <w:p>
      <w:pPr>
        <w:spacing w:after="160"/>
        <w:jc w:val="both"/>
      </w:pPr>
      <w:r>
        <w:rPr>
          <w:b w:val="false"/>
          <w:bCs w:val="false"/>
          <w:i w:val="false"/>
          <w:iCs w:val="false"/>
        </w:rPr>
        <w:t xml:space="preserve">Sui 30 test (10 configurazioni × 3 target FPR), 2 configurazioni su 10 hanno l'IC al 95% che esclude la diagonale di caso a FPR=1% (dp-fedavg ε=0.1 e local ε=0.1, entrambe con TPR medio sotto il caso — più debole, non più forte, di un attaccante casuale in quel punto operativo), e nessuna delle due è significativa secondo Wilcoxon (p=0.1250 in entrambi i casi, lo stesso limite n=5 discusso per la Tabella 2). Nessuna configurazione mostra un risultato TPR@low-FPR che escluda l'IC E sia significativo per Wilcoxon, a nessuno dei tre target. Il risultato nullo della Tabella 2 vale quindi anche sotto la metrica a basso-FPR fisso che la stessa costruzione di attacco citata in questo paper sostiene essere più informativa, non solo sotto l'AUC-ROC. I numeri completi per ogni configurazione per tutti e tre i target FPR sono disponibili insieme ai dati grezzi della campagna e possono essere tabulati in un'appendice se i revisori desiderano la scomposizione completa a 30 righe invece di questa sintesi.</w:t>
      </w:r>
    </w:p>
    <w:p>
      <w:pPr>
        <w:spacing w:after="160"/>
        <w:jc w:val="both"/>
      </w:pPr>
      <w:r>
        <w:rPr>
          <w:b w:val="false"/>
          <w:bCs w:val="false"/>
          <w:i w:val="false"/>
          <w:iCs w:val="false"/>
        </w:rPr>
        <w:t xml:space="preserve">AGGIORNAMENTO 2026-09-14 (bug reale trovato indipendentemente durante una verifica del feedback esterno, non segnalato dal revisore stesso): la Tabella 2 sopra e il paragrafo di cross-validazione NVFLARE sotto riportavano fino a questa data mean_lira_auc_roc (media delle AUC per-round) invece di composed_lira_auc_roc (evidenza LiRA sommata su tutti i round), nonostante il testo dichiari esplicitamente di riportare quest'ultima. Le due statistiche non sono equivalenti: mediare AUC per-round comprime la varianza inter-seed rispetto a comporre l'evidenza — coerente con l'osservazione che il σ pubblicato (0.0004–0.0012) fosse implausibilmente piccolo per un esperimento MIA. Fix: scripts/check_significance.py ora estrae composed_lira_auc_roc da ogni file; i numeri sopra e nel paragrafo NVFLARE sotto sono stati rigenerati con la statistica corretta. La conclusione qualitativa resta in gran parte invariata (9/10 configurazioni contengono ancora 0.5), con un'unica eccezione esplicita (central, ε=0.1) discussa nel testo sopra.</w:t>
      </w:r>
    </w:p>
    <w:p>
      <w:pPr>
        <w:spacing w:after="160"/>
        <w:jc w:val="both"/>
      </w:pPr>
      <w:r>
        <w:rPr>
          <w:b w:val="false"/>
          <w:bCs w:val="false"/>
          <w:i w:val="false"/>
          <w:iCs w:val="false"/>
        </w:rPr>
        <w:t xml:space="preserve">AGGIORNAMENTO 2026-09-14 (seconda nota, dopo una revisione esterna indipendente sull’intero paper e codice): i numeri di Tabella 2 sopra vanno letti alla luce di tre correzioni successive documentate in questa sezione e in §3.5/§6: (1) il test di equivalenza TOST (Schuirmann 1987) sostituisce ora la lettura “fail-to-reject” del sign-test con n=5 (che non puo' raggiungere significatività per costruzione) con un test positivo di equivalenza al margine |AUC-0.5|&lt;0.02 — tutte le 10 configurazioni risultano equivalenti a 0.5 con questo criterio piu' rigoroso; (2) è stato introdotto un flag diagnostico opt-in (cfg["lira"]["floor_mode"], invariato di default) che disattiva il floor di varianza condiviso sigma_in/sigma_out per central — dove tale floor viene raggiunto nel 95–99% dei campioni — per verificare se il floor stesso stia mascherando un segnale reale (lira_debug_matched_formula_auc collassa a 0.21–0.34 su central pur con AUC composta vicina a 0.5); questa verifica richiede un run reale non ancora eseguito alla data di questa nota e i numeri di Tabella 2 per central vanno quindi letti come provvisori rispetto a questa verifica in corso; (3) scipy e' stato aggiunto alle dipendenze dichiarate del progetto (era gia' installato in questo ambiente, quindi il test di Wilcoxon citato sopra e' comunque quello reale, non il fallback).</w:t>
      </w:r>
    </w:p>
    <w:p>
      <w:pPr>
        <w:spacing w:after="160"/>
        <w:jc w:val="both"/>
      </w:pPr>
      <w:r>
        <w:rPr>
          <w:b w:val="false"/>
          <w:bCs w:val="false"/>
          <w:i w:val="false"/>
          <w:iCs w:val="false"/>
        </w:rPr>
        <w:t xml:space="preserve">Abbiamo inoltre validato incrociando i risultati con il deployment reale Containerlab/NVFLARE su entrambe le collocazioni DP primarie, usando lo stesso codice di attacco non modificato, tutte a ε=1.0 su 10 round su 5 container reali. central: AUC LiRA composto per seed 0.5006 / 0.5056 / 0.5042 / 0.5063 (seed 123 / 456 / 789 / 1234, post-fix; più una baseline pre-fix con seed 42, esclusa da questa media). local: AUC LiRA composto per seed 0.4977 / 0.5002 / 0.4963 / 0.5032 / 0.5021 (seed 42 / 123 / 456 / 789 / 1234), IC bootstrap 95% [0.4976, 0.5022] — contiene 0.5. La media di central (0.5042, n=4, IC 95% [0.5019, 0.5059]) si colloca più lontana da 0.5 rispetto all'equivalente della simulazione single-process e, con questo n più piccolo, il suo IC esclude 0.5; non lo leggiamo come un vero effetto di collocazione DP — resta due ordini di grandezza sotto la soglia di controllo positivo di 0.60, e n=4 è troppo piccolo per trarre una conclusione ferma in un senso o nell'altro — ma lo segnaliamo invece di descrivere entrambe le collocazioni semplicemente come “coerenti”. Uno sweep di ε ({0.5, 0.1}) su NVFLARE per entrambe le collocazioni è in corso al momento della scrittura.</w:t>
      </w:r>
    </w:p>
    <w:p>
      <w:pPr>
        <w:pStyle w:val="Heading1"/>
        <w:spacing w:after="140" w:before="280"/>
      </w:pPr>
      <w:r>
        <w:t xml:space="preserve">8. Punteggio di Esposizione alla Privacy (PES_v1)</w:t>
      </w:r>
    </w:p>
    <w:p>
      <w:pPr>
        <w:spacing w:after="160"/>
        <w:jc w:val="both"/>
      </w:pPr>
      <w:r>
        <w:rPr>
          <w:b w:val="false"/>
          <w:bCs w:val="false"/>
          <w:i w:val="false"/>
          <w:iCs w:val="false"/>
        </w:rPr>
        <w:t xml:space="preserve">ε da solo non è interpretabile, ed è per questo divario che esiste questa sezione: Rahman et al. [16] motivano il proprio studio notando che la differential privacy è stata "sempre criticata per non essere in grado di fornire una spiegazione intuitiva del parametro di privacy ε," e mirano a dare a ε un significato empirico concreto misurando il successo di membership inference che permette davvero. PES_v1 persegue lo stesso obiettivo per questo progetto: invece di riportare solo ε, riporta un unico punteggio di rischio che combina il budget DP nominale con il vantaggio residuo dell’attacco effettivamente osservato.</w:t>
      </w:r>
    </w:p>
    <w:p>
      <w:pPr>
        <w:spacing w:after="160"/>
        <w:jc w:val="both"/>
      </w:pPr>
      <w:r>
        <w:rPr>
          <w:b w:val="false"/>
          <w:bCs w:val="false"/>
          <w:i w:val="false"/>
          <w:iCs w:val="false"/>
        </w:rPr>
        <w:t xml:space="preserve">PES_v1 combina il vantaggio residuo dell'attacco con il budget DP nominale in un unico punteggio di rischio: L(AUC) = clip(2·max(0, AUC−0.5), 0, 1) (0 = caso, 1 = attacco perfetto); strength(ε) = 1/(1+ε) per una configurazione DP, 0 per la baseline senza DP; PES_v1 = L(AUC) · strength(ε). U_cost (degrado relativo dell'utilità del FL) è riportato come asse complementare, deliberatamente non integrato moltiplicativamente in PES_v1, per evitare quella che definiamo esplicitamente la fallacia della "privacy perfetta a utilità zero": una configurazione che distrugge l'utilità del modello può banalmente portare L(AUC) a 0 senza fornire alcuna protezione della privacy degna di questo nome.</w:t>
      </w:r>
    </w:p>
    <w:p>
      <w:pPr>
        <w:spacing w:after="160"/>
        <w:jc w:val="both"/>
      </w:pPr>
      <w:r>
        <w:rPr>
          <w:b w:val="false"/>
          <w:bCs w:val="false"/>
          <w:i w:val="false"/>
          <w:iCs w:val="false"/>
        </w:rPr>
        <w:t xml:space="preserve">L(AUC) è progettato per svolgere lo stesso ruolo concettuale della quantità di membership-advantage formalmente limitata da Yeom et al. [1a] a e^ε − 1 per meccanismi ε-DP puri, e — più precisamente, poiché il nostro Meccanismo Gaussiano garantisce (ε,δ)-DP, non ε-DP puro — da Humphries et al. [1b] a (e^ε − 1 + 2δ)/(e^ε + 1). Dichiariamo esplicitamente che questo motiva la dipendenza da ε di PES_v1 senza rivendicare un limite derivato esatto; strength(ε) = 1/(1+ε) resta una ponderazione euristica progettata, non derivata. Un raffinamento ("PES v1.1", che normalizza il vantaggio osservato direttamente rispetto al limite di Humphries una volta che il TPR@low-FPR fornisce una metrica con una corrispondenza formale più pulita rispetto all'AUC) è lavoro futuro.</w:t>
      </w:r>
    </w:p>
    <w:p>
      <w:pPr>
        <w:pStyle w:val="Heading1"/>
        <w:spacing w:after="140" w:before="280"/>
      </w:pPr>
      <w:r>
        <w:t xml:space="preserve">9. Limitazioni</w:t>
      </w:r>
    </w:p>
    <w:p>
      <w:pPr>
        <w:spacing w:after="160"/>
        <w:jc w:val="both"/>
      </w:pPr>
      <w:r>
        <w:rPr>
          <w:b w:val="false"/>
          <w:bCs w:val="false"/>
          <w:i w:val="false"/>
          <w:iCs w:val="false"/>
        </w:rPr>
        <w:t xml:space="preserve">Dichiariamo nove limitazioni esplicitamente piuttosto che lasciare che un revisore le scopra:</w:t>
      </w:r>
    </w:p>
    <w:p>
      <w:pPr>
        <w:pStyle w:val="ListParagraph"/>
        <w:numPr>
          <w:ilvl w:val="0"/>
          <w:numId w:val="1"/>
        </w:numPr>
        <w:spacing w:after="90"/>
      </w:pPr>
      <w:r>
        <w:t xml:space="preserve">Architettura di modello singola (autoencoder a 570 parametri); inquadrata come coerente con deployment edge/cyber-fisici vincolati, non un limite hardware dimostrato. La caratterizzazione MIA cross-architettura (ResNet/Transformer/DNN) è fuori ambito.</w:t>
      </w:r>
    </w:p>
    <w:p>
      <w:pPr>
        <w:pStyle w:val="ListParagraph"/>
        <w:numPr>
          <w:ilvl w:val="0"/>
          <w:numId w:val="1"/>
        </w:numPr>
        <w:spacing w:after="90"/>
      </w:pPr>
      <w:r>
        <w:t xml:space="preserve">Tre siti reali / cinque nodi Containerlab, non 50–100 client eterogenei — un regime Enterprise Cross-Silo FL [13], scelto per validità ecologica rispetto alla frammentazione sintetica; il comportamento di PES_v1 sotto FL cross-device a grande N e alta eterogeneità non è testato.</w:t>
      </w:r>
    </w:p>
    <w:p>
      <w:pPr>
        <w:pStyle w:val="ListParagraph"/>
        <w:numPr>
          <w:ilvl w:val="0"/>
          <w:numId w:val="1"/>
        </w:numPr>
        <w:spacing w:after="90"/>
      </w:pPr>
      <w:r>
        <w:t xml:space="preserve">PES_v1 è fondato informalmente, non formalmente (§8) — un'analogia con limiti stabiliti, non una garanzia derivata.</w:t>
      </w:r>
    </w:p>
    <w:p>
      <w:pPr>
        <w:pStyle w:val="ListParagraph"/>
        <w:numPr>
          <w:ilvl w:val="0"/>
          <w:numId w:val="1"/>
        </w:numPr>
        <w:spacing w:after="90"/>
      </w:pPr>
      <w:r>
        <w:t xml:space="preserve">Dataset singolo (solo ACN-Data); la replica su un secondo dataset EV raccolto indipendentemente (ChargePlace Scotland) è lavoro futuro.</w:t>
      </w:r>
    </w:p>
    <w:p>
      <w:pPr>
        <w:pStyle w:val="ListParagraph"/>
        <w:numPr>
          <w:ilvl w:val="0"/>
          <w:numId w:val="1"/>
        </w:numPr>
        <w:spacing w:after="90"/>
      </w:pPr>
      <w:r>
        <w:t xml:space="preserve">Solo clipping del gradiente a soglia fissa; il confronto DP è tra collocazioni (dp-fedavg/central/local), non tra strategie di clipping — il clipping adattivo/basato su percentili è lavoro futuro. Solo clipping client-level (§3.4): nessuna delle tre collocazioni limita il contributo di un singolo record come fa DP-SGD per-esempio; implementare e valutare un vero DP-SGD per-esempio come quarta collocazione è lavoro futuro.</w:t>
      </w:r>
    </w:p>
    <w:p>
      <w:pPr>
        <w:pStyle w:val="ListParagraph"/>
        <w:numPr>
          <w:ilvl w:val="0"/>
          <w:numId w:val="1"/>
        </w:numPr>
        <w:spacing w:after="90"/>
      </w:pPr>
      <w:r>
        <w:t xml:space="preserve">Nessun attaccante adattivo/consapevole dell'auditor (§4.3) — il nostro risultato nullo esclude tre attacchi standard di letteratura (Yeom/Shadow/LiRA), non un attacco su misura calibrato esattamente su questo setup.</w:t>
      </w:r>
    </w:p>
    <w:p>
      <w:pPr>
        <w:pStyle w:val="ListParagraph"/>
        <w:numPr>
          <w:ilvl w:val="0"/>
          <w:numId w:val="1"/>
        </w:numPr>
        <w:spacing w:after="90"/>
      </w:pPr>
      <w:r>
        <w:t xml:space="preserve">Un controllo positivo è stato ottenuto tramite l'inserimento di canary (§6.2): la loss di ricostruzione grezza lo rileva in ogni sito testato (AUC 0.70–0.90 a Office 1); il punteggio LiRA calibrato lo rileva in modo affidabile solo a Office 1 (AUC composto 0.6875, dopo la correzione di un bug di contaminazione nel campionamento shadow), e non riproduce il segnale a Caltech/JPL nemmeno quando la densità di duplicati è equiparata a quella di Office 1 (≈10%) — una dipendenza dal sito nella calibrazione di LiRA sotto questo disegno artificiale di quasi-duplicati che è solo parzialmente compresa, non un'evidenza contro la sensibilità sottostante dello strumento o contro il risultato nullo su dati naturali in §7.</w:t>
      </w:r>
    </w:p>
    <w:p>
      <w:pPr>
        <w:pStyle w:val="ListParagraph"/>
        <w:numPr>
          <w:ilvl w:val="0"/>
          <w:numId w:val="1"/>
        </w:numPr>
        <w:spacing w:after="90"/>
      </w:pPr>
      <w:r>
        <w:t xml:space="preserve">La composizione attraverso i round FL è naive (ε_totale = ε_per_round × round), non Rényi DP (RDP) o zCDP — un divario reale: Jayaraman ed Evans [15] mostrano che la composizione naive richiede 50× il budget che serve a RDP per un'utilità equivalente su un compito comparabile (§2), quindi il nostro ε multi-round riportato è un limite superiore conservativo (largo), non una garanzia stretta. Questo non influisce sulle misurazioni MIA in sé, che sono empiriche e indipendenti dal limite di composizione usato per dichiarare il budget teorico. Abbiamo inoltre implementato il limite di composizione avanzata in forma chiusa (Dwork e Roth [6], Teorema 3.20) e lo abbiamo calcolato per ogni esperimento già completato (epsilon_cumulative_advanced, scripts/compute_advanced_composition.py): ai T=10 round usati in tutta questa campagna, non è mai più stretto del limite naive sopra — la composizione avanzata è un miglioramento asintotico large-round/small-ε che richiede molti più round di quanti ne usiamo (analiticamente: ≥29 round a ε=0.1, ≥187 a ε=0.5, e mai a ε=1.0, poiché ε ≥ ln(2)≈0.693 esclude qualunque crossover a un numero finito di round). Un accountant RDP specifico per il meccanismo Gaussiano resta la via più promettente verso un numero più stretto e non è implementato — lavoro futuro. I risultati sono validati su ACN-Data reale sia in simulazione che in un deployment reale; la campagna bootstrap completa 5-seed × 10-configurazioni (§7) è completa, incluse le due configurazioni (central/local, ε=0.5) mancanti dalla precedente campagna a 8 configurazioni. Un vero test di Wilcoxon a rango con segno è stato eseguito su una macchina con scipy: nessuno dei 10 gruppi di configurazione mostra un AUC significativamente diverso da 0.5 (p compreso tra 0.3125–1.0000, tutti ben sopra 0.05). Due bug reali di conflazione dei dati sono stati trovati e corretti durante questo processo: primo (2026-09-04), il gruppo "baseline no-DP" aveva silenziosamente incluso file di un esperimento di robustezza non correlato (split train/holdout entity-aware) insieme ai propri seed reali, gonfiando n da 5 a 10; secondo (2026-09-08), i rilanci della campagna stessa — che riutilizzavano gli stessi 5 seed per aggiungere metriche precedentemente mancanti piuttosto che per aggiungere potenza statistica — venivano contati come osservazioni indipendenti aggiuntive invece che come sostituzioni, gonfiando n a 10 o 15 a seconda della configurazione, e per "central" in particolare mescolando dati pre-fix (prima di una correzione di sensibilità DP, vedi §3.4) con dati corretti post-fix. Entrambi sono stati corretti tramite deduplicazione per (configurazione, seed), mantenendo solo il file più recente per ogni seed; tutti e 10 i gruppi ora mostrano correttamente n=5. Il TPR@low-FPR è presente in ogni file di risultato di questa campagna finale (il campo è stato implementato dopo che la precedente campagna a 8 configurazioni, ora superata, era già iniziata, motivo per cui quel run non lo aveva), ed è stato ora testato con bootstrap/Wilcoxon a FPR ∈ {0.1%, 1%, 5%} (§7) seguendo l'argomento di Carlini et al. [2] secondo cui l'AUC-ROC può nascondere un segnale a basso FPR, con lo stesso risultato nullo dell'analisi AUC-ROC.</w:t>
      </w:r>
    </w:p>
    <w:p>
      <w:pPr>
        <w:pStyle w:val="Heading1"/>
        <w:spacing w:after="140" w:before="280"/>
      </w:pPr>
      <w:r>
        <w:t xml:space="preserve">10. Discussione e Conclusione</w:t>
      </w:r>
    </w:p>
    <w:p>
      <w:pPr>
        <w:spacing w:after="160"/>
        <w:jc w:val="both"/>
      </w:pPr>
      <w:r>
        <w:rPr>
          <w:b w:val="false"/>
          <w:bCs w:val="false"/>
          <w:i w:val="false"/>
          <w:iCs w:val="false"/>
        </w:rPr>
        <w:t xml:space="preserve">Proteggere il canale di comunicazione non è la stessa cosa che proteggere il calcolo — questo è il divario che l'ML Plane e il Privacy Auditor esistono per rendere misurabile. Strumentata contro un MIA forte e consolidato (LiRA), questa architettura non ha trovato il divario di esposizione che la nostra ipotesi iniziale prevedeva, sotto nessuna configurazione DP, inclusa nessuna DP affatto. Questa è essa stessa una risposta praticamente rilevante e riportabile per chiunque debba decidere se distribuire FL con DP su infrastrutture di ricarica EV — non un risultato nullo da spiegare, e non (secondo la nostra validazione a cinque assi, §6) attribuibile a uno strumento di misura insensibile sugli assi che abbiamo testato.</w:t>
      </w:r>
    </w:p>
    <w:p>
      <w:pPr>
        <w:spacing w:after="160"/>
        <w:jc w:val="both"/>
      </w:pPr>
      <w:r>
        <w:rPr>
          <w:b w:val="false"/>
          <w:bCs w:val="false"/>
          <w:i w:val="false"/>
          <w:iCs w:val="false"/>
        </w:rPr>
        <w:t xml:space="preserve">Lavoro futuro: un modulo di attacco Gradient Inversion come secondo caso di studio indipendente per validare la stessa architettura ML Plane + Privacy Auditor contro una diversa capacità avversariale; replica su un secondo dataset EV; clipping del gradiente adattivo; e un attaccante su misura, consapevole dell'auditor, mirato esattamente a questa pipeline (§4.3).</w:t>
      </w:r>
    </w:p>
    <w:p>
      <w:pPr>
        <w:pStyle w:val="Heading1"/>
        <w:spacing w:after="140" w:before="280"/>
      </w:pPr>
      <w:r>
        <w:t xml:space="preserve">Uso di Strumenti AI</w:t>
      </w:r>
    </w:p>
    <w:p>
      <w:pPr>
        <w:spacing w:after="160"/>
        <w:jc w:val="both"/>
      </w:pPr>
      <w:r>
        <w:rPr>
          <w:b w:val="false"/>
          <w:bCs w:val="false"/>
          <w:i/>
          <w:iCs/>
        </w:rPr>
        <w:t xml:space="preserve">Sezione obbligatoria per il CFP DSN 2027 (1-2 paragrafi, fuori dal page limit, dopo gli Acknowledgements). Bozza — DA VERIFICARE E RIFINIRE CON L'UTENTE prima della submission, non un placeholder da lasciare invariato.</w:t>
      </w:r>
    </w:p>
    <w:p>
      <w:pPr>
        <w:spacing w:after="160"/>
        <w:jc w:val="both"/>
      </w:pPr>
      <w:r>
        <w:rPr>
          <w:b w:val="false"/>
          <w:bCs w:val="false"/>
          <w:i w:val="false"/>
          <w:iCs w:val="false"/>
        </w:rPr>
        <w:t xml:space="preserve">[BOZZA — da rivedere e finalizzare con tutti gli autori prima della submission.] Abbiamo usato Claude (Anthropic) per l'intera implementazione della codebase di ChargeShield-FL (ML Plane, Privacy Auditor, ByzantineDetector, le implementazioni degli attacchi Yeom/Shadow/LiRA, l'esecutore degli esperimenti, e gli script di analisi statistica citati in questo paper), sotto direzione, revisione, e verifica empirica umana continua a ogni passo. Tutti i risultati sperimentali riportati sono stati prodotti eseguendo il codice risultante e analizzandone l'output reale; nessun risultato numerico in questo paper è generato o simulato dall'AI. Questa bozza del testo del paper stesso è stata assemblata da Claude a partire dai documenti di progettazione e dalle decisioni degli autori, e richiede piena revisione, verifica, e revisione umana prima della submission.</w:t>
      </w:r>
    </w:p>
    <w:p>
      <w:pPr>
        <w:pStyle w:val="Heading1"/>
        <w:spacing w:after="140" w:before="280"/>
      </w:pPr>
      <w:r>
        <w:t xml:space="preserve">Riferimenti</w:t>
      </w:r>
    </w:p>
    <w:p>
      <w:pPr>
        <w:spacing w:after="160"/>
        <w:jc w:val="both"/>
      </w:pPr>
      <w:r>
        <w:rPr>
          <w:b w:val="false"/>
          <w:bCs w:val="false"/>
          <w:i w:val="false"/>
          <w:iCs w:val="false"/>
        </w:rPr>
        <w:t xml:space="preserve">[1] R. Shokri, M. Stronati, C. Song, and V. Shmatikov, "Membership Inference Attacks Against Machine Learning Models," IEEE S&amp;P, 2017.</w:t>
      </w:r>
    </w:p>
    <w:p>
      <w:pPr>
        <w:spacing w:after="160"/>
        <w:jc w:val="both"/>
      </w:pPr>
      <w:r>
        <w:rPr>
          <w:b w:val="false"/>
          <w:bCs w:val="false"/>
          <w:i w:val="false"/>
          <w:iCs w:val="false"/>
        </w:rPr>
        <w:t xml:space="preserve">[1a] S. Yeom, I. Giacomelli, M. Fredrikson, and S. Jha, "Privacy Risk in Machine Learning: Analyzing the Connection to Overfitting," IEEE CSF, 2018.</w:t>
      </w:r>
    </w:p>
    <w:p>
      <w:pPr>
        <w:spacing w:after="160"/>
        <w:jc w:val="both"/>
      </w:pPr>
      <w:r>
        <w:rPr>
          <w:b w:val="false"/>
          <w:bCs w:val="false"/>
          <w:i w:val="false"/>
          <w:iCs w:val="false"/>
        </w:rPr>
        <w:t xml:space="preserve">[1b] T. Humphries, M. Rafuse, L. Tulloch, S. Oya, I. Goldberg, U. Hengartner, and F. Kerschbaum, "Differentially Private Learning Does Not Bound Membership Inference," arXiv:2010.12112, 2020.</w:t>
      </w:r>
    </w:p>
    <w:p>
      <w:pPr>
        <w:spacing w:after="160"/>
        <w:jc w:val="both"/>
      </w:pPr>
      <w:r>
        <w:rPr>
          <w:b w:val="false"/>
          <w:bCs w:val="false"/>
          <w:i w:val="false"/>
          <w:iCs w:val="false"/>
        </w:rPr>
        <w:t xml:space="preserve">[2] N. Carlini, S. Chien, M. Nasr, S. Song, A. Terzis, and F. Tramèr, "Membership Inference Attacks From First Principles," IEEE S&amp;P, 2022.</w:t>
      </w:r>
    </w:p>
    <w:p>
      <w:pPr>
        <w:spacing w:after="160"/>
        <w:jc w:val="both"/>
      </w:pPr>
      <w:r>
        <w:rPr>
          <w:b w:val="false"/>
          <w:bCs w:val="false"/>
          <w:i w:val="false"/>
          <w:iCs w:val="false"/>
        </w:rPr>
        <w:t xml:space="preserve">[3] B. McMahan, D. Ramage, K. Talwar, and L. Zhang, "Learning Differentially Private Recurrent Language Models," ICLR, 2018.</w:t>
      </w:r>
    </w:p>
    <w:p>
      <w:pPr>
        <w:spacing w:after="160"/>
        <w:jc w:val="both"/>
      </w:pPr>
      <w:r>
        <w:rPr>
          <w:b w:val="false"/>
          <w:bCs w:val="false"/>
          <w:i w:val="false"/>
          <w:iCs w:val="false"/>
        </w:rPr>
        <w:t xml:space="preserve">[3a] B. McMahan, E. Moore, D. Ramage, S. Hampson, and B. A. y Arcas, "Communication-Efficient Learning of Deep Networks from Decentralized Data," AISTATS, 2017.</w:t>
      </w:r>
    </w:p>
    <w:p>
      <w:pPr>
        <w:spacing w:after="160"/>
        <w:jc w:val="both"/>
      </w:pPr>
      <w:r>
        <w:rPr>
          <w:b w:val="false"/>
          <w:bCs w:val="false"/>
          <w:i w:val="false"/>
          <w:iCs w:val="false"/>
        </w:rPr>
        <w:t xml:space="preserve">[4] T. Li, A. K. Sahu, M. Zaheer, M. Sanjabi, A. Smola, and V. Smith, "Federated Optimization in Heterogeneous Networks," MLSys, 2020.</w:t>
      </w:r>
    </w:p>
    <w:p>
      <w:pPr>
        <w:spacing w:after="160"/>
        <w:jc w:val="both"/>
      </w:pPr>
      <w:r>
        <w:rPr>
          <w:b w:val="false"/>
          <w:bCs w:val="false"/>
          <w:i w:val="false"/>
          <w:iCs w:val="false"/>
        </w:rPr>
        <w:t xml:space="preserve">[5] M. Nasr, R. Shokri, and A. Houmansadr, "Comprehensive Privacy Analysis of Deep Learning: Passive and Active White-box Inference Attacks against Centralized and Federated Learning," IEEE S&amp;P, 2019.</w:t>
      </w:r>
    </w:p>
    <w:p>
      <w:pPr>
        <w:spacing w:after="160"/>
        <w:jc w:val="both"/>
      </w:pPr>
      <w:r>
        <w:rPr>
          <w:b w:val="false"/>
          <w:bCs w:val="false"/>
          <w:i w:val="false"/>
          <w:iCs w:val="false"/>
        </w:rPr>
        <w:t xml:space="preserve">[6] C. Dwork, F. McSherry, K. Nissim, and A. Smith, "Calibrating Noise to Sensitivity in Private Data Analysis," TCC, 2006.</w:t>
      </w:r>
    </w:p>
    <w:p>
      <w:pPr>
        <w:spacing w:after="160"/>
        <w:jc w:val="both"/>
      </w:pPr>
      <w:r>
        <w:rPr>
          <w:b w:val="false"/>
          <w:bCs w:val="false"/>
          <w:i w:val="false"/>
          <w:iCs w:val="false"/>
        </w:rPr>
        <w:t xml:space="preserve">[7] M. Abadi, A. Chu, I. Goodfellow, H. B. McMahan, I. Mironov, K. Talwar, and L. Zhang, "Deep Learning with Differential Privacy," ACM CCS, 2016.</w:t>
      </w:r>
    </w:p>
    <w:p>
      <w:pPr>
        <w:spacing w:after="160"/>
        <w:jc w:val="both"/>
      </w:pPr>
      <w:r>
        <w:rPr>
          <w:b w:val="false"/>
          <w:bCs w:val="false"/>
          <w:i w:val="false"/>
          <w:iCs w:val="false"/>
        </w:rPr>
        <w:t xml:space="preserve">[8] E. Bagdasaryan, A. Veit, Y. Hua, D. Estrin, and V. Shmatikov, "How To Backdoor Federated Learning," AISTATS, 2020.</w:t>
      </w:r>
    </w:p>
    <w:p>
      <w:pPr>
        <w:spacing w:after="160"/>
        <w:jc w:val="both"/>
      </w:pPr>
      <w:r>
        <w:rPr>
          <w:b w:val="false"/>
          <w:bCs w:val="false"/>
          <w:i w:val="false"/>
          <w:iCs w:val="false"/>
        </w:rPr>
        <w:t xml:space="preserve">[9] P. Blanchard, E. M. El Mhamdi, R. Guerraoui, and J. Stainer, "Machine Learning with Adversaries: Byzantine Tolerant Gradient Descent," NeurIPS, 2017.</w:t>
      </w:r>
    </w:p>
    <w:p>
      <w:pPr>
        <w:spacing w:after="160"/>
        <w:jc w:val="both"/>
      </w:pPr>
      <w:r>
        <w:rPr>
          <w:b w:val="false"/>
          <w:bCs w:val="false"/>
          <w:i w:val="false"/>
          <w:iCs w:val="false"/>
        </w:rPr>
        <w:t xml:space="preserve">[10] Z. J. Lee, D. Chang, Z. Hu, G. S. Taylor, and S. H. Low, "ACN-Data: Analysis and Applications of an Open EV Charging Dataset," ACM e-Energy, 2019.</w:t>
      </w:r>
    </w:p>
    <w:p>
      <w:pPr>
        <w:spacing w:after="160"/>
        <w:jc w:val="both"/>
      </w:pPr>
      <w:r>
        <w:rPr>
          <w:b w:val="false"/>
          <w:bCs w:val="false"/>
          <w:i w:val="false"/>
          <w:iCs w:val="false"/>
        </w:rPr>
        <w:t xml:space="preserve">[11] S. Truong, K. Sun, S. Moran, and P. Phung, "Privacy Preservation in Federated Learning: An Insightful Survey from the GDPR Perspective," Computers &amp; Security, vol. 110, 2021.</w:t>
      </w:r>
    </w:p>
    <w:p>
      <w:pPr>
        <w:spacing w:after="160"/>
        <w:jc w:val="both"/>
      </w:pPr>
      <w:r>
        <w:rPr>
          <w:b w:val="false"/>
          <w:bCs w:val="false"/>
          <w:i w:val="false"/>
          <w:iCs w:val="false"/>
        </w:rPr>
        <w:t xml:space="preserve">[12] A. Imperatrice and L. Romano, "Toward Realistic Privacy Risk in FL-Enabled OT Intrusion Detection Systems," QRS 2026 (Fast Abstract).</w:t>
      </w:r>
    </w:p>
    <w:p>
      <w:pPr>
        <w:spacing w:after="160"/>
        <w:jc w:val="both"/>
      </w:pPr>
      <w:r>
        <w:rPr>
          <w:b w:val="false"/>
          <w:bCs w:val="false"/>
          <w:i w:val="false"/>
          <w:iCs w:val="false"/>
        </w:rPr>
        <w:t xml:space="preserve">[13] P. Kairouz et al., "Advances and Open Problems in Federated Learning," Foundations and Trends in Machine Learning, vol. 14, no. 1–2, 2021.</w:t>
      </w:r>
    </w:p>
    <w:p>
      <w:pPr>
        <w:spacing w:after="160"/>
        <w:jc w:val="both"/>
      </w:pPr>
      <w:r>
        <w:rPr>
          <w:b w:val="false"/>
          <w:bCs w:val="false"/>
          <w:i w:val="false"/>
          <w:iCs w:val="false"/>
        </w:rPr>
        <w:t xml:space="preserve">[14] O. A. Wahab, A. Mourad, H. Otrok, and T. Taleb, "Federated Machine Learning: Survey, Multi-Level Classification, Desirable Criteria and Future Directions in Communication and Networking Systems," IEEE Communications Surveys &amp; Tutorials, vol. 23, no. 2, pp. 1342–1397, 2021.</w:t>
      </w:r>
    </w:p>
    <w:p>
      <w:pPr>
        <w:spacing w:after="160"/>
        <w:jc w:val="both"/>
      </w:pPr>
      <w:r>
        <w:rPr>
          <w:b w:val="false"/>
          <w:bCs w:val="false"/>
          <w:i w:val="false"/>
          <w:iCs w:val="false"/>
        </w:rPr>
        <w:t xml:space="preserve">[15] B. Jayaraman and D. Evans, "Evaluating Differentially Private Machine Learning in Practice," USENIX Security, 2019.</w:t>
      </w:r>
    </w:p>
    <w:p>
      <w:pPr>
        <w:spacing w:after="160"/>
        <w:jc w:val="both"/>
      </w:pPr>
      <w:r>
        <w:rPr>
          <w:b w:val="false"/>
          <w:bCs w:val="false"/>
          <w:i w:val="false"/>
          <w:iCs w:val="false"/>
        </w:rPr>
        <w:t xml:space="preserve">[16] M. A. Rahman, T. Rahman, R. Laganière, N. Mohammed, and Y. Wang, "Membership Inference Attack against Differentially Private Deep Learning Model," Transactions on Data Privacy, vol. 11, no. 1, pp. 61–79, 2018.</w:t>
      </w:r>
    </w:p>
    <w:p>
      <w:pPr>
        <w:spacing w:after="160"/>
        <w:jc w:val="both"/>
      </w:pPr>
      <w:r>
        <w:rPr>
          <w:b w:val="false"/>
          <w:bCs w:val="false"/>
          <w:i/>
          <w:iCs/>
        </w:rPr>
        <w:t xml:space="preserve">NOTA FINALE: [12] cita un co-autore dell'utente (Imperatrice) — l'anonimizzazione double-blind di DSN richiede di riferirsi al proprio lavoro pregresso in terza persona, senza ometterlo (vedi CFP, sezione Anonymization Rules) — non rimuovere la citazione, riformulare il testo che la introduce in §2 se necessario per non implicare l'identità degli autori.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2026-09-14T17:23:24.661Z</dcterms:created>
  <dcterms:modified xsi:type="dcterms:W3CDTF">2026-09-14T17:23:24.665Z</dcterms:modified>
</cp:coreProperties>
</file>

<file path=docProps/custom.xml><?xml version="1.0" encoding="utf-8"?>
<Properties xmlns="http://schemas.openxmlformats.org/officeDocument/2006/custom-properties" xmlns:vt="http://schemas.openxmlformats.org/officeDocument/2006/docPropsVTypes"/>
</file>