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§3.4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either handled by a separate consumer of the same ML Plane substrate and validated independently (Scenario 2, §4.2) or genuinely out of scope (Scenarios 3–4), reported as such and never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 2 (a different consumer, not out of scope) and Scenarios 3–4 (out of scope)</w:t>
      </w:r>
    </w:p>
    <w:p>
      <w:pPr>
        <w:spacing w:after="160"/>
        <w:jc w:val="both"/>
      </w:pPr>
      <w:r>
        <w:rPr>
          <w:b w:val="false"/>
          <w:bCs w:val="false"/>
          <w:i w:val="false"/>
          <w:iCs w:val="false"/>
        </w:rPr>
        <w:t xml:space="preserve">Scenario 2 (a malicious FL client) is not simply out of scope: as §3.3 argues, the ML Plane substrate has two consumers with orthogonal threat models over the same observability layer — the Privacy Auditor (confidentiality, Scenario 1, the subject of this paper’s results) and ByzantineDetector (integrity, Scenario 2). Scenario 2 belongs to that other consumer, is validated separately from the privacy claims in this paper, and is not conflated with Scenario 1 in our results. As of this submission, ByzantineDetector’s Krum/cosine-similarity/CUSUM mechanisms are implemented and unit-tested but have not yet been exercised end-to-end against an active Byzantine client on real FL training data — a gap we disclose explicitly rather than imply coverage we have not measured. Scenario 3 (compromised network gateway) and Scenario 4 (external passive eavesdropper, defeated by transport-layer security) remain genuinely out of scope: neither is an ML Plane consumer, and both are conventional network-security concerns orthogonal to Scenarios 1 and 2 alike.</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Table 2 above reports LiRA only, the primary attack. Yeom (2018) and Shadow MIA, the two weaker attacks run in every configuration alongside LiRA, show the same pattern: across all ten nominal configurations, both attacks’ mean AUC-ROC (5 seeds, per-round average — neither attack has a “composed” cross-round statistic analogous to LiRA’s) stays within bootstrap-CI distance of chance, with no exception.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w:t>
            </w:r>
          </w:p>
        </w:tc>
        <w:tc>
          <w:tcPr>
            <w:tcW w:type="dxa" w:w="2400"/>
            <w:shd w:fill="F2F2F2" w:val="clear"/>
          </w:tcPr>
          <w:p>
            <w:r>
              <w:rPr>
                <w:sz w:val="18"/>
                <w:szCs w:val="18"/>
              </w:rPr>
              <w:t xml:space="preserve">Yeom mean AUC (95% CI)</w:t>
            </w:r>
          </w:p>
        </w:tc>
        <w:tc>
          <w:tcPr>
            <w:tcW w:type="dxa" w:w="2400"/>
            <w:shd w:fill="F2F2F2" w:val="clear"/>
          </w:tcPr>
          <w:p>
            <w:r>
              <w:rPr>
                <w:sz w:val="18"/>
                <w:szCs w:val="18"/>
              </w:rPr>
              <w:t xml:space="preserve">Shadow mean AUC (95% CI)</w:t>
            </w:r>
          </w:p>
        </w:tc>
        <w:tc>
          <w:tcPr>
            <w:tcW w:type="dxa" w:w="2150"/>
            <w:shd w:fill="F2F2F2" w:val="clear"/>
          </w:tcPr>
          <w:p>
            <w:r>
              <w:rPr>
                <w:sz w:val="18"/>
                <w:szCs w:val="18"/>
              </w:rPr>
              <w:t xml:space="preserve">Both CIs contain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[0.4978, 0.5007]</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[0.4987,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Yes</w:t>
            </w:r>
          </w:p>
        </w:tc>
      </w:tr>
    </w:tbl>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