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ChargeShield-FL: An Event-Driven ML Plane and Privacy Auditor for Measuring Differential-Privacy Effectiveness Against Membership Inference in Federated EV-Charging Systems</w:t>
      </w:r>
    </w:p>
    <w:p>
      <w:pPr>
        <w:spacing w:after="100"/>
        <w:jc w:val="center"/>
      </w:pPr>
      <w:r>
        <w:rPr>
          <w:i/>
          <w:iCs/>
          <w:sz w:val="20"/>
          <w:szCs w:val="20"/>
        </w:rPr>
        <w:t xml:space="preserve">[Authors and affiliations removed for double-blind review]</w:t>
      </w:r>
    </w:p>
    <w:p>
      <w:pPr>
        <w:spacing w:after="300"/>
        <w:jc w:val="center"/>
      </w:pPr>
      <w:r>
        <w:rPr>
          <w:i/>
          <w:iCs/>
          <w:sz w:val="20"/>
          <w:szCs w:val="20"/>
        </w:rPr>
        <w:t xml:space="preserve">Paper category: Regular Paper (11 pages) — da confermare, vedi nota</w:t>
      </w:r>
    </w:p>
    <w:p>
      <w:pPr>
        <w:spacing w:after="160"/>
        <w:jc w:val="left"/>
      </w:pPr>
      <w:r>
        <w:rPr>
          <w:i/>
          <w:iCs/>
          <w:color w:val="8B0000"/>
        </w:rPr>
        <w:t xml:space="preserve">NOTA DI PROGETTO (rimuovere prima della submission): questo è uno scheletro di CONTENUTO, non ancora formattato nel template IEEE a due colonne 8.5"×11" richiesto da DSN 2027 (10pt, single-spaced, template LaTeX/Word ufficiale su ieee.org/conferences/publishing/templates). La formattazione finale è un passaggio successivo, separato dalla stesura dei contenuti. Il paper Regular è 11 pagine TUTTO incluso (titolo, testo, figure) tranne le referenze — questo scheletro andrà condensato molto in fase di editing finale; oggi privilegia completezza dei contenuti su lunghezza.</w:t>
      </w:r>
    </w:p>
    <w:p>
      <w:pPr>
        <w:pStyle w:val="Heading2"/>
        <w:spacing w:after="120" w:before="220"/>
      </w:pPr>
      <w:r>
        <w:t xml:space="preserve">Abstract (max 150 parole, prima pagina — bozza)</w:t>
      </w:r>
    </w:p>
    <w:p>
      <w:pPr>
        <w:spacing w:after="160"/>
        <w:jc w:val="both"/>
      </w:pPr>
      <w:r>
        <w:rPr>
          <w:b w:val="false"/>
          <w:bCs w:val="false"/>
          <w:i w:val="false"/>
          <w:iCs w:val="false"/>
        </w:rPr>
        <w:t xml:space="preserve">Federated Learning (FL) is increasingly proposed for training shared models over critical infrastructure without centralizing raw data, but whether differential privacy (DP) applied at the FL communication channel actually prevents membership-inference leakage from the underlying computation remains an open empirical question. We present ChargeShield-FL, built around two domain-agnostic components — an event-driven ML Plane and a real-time Privacy Auditor — validated through a real electric-vehicle charging case study (ACN-Data, three real sites) using three DP placements and a Yeom/Shadow/LiRA attack hierarchy, in both simulation and a genuine multi-container NVFLARE/Containerlab deployment. Across every tested DP configuration, including no DP, we find no LiRA-detectable membership signal (composed AUC-ROC 0.4995–0.5005 across 10 configurations, 5 seeds each, all 95% bootstrap CIs containing 0.5, confirmed with a real Wilcoxon signed-rank test). An extensive five-axis sanity check (training epochs, model capacity, feature informativeness, their combination, and training population) rules out an insensitive attack harness as the explanation. We report this null result, its statistical validation, and its implications for evaluating FL privacy claims in practice.</w:t>
      </w:r>
    </w:p>
    <w:p>
      <w:pPr>
        <w:spacing w:after="160"/>
        <w:jc w:val="left"/>
      </w:pPr>
      <w:r>
        <w:rPr>
          <w:i/>
          <w:iCs/>
          <w:color w:val="8B0000"/>
        </w:rPr>
        <w:t xml:space="preserve">[~170 parole — rifinire a ≤150 in fase di editing finale.]</w:t>
      </w:r>
    </w:p>
    <w:p>
      <w:pPr>
        <w:pStyle w:val="Heading1"/>
        <w:spacing w:after="140" w:before="280"/>
      </w:pPr>
      <w:r>
        <w:t xml:space="preserve">1. Introduction</w:t>
      </w:r>
    </w:p>
    <w:p>
      <w:pPr>
        <w:spacing w:after="160"/>
        <w:jc w:val="both"/>
      </w:pPr>
      <w:r>
        <w:rPr>
          <w:b w:val="false"/>
          <w:bCs w:val="false"/>
          <w:i w:val="false"/>
          <w:iCs w:val="false"/>
        </w:rPr>
        <w:t xml:space="preserve">Federated Learning (FL) is increasingly proposed as the privacy-preserving path for training shared models over critical infrastructure — smart grids, EV charging networks, industrial control systems — where centralizing raw operational data is both a regulatory liability and a security risk. Whether FL actually delivers on that promise in realistic, production-style deployments is an empirical question that current research answers piecemeal: one paper per attack, one dataset per paper, rarely a production FL framework, rarely an industrial dataset.</w:t>
      </w:r>
    </w:p>
    <w:p>
      <w:pPr>
        <w:spacing w:after="160"/>
        <w:jc w:val="both"/>
      </w:pPr>
      <w:r>
        <w:rPr>
          <w:b w:val="false"/>
          <w:bCs w:val="false"/>
          <w:i w:val="false"/>
          <w:iCs w:val="false"/>
        </w:rPr>
        <w:t xml:space="preserve">We present ChargeShield-FL, built around two domain-agnostic components: the ML Plane, an event-driven observability substrate that any FL training loop can wire into without coupling the training code to whatever monitors it, and the Privacy Auditor, a config-driven, real-time membership-inference-risk auditor that consumes what the ML Plane observes to flag per-node, per-round privacy risk independent of any specific attack. Using real EV charging session data (ACN-Data, three sites: Caltech, JPL, Office 1) as our case study — not synthetic data standing in for a real deployment — we instantiate a pluggable benchmark attack suite (Yeom, Shadow-model MIA, and LiRA) against this architecture to answer the practically relevant question: does differential privacy applied to the FL communication channel actually stop the privacy leakage the Privacy Auditor is built to detect, or does it only make the channel itself look private while the underlying computation still leaks?</w:t>
      </w:r>
    </w:p>
    <w:p>
      <w:pPr>
        <w:spacing w:after="160"/>
        <w:jc w:val="both"/>
      </w:pPr>
      <w:r>
        <w:rPr>
          <w:b w:val="false"/>
          <w:bCs w:val="false"/>
          <w:i w:val="false"/>
          <w:iCs w:val="false"/>
        </w:rPr>
        <w:t xml:space="preserve">A companion NVFLARE job/app implementing the same pipeline runs on a genuine multi-container Containerlab/Docker federation, not just a simulation scaffold. Our results, under a corrected and independently re-verified LiRA implementation, converge across independent tests — a local simulation, a full DP-mode sweep, and the real multi-container deployment — on a single finding: no LiRA-detectable membership signal survives in this architecture, under any tested DP configuration, including no DP at all. Because a null result of this kind is only informative if the measurement instrument itself is known to be sensitive, we designed and executed an extensive five-independent-axis sanity check — varying training epochs, model capacity, feature informativeness, their combination, and the training population — to rule out an insensitive attack harness as the explanation.</w:t>
      </w:r>
    </w:p>
    <w:p>
      <w:pPr>
        <w:pStyle w:val="Heading2"/>
        <w:spacing w:after="120" w:before="220"/>
      </w:pPr>
      <w:r>
        <w:t xml:space="preserve">1.1 Contributions</w:t>
      </w:r>
    </w:p>
    <w:p>
      <w:pPr>
        <w:pStyle w:val="ListParagraph"/>
        <w:numPr>
          <w:ilvl w:val="0"/>
          <w:numId w:val="1"/>
        </w:numPr>
        <w:spacing w:after="90"/>
      </w:pPr>
      <w:r>
        <w:t xml:space="preserve">The ML Plane (§3.1): a domain-agnostic, event-driven observability substrate for FL training, decoupling training code from whatever monitors it.</w:t>
      </w:r>
    </w:p>
    <w:p>
      <w:pPr>
        <w:pStyle w:val="ListParagraph"/>
        <w:numPr>
          <w:ilvl w:val="0"/>
          <w:numId w:val="1"/>
        </w:numPr>
        <w:spacing w:after="90"/>
      </w:pPr>
      <w:r>
        <w:t xml:space="preserve">The Privacy Auditor (§3.2): a generic, config-driven membership-inference-risk auditor operating on any node's model update as a flat numeric dict, independent of domain or attack.</w:t>
      </w:r>
    </w:p>
    <w:p>
      <w:pPr>
        <w:pStyle w:val="ListParagraph"/>
        <w:numPr>
          <w:ilvl w:val="0"/>
          <w:numId w:val="1"/>
        </w:numPr>
        <w:spacing w:after="90"/>
      </w:pPr>
      <w:r>
        <w:t xml:space="preserve">An empirical case study on real, multi-site EV charging data (ACN-Data) and a genuine containerized NVFLARE/Containerlab deployment, evaluating three DP placements against a three-tier attack hierarchy (§5).</w:t>
      </w:r>
    </w:p>
    <w:p>
      <w:pPr>
        <w:pStyle w:val="ListParagraph"/>
        <w:numPr>
          <w:ilvl w:val="0"/>
          <w:numId w:val="1"/>
        </w:numPr>
        <w:spacing w:after="90"/>
      </w:pPr>
      <w:r>
        <w:t xml:space="preserve">A rigorously validated null result — no LiRA-detectable leakage under any tested DP configuration — supported by bootstrap confidence intervals, a Wilcoxon/sign-test significance check, and TPR@low-FPR reporting (§7).</w:t>
      </w:r>
    </w:p>
    <w:p>
      <w:pPr>
        <w:pStyle w:val="ListParagraph"/>
        <w:numPr>
          <w:ilvl w:val="0"/>
          <w:numId w:val="1"/>
        </w:numPr>
        <w:spacing w:after="90"/>
      </w:pPr>
      <w:r>
        <w:t xml:space="preserve">An extensive five-axis sanity-check methodology (§6) that distinguishes "the attack harness cannot detect memorization" from "this architecture genuinely does not leak at this scale" — itself a reusable validation pattern for null MIA results in FL privacy research.</w:t>
      </w:r>
    </w:p>
    <w:p>
      <w:pPr>
        <w:pStyle w:val="ListParagraph"/>
        <w:numPr>
          <w:ilvl w:val="0"/>
          <w:numId w:val="1"/>
        </w:numPr>
        <w:spacing w:after="90"/>
      </w:pPr>
      <w:r>
        <w:t xml:space="preserve">PES_v1 (§8), a composite privacy exposure score combining residual attack advantage and nominal DP budget, with an informal theoretical grounding against the Yeom (2018) / Humphries et al. (2020) membership-advantage bounds.</w:t>
      </w:r>
    </w:p>
    <w:p>
      <w:pPr>
        <w:pStyle w:val="Heading1"/>
        <w:spacing w:after="140" w:before="280"/>
      </w:pPr>
      <w:r>
        <w:t xml:space="preserve">2. Related Work</w:t>
      </w:r>
    </w:p>
    <w:p>
      <w:pPr>
        <w:spacing w:after="160"/>
        <w:jc w:val="both"/>
      </w:pPr>
      <w:r>
        <w:rPr>
          <w:b w:val="false"/>
          <w:bCs w:val="false"/>
          <w:i w:val="false"/>
          <w:iCs w:val="false"/>
        </w:rPr>
        <w:t xml:space="preserve">Membership inference attacks (MIA) were introduced by Shokri et al. [1] and formalized against the overfitting/loss-based connection by Yeom et al. [1a]; Carlini et al. [2] introduced the Likelihood-Ratio Attack (LiRA), the strongest of the three attacks in our hierarchy and the primary attack this paper's results are reported under. Nasr et al. [5] extend MIA analysis to the federated setting with active and passive white-box adversaries. Our threat model (§4) targets the passive, honest-but-curious aggregator — a weaker, more realistic capability than Nasr et al.'s active adversary, deliberately chosen to match a semi-trusted operator rather than a worst-case attacker.</w:t>
      </w:r>
    </w:p>
    <w:p>
      <w:pPr>
        <w:spacing w:after="160"/>
        <w:jc w:val="both"/>
      </w:pPr>
      <w:r>
        <w:rPr>
          <w:b w:val="false"/>
          <w:bCs w:val="false"/>
          <w:i w:val="false"/>
          <w:iCs w:val="false"/>
        </w:rPr>
        <w:t xml:space="preserve">Differential privacy for FL follows McMahan et al.'s DP-FedAvg [3] (our "central" DP placement — client-side clipping, single server-side noise draw on the aggregate) and the foundational Gaussian Mechanism of Dwork et al. [6] and Abadi et al.'s DP-SGD [7]. We additionally evaluate two per-client noising placements ("dp-fedavg" and "local") that are stricter than McMahan et al.'s literal Algorithm 1 and, to our knowledge, not evaluated together with LiRA-strength attacks elsewhere in the literature. FedProx [4] underlies our proximal-term FL aggregation, which reduces to standard FedAvg [3a] when proximal_mu=0.0.</w:t>
      </w:r>
    </w:p>
    <w:p>
      <w:pPr>
        <w:spacing w:after="160"/>
        <w:jc w:val="both"/>
      </w:pPr>
      <w:r>
        <w:rPr>
          <w:b w:val="false"/>
          <w:bCs w:val="false"/>
          <w:i w:val="false"/>
          <w:iCs w:val="false"/>
        </w:rPr>
        <w:t xml:space="preserve">Differential privacy is defined to hide whether any single record participated in training, while membership inference attacks are defined to detect exactly that presence or absence — a direct conceptual opposition that Jayaraman and Evans [14] invoke to motivate empirical MIA auditing as the natural test of whether a DP guarantee holds in practice, rather than trusting the theoretical bound alone. They also provide the closest prior empirical measurement of the gap between differential privacy's theoretical guarantee (ε) and the leakage an actual attack extracts, finding that several relaxed DP notions reduce the noise needed for acceptable utility at a measurable cost in increased membership-inference leakage — concretely, Rényi DP (RDP) matches naive composition's utility at a 50× tighter budget (53% accuracy loss at ε=10 versus ε=500 for the same loss under naive composition) on a neural-network classification benchmark, yet a white-box membership-inference attacker still achieves 0.399 advantage against the RDP-trained model at ε=1000 — but only for centralized DP-SGD training on standard benchmarks. We perform the same class of measurement in a federated, cross-silo setting: three concrete DP placements ("dp-fedavg", "central", "local") evaluated against a Yeom/Shadow/LiRA attack hierarchy on real, organizationally-distinct EV-charging clients (ACN-Data), rather than a single centralized model on standard benchmark data. Where their measurements do find leakage in the configurations they test, ours instead returns a null result — no LiRA-detectable leakage at any placement or ε tested, including no DP — a harder finding to report responsibly, since an absent signal is also consistent with an insensitive measurement tool, not only with an absent privacy risk. We address this directly with the five-axis sanity check and canary-insertion positive control of §6, which rule out an insensitive attack harness as the explanation for the null result. Finally, our ML Plane and Privacy Auditor (§3) turn Jayaraman and Evans's central empirical question — does the theoretical guarantee actually hold in practice? — into a standing, reusable observability layer decoupled from the training loop, rather than a one-off measurement script: the same architecture that produced this paper's result can, without modification, be pointed at a different attack, dataset, or DP configuration to ask the same question again.</w:t>
      </w:r>
    </w:p>
    <w:p>
      <w:pPr>
        <w:spacing w:after="160"/>
        <w:jc w:val="both"/>
      </w:pPr>
      <w:r>
        <w:rPr>
          <w:b w:val="false"/>
          <w:bCs w:val="false"/>
          <w:i w:val="false"/>
          <w:iCs w:val="false"/>
        </w:rPr>
        <w:t xml:space="preserve">Byzantine-robust aggregation (Krum [9], and CUSUM/cosine-similarity variants) is used in our ByzantineDetector defense layer, but — as we argue explicitly in §4 — belongs to a formally separate threat domain (client-side integrity, Scenario 2) from the privacy question this paper answers (server-side passive observation, Scenario 1); no integrity mechanism is claimed to mitigate MIA here, correcting a conflation we found and rejected during our own review process (see §4.3).</w:t>
      </w:r>
    </w:p>
    <w:p>
      <w:pPr>
        <w:spacing w:after="160"/>
        <w:jc w:val="both"/>
      </w:pPr>
      <w:r>
        <w:rPr>
          <w:b w:val="false"/>
          <w:bCs w:val="false"/>
          <w:i w:val="false"/>
          <w:iCs w:val="false"/>
        </w:rPr>
        <w:t xml:space="preserve">ChargeShield-FL specializes and extends a prior architectural proposal, Imperatrice &amp; Romano [12], which introduces the ML Plane abstraction and the honest-but-curious-aggregator threat model for a generic Smart Grid/OT intrusion-detection testbed, with FedMIA experiments reported as not yet completed. This paper turns that architecture into a concrete, real-data EV-charging deployment: three real DP placements (vs. one), a three-tier attack hierarchy including LiRA (vs. a single FedMIA variant), a defensive IDS layer, and — critically — completed, independently re-verified empirical results on both simulation and a real multi-container deployment.</w:t>
      </w:r>
    </w:p>
    <w:p>
      <w:pPr>
        <w:spacing w:after="160"/>
        <w:jc w:val="both"/>
      </w:pPr>
      <w:r>
        <w:rPr>
          <w:b w:val="false"/>
          <w:bCs w:val="false"/>
          <w:i w:val="false"/>
          <w:iCs w:val="false"/>
        </w:rPr>
        <w:t xml:space="preserve">We frame our three-real-site setup using Kairouz et al.'s [13] Enterprise Cross-Silo Federated Learning taxonomy — few, large, organizationally distinct participants — as opposed to cross-device FL's many small, unreliable clients; we argue this gives higher ecological validity than the synthetically fragmented single-dataset setups common in FL-privacy literature, at the explicit cost of client-count scale (§9).</w:t>
      </w:r>
    </w:p>
    <w:p>
      <w:pPr>
        <w:pStyle w:val="Heading1"/>
        <w:spacing w:after="140" w:before="280"/>
      </w:pPr>
      <w:r>
        <w:t xml:space="preserve">3. System Architecture</w:t>
      </w:r>
    </w:p>
    <w:p>
      <w:pPr>
        <w:pStyle w:val="Heading2"/>
        <w:spacing w:after="120" w:before="220"/>
      </w:pPr>
      <w:r>
        <w:t xml:space="preserve">3.1 The ML Plane</w:t>
      </w:r>
    </w:p>
    <w:p>
      <w:pPr>
        <w:spacing w:after="160"/>
        <w:jc w:val="both"/>
      </w:pPr>
      <w:r>
        <w:rPr>
          <w:b w:val="false"/>
          <w:bCs w:val="false"/>
          <w:i w:val="false"/>
          <w:iCs w:val="false"/>
        </w:rPr>
        <w:t xml:space="preserve">The ML Plane is a domain-agnostic, event-driven observability substrate for FL training. Every training/DP/aggregation component (local trainer, gradient/DP manager, FedAvg aggregator) exposes an emit_event()/subscribe() pair against a common abstract interface; a central hub wires itself to all of them, and a collector assembles each round's raw and privatized updates without the training loop itself knowing anything is listening. Nothing in this layer is EV-specific or attack-specific — it wires up identically for any FL training loop emitting the same three event kinds (local update produced, update privatized, round aggregated).</w:t>
      </w:r>
    </w:p>
    <w:p>
      <w:pPr>
        <w:pStyle w:val="Heading2"/>
        <w:spacing w:after="120" w:before="220"/>
      </w:pPr>
      <w:r>
        <w:t xml:space="preserve">3.2 The Privacy Auditor</w:t>
      </w:r>
    </w:p>
    <w:p>
      <w:pPr>
        <w:spacing w:after="160"/>
        <w:jc w:val="both"/>
      </w:pPr>
      <w:r>
        <w:rPr>
          <w:b w:val="false"/>
          <w:bCs w:val="false"/>
          <w:i w:val="false"/>
          <w:iCs w:val="false"/>
        </w:rPr>
        <w:t xml:space="preserve">The Privacy Auditor is a generic, config-driven membership-inference-risk auditor: given any node's model update as a flat dict of numeric weights, it computes a gradient-sensitivity proxy, tracks cumulative DP budget consumption per node across rounds, and flags threats (gradient-explosion, privacy-budget near-exhaustion/exhausted) — without any dependency on EV charging semantics, model architecture, or a specific attack. It is real-time, always-on privacy telemetry, complementary to (and architecturally independent of) whichever benchmark attack is run offline against the same round data for a full post-hoc leakage measurement.</w:t>
      </w:r>
    </w:p>
    <w:p>
      <w:pPr>
        <w:pStyle w:val="Heading2"/>
        <w:spacing w:after="120" w:before="220"/>
      </w:pPr>
      <w:r>
        <w:t xml:space="preserve">3.3 ByzantineDetector: a formally separate integrity domain</w:t>
      </w:r>
    </w:p>
    <w:p>
      <w:pPr>
        <w:spacing w:after="160"/>
        <w:jc w:val="both"/>
      </w:pPr>
      <w:r>
        <w:rPr>
          <w:b w:val="false"/>
          <w:bCs w:val="false"/>
          <w:i w:val="false"/>
          <w:iCs w:val="false"/>
        </w:rPr>
        <w:t xml:space="preserve">ByzantineDetector (Krum, cosine-similarity, CUSUM, gradient-explosion detection) protects FL convergence against Byzantine/poisoning clients — a client-side integrity concern (Scenario 2 in our threat model, §4). We state explicitly, having found and corrected our own earlier conflation of this point during development: no IDS mechanism provides any privacy guarantee against the honest-but-curious server this paper's MIA results are about. Integrity and privacy are two orthogonal domains in this architecture; ByzantineDetector is never cited here as an MIA defense, active or passive.</w:t>
      </w:r>
    </w:p>
    <w:p>
      <w:pPr>
        <w:pStyle w:val="Heading2"/>
        <w:spacing w:after="120" w:before="220"/>
      </w:pPr>
      <w:r>
        <w:t xml:space="preserve">3.4 Three Differential-Privacy Placements</w:t>
      </w:r>
    </w:p>
    <w:p>
      <w:pPr>
        <w:spacing w:after="160"/>
        <w:jc w:val="both"/>
      </w:pPr>
      <w:r>
        <w:rPr>
          <w:b w:val="false"/>
          <w:bCs w:val="false"/>
          <w:i w:val="false"/>
          <w:iCs w:val="false"/>
        </w:rPr>
        <w:t xml:space="preserve">We evaluate three placements of client-update clipping and Gaussian noising relative to FedAvg aggregation: dp-fedavg (per-client clip + noise before aggregation — the server transiently observes the raw update, which is exactly what LiRA is built to attack); central (client-side clip only, a single aggregate-level noise draw post-FedAvg — matches McMahan et al.'s [3] Algorithm 1 literally; individual client contributions are never noised); and local (per-client clip + noise, with the raw update never transmitted to or observed by the server, not even transiently). Our own composition accounting across FL rounds is naive, not RDP-based (§9); the gap Jayaraman and Evans document between naive and tighter composition is exactly why our reported multi-round privacy budget should be read as a conservative upper bound, not a tight guarantee. All three placements clip and noise at client granularity: the unit of protection is a client's per-round contribution as a whole — the notion McMahan et al. [3] formalize as client-level DP — not per-example DP-SGD (Abadi et al. [7]), which instead bounds the influence of a single training record. LiRA targets exactly that finer granularity: it asks whether one specific charging session, inside one client's local training set, can be detected as a member. None of our three placements is calibrated to bound a single record's contribution to its client's local training, so client-level clipping provides no formal guarantee at the granularity LiRA actually attacks. Our result is therefore an empirical measurement of whether a record-level attacker finds detectable leakage under a client-level DP configuration, not a claim that client-level DP formally protects individual sessions — the same gap between theoretical guarantee and empirical attack surface that motivates this paper's central question (§1).</w:t>
      </w:r>
    </w:p>
    <w:p>
      <w:pPr>
        <w:pStyle w:val="Heading2"/>
        <w:spacing w:after="120" w:before="220"/>
      </w:pPr>
      <w:r>
        <w:t xml:space="preserve">3.5 LiRA: Adaptations to This Setting</w:t>
      </w:r>
    </w:p>
    <w:p>
      <w:pPr>
        <w:spacing w:after="160"/>
        <w:jc w:val="both"/>
      </w:pPr>
      <w:r>
        <w:rPr>
          <w:b w:val="false"/>
          <w:bCs w:val="false"/>
          <w:i w:val="false"/>
          <w:iCs w:val="false"/>
        </w:rPr>
        <w:t xml:space="preserve">Our implementation of LiRA [2] departs from Carlini et al.'s construction in four declared ways, none silent. First, Carlini et al.'s shadow models are trained independently, once, on randomly partitioned subsets; because a real FL client does not train from scratch after round 1 but instead fine-tunes locally for local_epochs starting from the previous round's shared global weights, our shadow ensemble is retrained every round, warm-started from that same round's real global weights, to match the trajectory a client's actual update comes from — a substantial adaptation of the shadow-training procedure, not a cosmetic one. Second, LiRA was designed for classification confidence scores (logit-transformed to approximate normality) on image and text models; our target is an unsupervised autoencoder with no class-confidence output, so we apply the same log-likelihood-ratio construction to its reconstruction MSE on tabular EV charging features instead. Third, the likelihood-ratio formulation inherits, unmodified, LiRA's own parametric assumption that the shadow loss distribution is approximately Gaussian under both the IN and OUT hypotheses — an assumption we carry forward, not one we introduce. Fourth, debugging real charging-session scores surfaced samples up to ~20 standard deviations from both estimated means simultaneously, a regime where the sign of the log-likelihood-ratio becomes an artifact of which of two near-identical means happens to sit marginally closer to a distant outlier, rather than a genuine membership signal (§6.1). We therefore exclude any sample whose score is more than 8 standard deviations from both μ_in and μ_out from scoring, rather than assign it an arbitrary-signed score, and log a per-run skip rate for transparency.</w:t>
      </w:r>
    </w:p>
    <w:p>
      <w:pPr>
        <w:spacing w:after="160"/>
        <w:jc w:val="both"/>
      </w:pPr>
      <w:r>
        <w:rPr>
          <w:b w:val="false"/>
          <w:bCs w:val="false"/>
          <w:i w:val="false"/>
          <w:iCs w:val="false"/>
        </w:rPr>
        <w:t xml:space="preserve">The first two adaptations are necessary consequences of applying LiRA outside its original single-shot, image/text classification setting, not free design choices; the third is inherited, not ours; the fourth is a mechanical safeguard found during debugging rather than anticipated in advance. A fuller derivation connecting these to Carlini et al.'s own three-step reduction (Neyman-Pearson optimality, the intractable exact test, and the parametric 1-D reduction to a loss statistic) is available and can be expanded into an appendix if reviewers want it.</w:t>
      </w:r>
    </w:p>
    <w:p>
      <w:pPr>
        <w:pStyle w:val="Heading1"/>
        <w:spacing w:after="140" w:before="280"/>
      </w:pPr>
      <w:r>
        <w:t xml:space="preserve">4. Threat Model</w:t>
      </w:r>
    </w:p>
    <w:p>
      <w:pPr>
        <w:spacing w:after="160"/>
        <w:jc w:val="both"/>
      </w:pPr>
      <w:r>
        <w:rPr>
          <w:b w:val="false"/>
          <w:bCs w:val="false"/>
          <w:i w:val="false"/>
          <w:iCs w:val="false"/>
        </w:rPr>
        <w:t xml:space="preserve">We formalize five scenarios along a Purdue-model-inspired hierarchy of attacker capability. This paper's results are about Scenario 1 exclusively — every other scenario is explicitly out of scope and reported as such, not silently assumed away.</w:t>
      </w:r>
    </w:p>
    <w:p>
      <w:pPr>
        <w:pStyle w:val="Heading2"/>
        <w:spacing w:after="120" w:before="220"/>
      </w:pPr>
      <w:r>
        <w:t xml:space="preserve">4.1 Scenario 1 — Honest-but-Curious Aggregator (evaluated)</w:t>
      </w:r>
    </w:p>
    <w:p>
      <w:pPr>
        <w:spacing w:after="160"/>
        <w:jc w:val="both"/>
      </w:pPr>
      <w:r>
        <w:rPr>
          <w:b w:val="false"/>
          <w:bCs w:val="false"/>
          <w:i w:val="false"/>
          <w:iCs w:val="false"/>
        </w:rPr>
        <w:t xml:space="preserve">The server/aggregator follows the FL protocol faithfully (never deviates, never sends malformed global weights) but may passively record and analyze every update it legitimately receives. Clients are honest by construction. This is the only scenario our LiRA/Shadow/Yeom results characterize.</w:t>
      </w:r>
    </w:p>
    <w:p>
      <w:pPr>
        <w:pStyle w:val="Heading2"/>
        <w:spacing w:after="120" w:before="220"/>
      </w:pPr>
      <w:r>
        <w:t xml:space="preserve">4.2 Scenarios 2–4 (out of scope, briefly)</w:t>
      </w:r>
    </w:p>
    <w:p>
      <w:pPr>
        <w:spacing w:after="160"/>
        <w:jc w:val="both"/>
      </w:pPr>
      <w:r>
        <w:rPr>
          <w:b w:val="false"/>
          <w:bCs w:val="false"/>
          <w:i w:val="false"/>
          <w:iCs w:val="false"/>
        </w:rPr>
        <w:t xml:space="preserve">Scenario 2 (malicious FL client), Scenario 3 (compromised network gateway), and Scenario 4 (external passive eavesdropper, defeated by transport-layer security) are explicitly future work or out of scope by design — not evaluated here, and not conflated with Scenario 1 in our results.</w:t>
      </w:r>
    </w:p>
    <w:p>
      <w:pPr>
        <w:pStyle w:val="Heading2"/>
        <w:spacing w:after="120" w:before="220"/>
      </w:pPr>
      <w:r>
        <w:t xml:space="preserve">4.3 Scenario 5 — Adaptive / Custom-Tailored Attacker (discussion only)</w:t>
      </w:r>
    </w:p>
    <w:p>
      <w:pPr>
        <w:spacing w:after="160"/>
        <w:jc w:val="both"/>
      </w:pPr>
      <w:r>
        <w:rPr>
          <w:b w:val="false"/>
          <w:bCs w:val="false"/>
          <w:i w:val="false"/>
          <w:iCs w:val="false"/>
        </w:rPr>
        <w:t xml:space="preserve">We discuss, without evaluating, two open questions: a bespoke attack tailored to this exact autoencoder/FedProx/ACN-Data setup (S5a, not literature-standard Yeom/Shadow/LiRA), and evasion of the Privacy Auditor's own scoring (S5b). We explicitly reject a candidate resolution we considered and rejected during development — that ByzantineDetector's stability controls would catch an adaptive privacy attacker — because Scenario 1 defines clients as honest by construction: any attacker that deviates from protocol to evade the Auditor is, by definition, Scenario 2, not a legitimate "active-but-still-Scenario-1" attacker. We state this as a formal dual-defense architecture with two orthogonal domains (Integrity via ByzantineDetector, Scenario 2; Privacy via the Auditor + DP, Scenario 1) rather than claim either component covers both.</w:t>
      </w:r>
    </w:p>
    <w:p>
      <w:pPr>
        <w:pStyle w:val="Heading1"/>
        <w:spacing w:after="140" w:before="280"/>
      </w:pPr>
      <w:r>
        <w:t xml:space="preserve">5. Case Study: Real-World EV Charging (ACN-Data)</w:t>
      </w:r>
    </w:p>
    <w:p>
      <w:pPr>
        <w:spacing w:after="160"/>
        <w:jc w:val="both"/>
      </w:pPr>
      <w:r>
        <w:rPr>
          <w:b w:val="false"/>
          <w:bCs w:val="false"/>
          <w:i w:val="false"/>
          <w:iCs w:val="false"/>
        </w:rPr>
        <w:t xml:space="preserve">We use ACN-Data [10], the only publicly available real-world EV-charging session dataset at this scale, across its three real sites (Caltech, 54 EVSE; JPL, 50 EVSE; Office 1, 8 EVSE) — an Enterprise Cross-Silo FL setting [13], not a synthetically fragmented single dataset. Each client trains a small autoencoder (570 parameters: 6 → 16 → 8 → 4 → 8 → 16 → 6) over six continuous session features (energy delivered, average power, requested energy, declared availability window, connection hour, session duration) via FedAvg/FedProx. Each client trains with Adam (learning rate 0.001, batch size 32) for 50 local epochs per FL round, over 10 rounds per experiment.</w:t>
      </w:r>
    </w:p>
    <w:p>
      <w:pPr>
        <w:spacing w:after="160"/>
        <w:jc w:val="both"/>
      </w:pPr>
      <w:r>
        <w:rPr>
          <w:b w:val="false"/>
          <w:bCs w:val="false"/>
          <w:i w:val="false"/>
          <w:iCs w:val="false"/>
        </w:rPr>
        <w:t xml:space="preserve">Attack hierarchy: Yeom [1a] (loss-based, global), a calibrated Shadow-Model attack [1], and LiRA [2] (likelihood-ratio, server-side, evaluated on each client's per-round update as actually submitted for aggregation — LiRA is the primary attack this paper reports results under, as the strongest of the three).</w:t>
      </w:r>
    </w:p>
    <w:p>
      <w:pPr>
        <w:spacing w:after="160"/>
        <w:jc w:val="both"/>
      </w:pPr>
      <w:r>
        <w:rPr>
          <w:b w:val="false"/>
          <w:bCs w:val="false"/>
          <w:i w:val="false"/>
          <w:iCs w:val="false"/>
        </w:rPr>
        <w:t xml:space="preserve">Validation was performed both in a single-process simulation and on a real, genuine multi-container NVFLARE/Containerlab/Docker deployment (5 containers: server, caltech, jpl, office1, fl-admin), with the same, unmodified attack/analysis code run against both — not two independently maintained code paths.</w:t>
      </w:r>
    </w:p>
    <w:p>
      <w:pPr>
        <w:pStyle w:val="Heading1"/>
        <w:spacing w:after="140" w:before="280"/>
      </w:pPr>
      <w:r>
        <w:t xml:space="preserve">6. Validation Methodology: Is the Null Result Real?</w:t>
      </w:r>
    </w:p>
    <w:p>
      <w:pPr>
        <w:spacing w:after="160"/>
        <w:jc w:val="both"/>
      </w:pPr>
      <w:r>
        <w:rPr>
          <w:b w:val="false"/>
          <w:bCs w:val="false"/>
          <w:i w:val="false"/>
          <w:iCs w:val="false"/>
        </w:rPr>
        <w:t xml:space="preserve">A null MIA result (AUC ≈ 0.5) is only informative if the attack harness is known to be capable of detecting memorization when it is present — otherwise "no leakage detected" is indistinguishable from "the measurement instrument cannot detect anything." We validated harness sensitivity in two phases: natural-data escalation (inconclusive on its own) followed by synthetic canary insertion (conclusive).</w:t>
      </w:r>
    </w:p>
    <w:p>
      <w:pPr>
        <w:pStyle w:val="Heading2"/>
        <w:spacing w:after="120" w:before="220"/>
      </w:pPr>
      <w:r>
        <w:t xml:space="preserve">6.1 Phase 1 — Natural-Data Escalation</w:t>
      </w:r>
    </w:p>
    <w:p>
      <w:pPr>
        <w:spacing w:after="160"/>
        <w:jc w:val="both"/>
      </w:pPr>
      <w:r>
        <w:rPr>
          <w:b w:val="false"/>
          <w:bCs w:val="false"/>
          <w:i w:val="false"/>
          <w:iCs w:val="false"/>
        </w:rPr>
        <w:t xml:space="preserve">We varied five independent factors on a no-DP baseline (where memorization, if achievable at all, should be easiest to observe), each isolated from the others: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c>
          <w:tcPr>
            <w:tcW w:type="dxa" w:w="2400"/>
            <w:shd w:fill="F2F2F2" w:val="clear"/>
          </w:tcPr>
          <w:p>
            <w:r>
              <w:rPr>
                <w:sz w:val="18"/>
                <w:szCs w:val="18"/>
              </w:rPr>
              <w:t xml:space="preserve">Axis</w:t>
            </w:r>
          </w:p>
        </w:tc>
        <w:tc>
          <w:tcPr>
            <w:tcW w:type="dxa" w:w="4200"/>
            <w:shd w:fill="F2F2F2" w:val="clear"/>
          </w:tcPr>
          <w:p>
            <w:r>
              <w:rPr>
                <w:sz w:val="18"/>
                <w:szCs w:val="18"/>
              </w:rPr>
              <w:t xml:space="preserve">Manipulation</w:t>
            </w:r>
          </w:p>
        </w:tc>
        <w:tc>
          <w:tcPr>
            <w:tcW w:type="dxa" w:w="2750"/>
            <w:shd w:fill="F2F2F2" w:val="clear"/>
          </w:tcPr>
          <w:p>
            <w:r>
              <w:rPr>
                <w:sz w:val="18"/>
                <w:szCs w:val="18"/>
              </w:rPr>
              <w:t xml:space="preserve">Composite LiRA AUC</w:t>
            </w:r>
          </w:p>
        </w:tc>
      </w:tr>
      <w:tr>
        <w:tc>
          <w:tcPr>
            <w:tcW w:type="dxa" w:w="2400"/>
            <w:shd w:fill="F2F2F2" w:val="clear"/>
          </w:tcPr>
          <w:p>
            <w:r>
              <w:rPr>
                <w:sz w:val="18"/>
                <w:szCs w:val="18"/>
              </w:rPr>
              <w:t xml:space="preserve">Training epochs</w:t>
            </w:r>
          </w:p>
        </w:tc>
        <w:tc>
          <w:tcPr>
            <w:tcW w:type="dxa" w:w="4200"/>
            <w:shd w:fill="F2F2F2" w:val="clear"/>
          </w:tcPr>
          <w:p>
            <w:r>
              <w:rPr>
                <w:sz w:val="18"/>
                <w:szCs w:val="18"/>
              </w:rPr>
              <w:t xml:space="preserve">50 → 1000 local epochs, single client</w:t>
            </w:r>
          </w:p>
        </w:tc>
        <w:tc>
          <w:tcPr>
            <w:tcW w:type="dxa" w:w="2750"/>
            <w:shd w:fill="F2F2F2" w:val="clear"/>
          </w:tcPr>
          <w:p>
            <w:r>
              <w:rPr>
                <w:sz w:val="18"/>
                <w:szCs w:val="18"/>
              </w:rPr>
              <w:t xml:space="preserve">0.4767 – 0.5155</w:t>
            </w:r>
          </w:p>
        </w:tc>
      </w:tr>
      <w:tr>
        <w:tc>
          <w:tcPr>
            <w:tcW w:type="dxa" w:w="2400"/>
            <w:shd w:fill="F2F2F2" w:val="clear"/>
          </w:tcPr>
          <w:p>
            <w:r>
              <w:rPr>
                <w:sz w:val="18"/>
                <w:szCs w:val="18"/>
              </w:rPr>
              <w:t xml:space="preserve">Model capacity</w:t>
            </w:r>
          </w:p>
        </w:tc>
        <w:tc>
          <w:tcPr>
            <w:tcW w:type="dxa" w:w="4200"/>
            <w:shd w:fill="F2F2F2" w:val="clear"/>
          </w:tcPr>
          <w:p>
            <w:r>
              <w:rPr>
                <w:sz w:val="18"/>
                <w:szCs w:val="18"/>
              </w:rPr>
              <w:t xml:space="preserve">~3.3× parameters (hidden dims 32/16, latent 8)</w:t>
            </w:r>
          </w:p>
        </w:tc>
        <w:tc>
          <w:tcPr>
            <w:tcW w:type="dxa" w:w="2750"/>
            <w:shd w:fill="F2F2F2" w:val="clear"/>
          </w:tcPr>
          <w:p>
            <w:r>
              <w:rPr>
                <w:sz w:val="18"/>
                <w:szCs w:val="18"/>
              </w:rPr>
              <w:t xml:space="preserve">0.5294</w:t>
            </w:r>
          </w:p>
        </w:tc>
      </w:tr>
      <w:tr>
        <w:tc>
          <w:tcPr>
            <w:tcW w:type="dxa" w:w="2400"/>
            <w:shd w:fill="F2F2F2" w:val="clear"/>
          </w:tcPr>
          <w:p>
            <w:r>
              <w:rPr>
                <w:sz w:val="18"/>
                <w:szCs w:val="18"/>
              </w:rPr>
              <w:t xml:space="preserve">Feature informativeness</w:t>
            </w:r>
          </w:p>
        </w:tc>
        <w:tc>
          <w:tcPr>
            <w:tcW w:type="dxa" w:w="4200"/>
            <w:shd w:fill="F2F2F2" w:val="clear"/>
          </w:tcPr>
          <w:p>
            <w:r>
              <w:rPr>
                <w:sz w:val="18"/>
                <w:szCs w:val="18"/>
              </w:rPr>
              <w:t xml:space="preserve">Added a near-unique per-session timestamp feature</w:t>
            </w:r>
          </w:p>
        </w:tc>
        <w:tc>
          <w:tcPr>
            <w:tcW w:type="dxa" w:w="2750"/>
            <w:shd w:fill="F2F2F2" w:val="clear"/>
          </w:tcPr>
          <w:p>
            <w:r>
              <w:rPr>
                <w:sz w:val="18"/>
                <w:szCs w:val="18"/>
              </w:rPr>
              <w:t xml:space="preserve">0.5352</w:t>
            </w:r>
          </w:p>
        </w:tc>
      </w:tr>
      <w:tr>
        <w:tc>
          <w:tcPr>
            <w:tcW w:type="dxa" w:w="2400"/>
            <w:shd w:fill="F2F2F2" w:val="clear"/>
          </w:tcPr>
          <w:p>
            <w:r>
              <w:rPr>
                <w:sz w:val="18"/>
                <w:szCs w:val="18"/>
              </w:rPr>
              <w:t xml:space="preserve">Capacity + features combined</w:t>
            </w:r>
          </w:p>
        </w:tc>
        <w:tc>
          <w:tcPr>
            <w:tcW w:type="dxa" w:w="4200"/>
            <w:shd w:fill="F2F2F2" w:val="clear"/>
          </w:tcPr>
          <w:p>
            <w:r>
              <w:rPr>
                <w:sz w:val="18"/>
                <w:szCs w:val="18"/>
              </w:rPr>
              <w:t xml:space="preserve">Both manipulations together</w:t>
            </w:r>
          </w:p>
        </w:tc>
        <w:tc>
          <w:tcPr>
            <w:tcW w:type="dxa" w:w="2750"/>
            <w:shd w:fill="F2F2F2" w:val="clear"/>
          </w:tcPr>
          <w:p>
            <w:r>
              <w:rPr>
                <w:sz w:val="18"/>
                <w:szCs w:val="18"/>
              </w:rPr>
              <w:t xml:space="preserve">0.5169</w:t>
            </w:r>
          </w:p>
        </w:tc>
      </w:tr>
      <w:tr>
        <w:tc>
          <w:tcPr>
            <w:tcW w:type="dxa" w:w="2400"/>
            <w:shd w:fill="F2F2F2" w:val="clear"/>
          </w:tcPr>
          <w:p>
            <w:r>
              <w:rPr>
                <w:sz w:val="18"/>
                <w:szCs w:val="18"/>
              </w:rPr>
              <w:t xml:space="preserve">Training population</w:t>
            </w:r>
          </w:p>
        </w:tc>
        <w:tc>
          <w:tcPr>
            <w:tcW w:type="dxa" w:w="4200"/>
            <w:shd w:fill="F2F2F2" w:val="clear"/>
          </w:tcPr>
          <w:p>
            <w:r>
              <w:rPr>
                <w:sz w:val="18"/>
                <w:szCs w:val="18"/>
              </w:rPr>
              <w:t xml:space="preserve">Different, much larger site (Caltech vs. Office 1)</w:t>
            </w:r>
          </w:p>
        </w:tc>
        <w:tc>
          <w:tcPr>
            <w:tcW w:type="dxa" w:w="2750"/>
            <w:shd w:fill="F2F2F2" w:val="clear"/>
          </w:tcPr>
          <w:p>
            <w:r>
              <w:rPr>
                <w:sz w:val="18"/>
                <w:szCs w:val="18"/>
              </w:rPr>
              <w:t xml:space="preserve">0.5168</w:t>
            </w:r>
          </w:p>
        </w:tc>
      </w:tr>
    </w:tbl>
    <w:p>
      <w:pPr>
        <w:spacing w:after="160"/>
      </w:pPr>
    </w:p>
    <w:p>
      <w:pPr>
        <w:spacing w:after="160"/>
        <w:jc w:val="both"/>
      </w:pPr>
      <w:r>
        <w:rPr>
          <w:b w:val="false"/>
          <w:bCs w:val="false"/>
          <w:i w:val="false"/>
          <w:iCs w:val="false"/>
        </w:rPr>
        <w:t xml:space="preserve">In every one of the five configurations, composite LiRA AUC remained within a 0.48–0.54 noise band, well below the 0.60 threshold we pre-declared as evidence of detectable memorization. This phase alone is inconclusive about harness sensitivity: it rules out easy natural overfitting in this architecture/data regime, but not an attack methodology that simply cannot detect membership under any circumstance.</w:t>
      </w:r>
    </w:p>
    <w:p>
      <w:pPr>
        <w:pStyle w:val="Heading2"/>
        <w:spacing w:after="120" w:before="220"/>
      </w:pPr>
      <w:r>
        <w:t xml:space="preserve">6.2 Phase 2 — Canary Insertion (Positive Control)</w:t>
      </w:r>
    </w:p>
    <w:p>
      <w:pPr>
        <w:spacing w:after="160"/>
        <w:jc w:val="both"/>
      </w:pPr>
      <w:r>
        <w:rPr>
          <w:b w:val="false"/>
          <w:bCs w:val="false"/>
          <w:i w:val="false"/>
          <w:iCs w:val="false"/>
        </w:rPr>
        <w:t xml:space="preserve">To settle harness sensitivity directly, we inserted synthetic canaries — a standard technique in the DP/MIA literature (Carlini, "The Secret Sharer," 2019; Jagielski et al., "Auditing Differentially Private Machine Learning," 2020): five real sessions from one client (Office 1) duplicated 30× each into that client's training set, with 20 held-out sibling sessions from the same site as a clean member/non-member comparison group.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975"/>
        <w:gridCol w:w="2975"/>
      </w:tblGrid>
      <w:tr>
        <w:tc>
          <w:tcPr>
            <w:tcW w:type="dxa" w:w="3400"/>
            <w:shd w:fill="F2F2F2" w:val="clear"/>
          </w:tcPr>
          <w:p>
            <w:r>
              <w:rPr>
                <w:sz w:val="18"/>
                <w:szCs w:val="18"/>
              </w:rPr>
              <w:t xml:space="preserve">Metric (per round, 3 rounds)</w:t>
            </w:r>
          </w:p>
        </w:tc>
        <w:tc>
          <w:tcPr>
            <w:tcW w:type="dxa" w:w="2975"/>
            <w:shd w:fill="F2F2F2" w:val="clear"/>
          </w:tcPr>
          <w:p>
            <w:r>
              <w:rPr>
                <w:sz w:val="18"/>
                <w:szCs w:val="18"/>
              </w:rPr>
              <w:t xml:space="preserve">Round values</w:t>
            </w:r>
          </w:p>
        </w:tc>
        <w:tc>
          <w:tcPr>
            <w:tcW w:type="dxa" w:w="2975"/>
            <w:shd w:fill="F2F2F2" w:val="clear"/>
          </w:tcPr>
          <w:p>
            <w:r>
              <w:rPr>
                <w:sz w:val="18"/>
                <w:szCs w:val="18"/>
              </w:rPr>
              <w:t xml:space="preserve">Direction</w:t>
            </w:r>
          </w:p>
        </w:tc>
      </w:tr>
      <w:tr>
        <w:tc>
          <w:tcPr>
            <w:tcW w:type="dxa" w:w="3400"/>
            <w:shd w:fill="F2F2F2" w:val="clear"/>
          </w:tcPr>
          <w:p>
            <w:r>
              <w:rPr>
                <w:sz w:val="18"/>
                <w:szCs w:val="18"/>
              </w:rPr>
              <w:t xml:space="preserve">Raw reconstruction-loss AUC (no shadow calibration)</w:t>
            </w:r>
          </w:p>
        </w:tc>
        <w:tc>
          <w:tcPr>
            <w:tcW w:type="dxa" w:w="2975"/>
            <w:shd w:fill="F2F2F2" w:val="clear"/>
          </w:tcPr>
          <w:p>
            <w:r>
              <w:rPr>
                <w:sz w:val="18"/>
                <w:szCs w:val="18"/>
              </w:rPr>
              <w:t xml:space="preserve">0.7040 / 0.8951 / 0.8526</w:t>
            </w:r>
          </w:p>
        </w:tc>
        <w:tc>
          <w:tcPr>
            <w:tcW w:type="dxa" w:w="2975"/>
            <w:shd w:fill="F2F2F2" w:val="clear"/>
          </w:tcPr>
          <w:p>
            <w:r>
              <w:rPr>
                <w:sz w:val="18"/>
                <w:szCs w:val="18"/>
              </w:rPr>
              <w:t xml:space="preserve">Consistent, all &gt; 0.60</w:t>
            </w:r>
          </w:p>
        </w:tc>
      </w:tr>
      <w:tr>
        <w:tc>
          <w:tcPr>
            <w:tcW w:type="dxa" w:w="3400"/>
            <w:shd w:fill="F2F2F2" w:val="clear"/>
          </w:tcPr>
          <w:p>
            <w:r>
              <w:rPr>
                <w:sz w:val="18"/>
                <w:szCs w:val="18"/>
              </w:rPr>
              <w:t xml:space="preserve">Calibrated LiRA AUC on the same canaries</w:t>
            </w:r>
          </w:p>
        </w:tc>
        <w:tc>
          <w:tcPr>
            <w:tcW w:type="dxa" w:w="2975"/>
            <w:shd w:fill="F2F2F2" w:val="clear"/>
          </w:tcPr>
          <w:p>
            <w:r>
              <w:rPr>
                <w:sz w:val="18"/>
                <w:szCs w:val="18"/>
              </w:rPr>
              <w:t xml:space="preserve">0.6375 / 0.6625 / 0.5875</w:t>
            </w:r>
          </w:p>
        </w:tc>
        <w:tc>
          <w:tcPr>
            <w:tcW w:type="dxa" w:w="2975"/>
            <w:shd w:fill="F2F2F2" w:val="clear"/>
          </w:tcPr>
          <w:p>
            <w:r>
              <w:rPr>
                <w:sz w:val="18"/>
                <w:szCs w:val="18"/>
              </w:rPr>
              <w:t xml:space="preserve">Detects canary, composed 0.6875</w:t>
            </w:r>
          </w:p>
        </w:tc>
      </w:tr>
    </w:tbl>
    <w:p>
      <w:pPr>
        <w:spacing w:after="160"/>
      </w:pPr>
    </w:p>
    <w:p>
      <w:pPr>
        <w:spacing w:after="160"/>
        <w:jc w:val="both"/>
      </w:pPr>
      <w:r>
        <w:rPr>
          <w:b w:val="false"/>
          <w:bCs w:val="false"/>
          <w:i w:val="false"/>
          <w:iCs w:val="false"/>
        </w:rPr>
        <w:t xml:space="preserve">The target model's raw reconstruction loss cleanly and consistently distinguishes canary members from held-out canary non-members in every round at every site tested (canary members reconstruct 4–7× more accurately at Office 1; qualitatively similar separation at Caltech and JPL) — an unambiguous positive control at the loss level. The calibrated LiRA score is more nuanced. After fixing a shadow-sampling contamination bug (duplicate canary copies could previously fragment across a single shadow's IN/OUT split, diluting the differential signal LiRA's calibration relies on), calibrated LiRA on the Office 1 canaries — the densest insertion, ≈11% of that client's training set — detects the canary consistently across all three rounds (0.6375 / 0.6625 / 0.5875, composed 0.6875), above our pre-declared 0.60 threshold. It remains systematically weaker than the raw-loss signal, which we attribute to a separate, still-open limitation: LiRA's Gaussian calibration operates at its per-shadow variance floor in 96–99% of cases in this run rather than on genuine per-shadow variance. Replicating the identical protocol at Caltech and JPL — where duplicate density is far lower (≈0.5% of local training data, since both clients have larger local datasets than Office 1) — does not reproduce the calibrated-LiRA signal (Caltech composed AUC 0.42–0.50; JPL composed AUC 0.5368), consistent with a density-dependent effect. To isolate density from site, we re-ran the canary insertion at Caltech with density matched to Office 1's (≈10% of local training data, n_templates=84): calibrated LiRA still failed to detect the canary (AUC 0.46–0.53, near or below chance), so duplicate density alone does not fully explain the Office 1/Caltech gap either — the site-dependence of calibrated LiRA's canary sensitivity is only partially understood and is reported here as an open methodological nuance, not a resolved one. In every case this is a property of LiRA's calibration under an artificial near-duplicate-record design; natural EV sessions in our dataset are never literal duplicates of one another, so none of this extends to, or undermines, the null result in §7.</w:t>
      </w:r>
    </w:p>
    <w:p>
      <w:pPr>
        <w:pStyle w:val="Heading1"/>
        <w:spacing w:after="140" w:before="280"/>
      </w:pPr>
      <w:r>
        <w:t xml:space="preserve">7. Results</w:t>
      </w:r>
    </w:p>
    <w:p>
      <w:pPr>
        <w:spacing w:after="160"/>
        <w:jc w:val="both"/>
      </w:pPr>
      <w:r>
        <w:rPr>
          <w:b w:val="false"/>
          <w:bCs w:val="false"/>
          <w:i w:val="false"/>
          <w:iCs w:val="false"/>
        </w:rPr>
        <w:t xml:space="preserve">The full 5-seed × 10-configuration campaign completed on 2026-09-08 (seeds 42, 123, 456, 789, 1234; ~108 hours / 6,485 minutes wall-clock, sequential execution). Each seed re-seeds model weight initialization, the client train/holdout split and shuffling order, and every subsequent stochastic draw (DP noise, shadow-model sampling) via random.seed/numpy.random.seed/torch.manual_seed, so the 5 runs per configuration are genuinely independent repetitions of the same experiment — not 5 readings of a single run — the precondition for the bootstrap/Wilcoxon analysis below. Table 2 reports, for each configuration, the mean composed LiRA AUC-ROC across 5 independent seeds, its 95% bootstrap confidence interval (10,000 resamples), and a two-sided significance test against the chance level (AUC = 0.5).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0"/>
        <w:gridCol w:w="1870"/>
        <w:gridCol w:w="2340"/>
        <w:gridCol w:w="2800"/>
      </w:tblGrid>
      <w:tr>
        <w:tc>
          <w:tcPr>
            <w:tcW w:type="dxa" w:w="2340"/>
            <w:shd w:fill="F2F2F2" w:val="clear"/>
          </w:tcPr>
          <w:p>
            <w:r>
              <w:rPr>
                <w:sz w:val="18"/>
                <w:szCs w:val="18"/>
              </w:rPr>
              <w:t xml:space="preserve">DP mode / ε</w:t>
            </w:r>
          </w:p>
        </w:tc>
        <w:tc>
          <w:tcPr>
            <w:tcW w:type="dxa" w:w="1870"/>
            <w:shd w:fill="F2F2F2" w:val="clear"/>
          </w:tcPr>
          <w:p>
            <w:r>
              <w:rPr>
                <w:sz w:val="18"/>
                <w:szCs w:val="18"/>
              </w:rPr>
              <w:t xml:space="preserve">Mean LiRA AUC (5 seed)</w:t>
            </w:r>
          </w:p>
        </w:tc>
        <w:tc>
          <w:tcPr>
            <w:tcW w:type="dxa" w:w="2340"/>
            <w:shd w:fill="F2F2F2" w:val="clear"/>
          </w:tcPr>
          <w:p>
            <w:r>
              <w:rPr>
                <w:sz w:val="18"/>
                <w:szCs w:val="18"/>
              </w:rPr>
              <w:t xml:space="preserve">95% Bootstrap CI</w:t>
            </w:r>
          </w:p>
        </w:tc>
        <w:tc>
          <w:tcPr>
            <w:tcW w:type="dxa" w:w="2800"/>
            <w:shd w:fill="F2F2F2" w:val="clear"/>
          </w:tcPr>
          <w:p>
            <w:r>
              <w:rPr>
                <w:sz w:val="18"/>
                <w:szCs w:val="18"/>
              </w:rPr>
              <w:t xml:space="preserve">p vs. AUC=0.5 (Wilcoxon)</w:t>
            </w:r>
          </w:p>
        </w:tc>
      </w:tr>
      <w:tr>
        <w:tc>
          <w:tcPr>
            <w:tcW w:type="dxa" w:w="2340"/>
            <w:shd w:fill="F2F2F2" w:val="clear"/>
          </w:tcPr>
          <w:p>
            <w:r>
              <w:rPr>
                <w:sz w:val="18"/>
                <w:szCs w:val="18"/>
              </w:rPr>
              <w:t xml:space="preserve">no-DP baseline</w:t>
            </w:r>
          </w:p>
        </w:tc>
        <w:tc>
          <w:tcPr>
            <w:tcW w:type="dxa" w:w="1870"/>
            <w:shd w:fill="F2F2F2" w:val="clear"/>
          </w:tcPr>
          <w:p>
            <w:r>
              <w:rPr>
                <w:sz w:val="18"/>
                <w:szCs w:val="18"/>
              </w:rPr>
              <w:t xml:space="preserve">0.5003 (σ=0.0008)</w:t>
            </w:r>
          </w:p>
        </w:tc>
        <w:tc>
          <w:tcPr>
            <w:tcW w:type="dxa" w:w="2340"/>
            <w:shd w:fill="F2F2F2" w:val="clear"/>
          </w:tcPr>
          <w:p>
            <w:r>
              <w:rPr>
                <w:sz w:val="18"/>
                <w:szCs w:val="18"/>
              </w:rPr>
              <w:t xml:space="preserve">[0.4997, 0.5009]</w:t>
            </w:r>
          </w:p>
        </w:tc>
        <w:tc>
          <w:tcPr>
            <w:tcW w:type="dxa" w:w="2800"/>
            <w:shd w:fill="F2F2F2" w:val="clear"/>
          </w:tcPr>
          <w:p>
            <w:r>
              <w:rPr>
                <w:sz w:val="18"/>
                <w:szCs w:val="18"/>
              </w:rPr>
              <w:t xml:space="preserve">0.6250</w:t>
            </w:r>
          </w:p>
        </w:tc>
      </w:tr>
      <w:tr>
        <w:tc>
          <w:tcPr>
            <w:tcW w:type="dxa" w:w="2340"/>
            <w:shd w:fill="F2F2F2" w:val="clear"/>
          </w:tcPr>
          <w:p>
            <w:r>
              <w:rPr>
                <w:sz w:val="18"/>
                <w:szCs w:val="18"/>
              </w:rPr>
              <w:t xml:space="preserve">dp-fedavg, ε=1.0</w:t>
            </w:r>
          </w:p>
        </w:tc>
        <w:tc>
          <w:tcPr>
            <w:tcW w:type="dxa" w:w="1870"/>
            <w:shd w:fill="F2F2F2" w:val="clear"/>
          </w:tcPr>
          <w:p>
            <w:r>
              <w:rPr>
                <w:sz w:val="18"/>
                <w:szCs w:val="18"/>
              </w:rPr>
              <w:t xml:space="preserve">0.5000 (σ=0.0004)</w:t>
            </w:r>
          </w:p>
        </w:tc>
        <w:tc>
          <w:tcPr>
            <w:tcW w:type="dxa" w:w="2340"/>
            <w:shd w:fill="F2F2F2" w:val="clear"/>
          </w:tcPr>
          <w:p>
            <w:r>
              <w:rPr>
                <w:sz w:val="18"/>
                <w:szCs w:val="18"/>
              </w:rPr>
              <w:t xml:space="preserve">[0.4996, 0.5003]</w:t>
            </w:r>
          </w:p>
        </w:tc>
        <w:tc>
          <w:tcPr>
            <w:tcW w:type="dxa" w:w="2800"/>
            <w:shd w:fill="F2F2F2" w:val="clear"/>
          </w:tcPr>
          <w:p>
            <w:r>
              <w:rPr>
                <w:sz w:val="18"/>
                <w:szCs w:val="18"/>
              </w:rPr>
              <w:t xml:space="preserve">0.8125</w:t>
            </w:r>
          </w:p>
        </w:tc>
      </w:tr>
      <w:tr>
        <w:tc>
          <w:tcPr>
            <w:tcW w:type="dxa" w:w="2340"/>
            <w:shd w:fill="F2F2F2" w:val="clear"/>
          </w:tcPr>
          <w:p>
            <w:r>
              <w:rPr>
                <w:sz w:val="18"/>
                <w:szCs w:val="18"/>
              </w:rPr>
              <w:t xml:space="preserve">dp-fedavg, ε=0.5</w:t>
            </w:r>
          </w:p>
        </w:tc>
        <w:tc>
          <w:tcPr>
            <w:tcW w:type="dxa" w:w="1870"/>
            <w:shd w:fill="F2F2F2" w:val="clear"/>
          </w:tcPr>
          <w:p>
            <w:r>
              <w:rPr>
                <w:sz w:val="18"/>
                <w:szCs w:val="18"/>
              </w:rPr>
              <w:t xml:space="preserve">0.4995 (σ=0.0010)</w:t>
            </w:r>
          </w:p>
        </w:tc>
        <w:tc>
          <w:tcPr>
            <w:tcW w:type="dxa" w:w="2340"/>
            <w:shd w:fill="F2F2F2" w:val="clear"/>
          </w:tcPr>
          <w:p>
            <w:r>
              <w:rPr>
                <w:sz w:val="18"/>
                <w:szCs w:val="18"/>
              </w:rPr>
              <w:t xml:space="preserve">[0.4987, 0.5002]</w:t>
            </w:r>
          </w:p>
        </w:tc>
        <w:tc>
          <w:tcPr>
            <w:tcW w:type="dxa" w:w="2800"/>
            <w:shd w:fill="F2F2F2" w:val="clear"/>
          </w:tcPr>
          <w:p>
            <w:r>
              <w:rPr>
                <w:sz w:val="18"/>
                <w:szCs w:val="18"/>
              </w:rPr>
              <w:t xml:space="preserve">0.3125</w:t>
            </w:r>
          </w:p>
        </w:tc>
      </w:tr>
      <w:tr>
        <w:tc>
          <w:tcPr>
            <w:tcW w:type="dxa" w:w="2340"/>
            <w:shd w:fill="F2F2F2" w:val="clear"/>
          </w:tcPr>
          <w:p>
            <w:r>
              <w:rPr>
                <w:sz w:val="18"/>
                <w:szCs w:val="18"/>
              </w:rPr>
              <w:t xml:space="preserve">dp-fedavg, ε=0.1</w:t>
            </w:r>
          </w:p>
        </w:tc>
        <w:tc>
          <w:tcPr>
            <w:tcW w:type="dxa" w:w="1870"/>
            <w:shd w:fill="F2F2F2" w:val="clear"/>
          </w:tcPr>
          <w:p>
            <w:r>
              <w:rPr>
                <w:sz w:val="18"/>
                <w:szCs w:val="18"/>
              </w:rPr>
              <w:t xml:space="preserve">0.4999 (σ=0.0009)</w:t>
            </w:r>
          </w:p>
        </w:tc>
        <w:tc>
          <w:tcPr>
            <w:tcW w:type="dxa" w:w="2340"/>
            <w:shd w:fill="F2F2F2" w:val="clear"/>
          </w:tcPr>
          <w:p>
            <w:r>
              <w:rPr>
                <w:sz w:val="18"/>
                <w:szCs w:val="18"/>
              </w:rPr>
              <w:t xml:space="preserve">[0.4992, 0.5007]</w:t>
            </w:r>
          </w:p>
        </w:tc>
        <w:tc>
          <w:tcPr>
            <w:tcW w:type="dxa" w:w="2800"/>
            <w:shd w:fill="F2F2F2" w:val="clear"/>
          </w:tcPr>
          <w:p>
            <w:r>
              <w:rPr>
                <w:sz w:val="18"/>
                <w:szCs w:val="18"/>
              </w:rPr>
              <w:t xml:space="preserve">1.0000</w:t>
            </w:r>
          </w:p>
        </w:tc>
      </w:tr>
      <w:tr>
        <w:tc>
          <w:tcPr>
            <w:tcW w:type="dxa" w:w="2340"/>
            <w:shd w:fill="F2F2F2" w:val="clear"/>
          </w:tcPr>
          <w:p>
            <w:r>
              <w:rPr>
                <w:sz w:val="18"/>
                <w:szCs w:val="18"/>
              </w:rPr>
              <w:t xml:space="preserve">central, ε=1.0</w:t>
            </w:r>
          </w:p>
        </w:tc>
        <w:tc>
          <w:tcPr>
            <w:tcW w:type="dxa" w:w="1870"/>
            <w:shd w:fill="F2F2F2" w:val="clear"/>
          </w:tcPr>
          <w:p>
            <w:r>
              <w:rPr>
                <w:sz w:val="18"/>
                <w:szCs w:val="18"/>
              </w:rPr>
              <w:t xml:space="preserve">0.5005 (σ=0.0012)</w:t>
            </w:r>
          </w:p>
        </w:tc>
        <w:tc>
          <w:tcPr>
            <w:tcW w:type="dxa" w:w="2340"/>
            <w:shd w:fill="F2F2F2" w:val="clear"/>
          </w:tcPr>
          <w:p>
            <w:r>
              <w:rPr>
                <w:sz w:val="18"/>
                <w:szCs w:val="18"/>
              </w:rPr>
              <w:t xml:space="preserve">[0.4996, 0.5014]</w:t>
            </w:r>
          </w:p>
        </w:tc>
        <w:tc>
          <w:tcPr>
            <w:tcW w:type="dxa" w:w="2800"/>
            <w:shd w:fill="F2F2F2" w:val="clear"/>
          </w:tcPr>
          <w:p>
            <w:r>
              <w:rPr>
                <w:sz w:val="18"/>
                <w:szCs w:val="18"/>
              </w:rPr>
              <w:t xml:space="preserve">0.3125</w:t>
            </w:r>
          </w:p>
        </w:tc>
      </w:tr>
      <w:tr>
        <w:tc>
          <w:tcPr>
            <w:tcW w:type="dxa" w:w="2340"/>
            <w:shd w:fill="F2F2F2" w:val="clear"/>
          </w:tcPr>
          <w:p>
            <w:r>
              <w:rPr>
                <w:sz w:val="18"/>
                <w:szCs w:val="18"/>
              </w:rPr>
              <w:t xml:space="preserve">central, ε=0.5</w:t>
            </w:r>
          </w:p>
        </w:tc>
        <w:tc>
          <w:tcPr>
            <w:tcW w:type="dxa" w:w="1870"/>
            <w:shd w:fill="F2F2F2" w:val="clear"/>
          </w:tcPr>
          <w:p>
            <w:r>
              <w:rPr>
                <w:sz w:val="18"/>
                <w:szCs w:val="18"/>
              </w:rPr>
              <w:t xml:space="preserve">0.4999 (σ=0.0009)</w:t>
            </w:r>
          </w:p>
        </w:tc>
        <w:tc>
          <w:tcPr>
            <w:tcW w:type="dxa" w:w="2340"/>
            <w:shd w:fill="F2F2F2" w:val="clear"/>
          </w:tcPr>
          <w:p>
            <w:r>
              <w:rPr>
                <w:sz w:val="18"/>
                <w:szCs w:val="18"/>
              </w:rPr>
              <w:t xml:space="preserve">[0.4992, 0.5006]</w:t>
            </w:r>
          </w:p>
        </w:tc>
        <w:tc>
          <w:tcPr>
            <w:tcW w:type="dxa" w:w="2800"/>
            <w:shd w:fill="F2F2F2" w:val="clear"/>
          </w:tcPr>
          <w:p>
            <w:r>
              <w:rPr>
                <w:sz w:val="18"/>
                <w:szCs w:val="18"/>
              </w:rPr>
              <w:t xml:space="preserve">0.8125</w:t>
            </w:r>
          </w:p>
        </w:tc>
      </w:tr>
      <w:tr>
        <w:tc>
          <w:tcPr>
            <w:tcW w:type="dxa" w:w="2340"/>
            <w:shd w:fill="F2F2F2" w:val="clear"/>
          </w:tcPr>
          <w:p>
            <w:r>
              <w:rPr>
                <w:sz w:val="18"/>
                <w:szCs w:val="18"/>
              </w:rPr>
              <w:t xml:space="preserve">central, ε=0.1</w:t>
            </w:r>
          </w:p>
        </w:tc>
        <w:tc>
          <w:tcPr>
            <w:tcW w:type="dxa" w:w="1870"/>
            <w:shd w:fill="F2F2F2" w:val="clear"/>
          </w:tcPr>
          <w:p>
            <w:r>
              <w:rPr>
                <w:sz w:val="18"/>
                <w:szCs w:val="18"/>
              </w:rPr>
              <w:t xml:space="preserve">0.5005 (σ=0.0009)</w:t>
            </w:r>
          </w:p>
        </w:tc>
        <w:tc>
          <w:tcPr>
            <w:tcW w:type="dxa" w:w="2340"/>
            <w:shd w:fill="F2F2F2" w:val="clear"/>
          </w:tcPr>
          <w:p>
            <w:r>
              <w:rPr>
                <w:sz w:val="18"/>
                <w:szCs w:val="18"/>
              </w:rPr>
              <w:t xml:space="preserve">[0.4998, 0.5013]</w:t>
            </w:r>
          </w:p>
        </w:tc>
        <w:tc>
          <w:tcPr>
            <w:tcW w:type="dxa" w:w="2800"/>
            <w:shd w:fill="F2F2F2" w:val="clear"/>
          </w:tcPr>
          <w:p>
            <w:r>
              <w:rPr>
                <w:sz w:val="18"/>
                <w:szCs w:val="18"/>
              </w:rPr>
              <w:t xml:space="preserve">0.4375</w:t>
            </w:r>
          </w:p>
        </w:tc>
      </w:tr>
      <w:tr>
        <w:tc>
          <w:tcPr>
            <w:tcW w:type="dxa" w:w="2340"/>
            <w:shd w:fill="F2F2F2" w:val="clear"/>
          </w:tcPr>
          <w:p>
            <w:r>
              <w:rPr>
                <w:sz w:val="18"/>
                <w:szCs w:val="18"/>
              </w:rPr>
              <w:t xml:space="preserve">local, ε=1.0</w:t>
            </w:r>
          </w:p>
        </w:tc>
        <w:tc>
          <w:tcPr>
            <w:tcW w:type="dxa" w:w="1870"/>
            <w:shd w:fill="F2F2F2" w:val="clear"/>
          </w:tcPr>
          <w:p>
            <w:r>
              <w:rPr>
                <w:sz w:val="18"/>
                <w:szCs w:val="18"/>
              </w:rPr>
              <w:t xml:space="preserve">0.5000 (σ=0.0004)</w:t>
            </w:r>
          </w:p>
        </w:tc>
        <w:tc>
          <w:tcPr>
            <w:tcW w:type="dxa" w:w="2340"/>
            <w:shd w:fill="F2F2F2" w:val="clear"/>
          </w:tcPr>
          <w:p>
            <w:r>
              <w:rPr>
                <w:sz w:val="18"/>
                <w:szCs w:val="18"/>
              </w:rPr>
              <w:t xml:space="preserve">[0.4996, 0.5003]</w:t>
            </w:r>
          </w:p>
        </w:tc>
        <w:tc>
          <w:tcPr>
            <w:tcW w:type="dxa" w:w="2800"/>
            <w:shd w:fill="F2F2F2" w:val="clear"/>
          </w:tcPr>
          <w:p>
            <w:r>
              <w:rPr>
                <w:sz w:val="18"/>
                <w:szCs w:val="18"/>
              </w:rPr>
              <w:t xml:space="preserve">0.8125</w:t>
            </w:r>
          </w:p>
        </w:tc>
      </w:tr>
      <w:tr>
        <w:tc>
          <w:tcPr>
            <w:tcW w:type="dxa" w:w="2340"/>
            <w:shd w:fill="F2F2F2" w:val="clear"/>
          </w:tcPr>
          <w:p>
            <w:r>
              <w:rPr>
                <w:sz w:val="18"/>
                <w:szCs w:val="18"/>
              </w:rPr>
              <w:t xml:space="preserve">local, ε=0.5</w:t>
            </w:r>
          </w:p>
        </w:tc>
        <w:tc>
          <w:tcPr>
            <w:tcW w:type="dxa" w:w="1870"/>
            <w:shd w:fill="F2F2F2" w:val="clear"/>
          </w:tcPr>
          <w:p>
            <w:r>
              <w:rPr>
                <w:sz w:val="18"/>
                <w:szCs w:val="18"/>
              </w:rPr>
              <w:t xml:space="preserve">0.4995 (σ=0.0010)</w:t>
            </w:r>
          </w:p>
        </w:tc>
        <w:tc>
          <w:tcPr>
            <w:tcW w:type="dxa" w:w="2340"/>
            <w:shd w:fill="F2F2F2" w:val="clear"/>
          </w:tcPr>
          <w:p>
            <w:r>
              <w:rPr>
                <w:sz w:val="18"/>
                <w:szCs w:val="18"/>
              </w:rPr>
              <w:t xml:space="preserve">[0.4987, 0.5002]</w:t>
            </w:r>
          </w:p>
        </w:tc>
        <w:tc>
          <w:tcPr>
            <w:tcW w:type="dxa" w:w="2800"/>
            <w:shd w:fill="F2F2F2" w:val="clear"/>
          </w:tcPr>
          <w:p>
            <w:r>
              <w:rPr>
                <w:sz w:val="18"/>
                <w:szCs w:val="18"/>
              </w:rPr>
              <w:t xml:space="preserve">0.3125</w:t>
            </w:r>
          </w:p>
        </w:tc>
      </w:tr>
      <w:tr>
        <w:tc>
          <w:tcPr>
            <w:tcW w:type="dxa" w:w="2340"/>
            <w:shd w:fill="F2F2F2" w:val="clear"/>
          </w:tcPr>
          <w:p>
            <w:r>
              <w:rPr>
                <w:sz w:val="18"/>
                <w:szCs w:val="18"/>
              </w:rPr>
              <w:t xml:space="preserve">local, ε=0.1</w:t>
            </w:r>
          </w:p>
        </w:tc>
        <w:tc>
          <w:tcPr>
            <w:tcW w:type="dxa" w:w="1870"/>
            <w:shd w:fill="F2F2F2" w:val="clear"/>
          </w:tcPr>
          <w:p>
            <w:r>
              <w:rPr>
                <w:sz w:val="18"/>
                <w:szCs w:val="18"/>
              </w:rPr>
              <w:t xml:space="preserve">0.4999 (σ=0.0009)</w:t>
            </w:r>
          </w:p>
        </w:tc>
        <w:tc>
          <w:tcPr>
            <w:tcW w:type="dxa" w:w="2340"/>
            <w:shd w:fill="F2F2F2" w:val="clear"/>
          </w:tcPr>
          <w:p>
            <w:r>
              <w:rPr>
                <w:sz w:val="18"/>
                <w:szCs w:val="18"/>
              </w:rPr>
              <w:t xml:space="preserve">[0.4992, 0.5007]</w:t>
            </w:r>
          </w:p>
        </w:tc>
        <w:tc>
          <w:tcPr>
            <w:tcW w:type="dxa" w:w="2800"/>
            <w:shd w:fill="F2F2F2" w:val="clear"/>
          </w:tcPr>
          <w:p>
            <w:r>
              <w:rPr>
                <w:sz w:val="18"/>
                <w:szCs w:val="18"/>
              </w:rPr>
              <w:t xml:space="preserve">1.0000</w:t>
            </w:r>
          </w:p>
        </w:tc>
      </w:tr>
    </w:tbl>
    <w:p>
      <w:pPr>
        <w:spacing w:after="160"/>
      </w:pPr>
    </w:p>
    <w:p>
      <w:pPr>
        <w:spacing w:after="160"/>
        <w:jc w:val="both"/>
      </w:pPr>
      <w:r>
        <w:rPr>
          <w:b w:val="false"/>
          <w:bCs w:val="false"/>
          <w:i w:val="false"/>
          <w:iCs w:val="false"/>
        </w:rPr>
        <w:t xml:space="preserve">Every one of the 10 configurations' 95% bootstrap CI contains 0.5, and no mean deviates from 0.5 by more than 0.0005 in absolute terms — an order of magnitude tighter than the 0.60 positive-control threshold used in the sanity check (§6). This holds uniformly across DP placement (dp-fedavg / central / local) and privacy budget (ε ∈ {0.1, 0.5, 1.0}, plus no DP at all), directly answering this paper's central question: no, applying differential privacy to the FL communication channel does not need to "work" to prevent LiRA-detectable membership leakage in this architecture — no detectable leakage was present even without any DP applied.</w:t>
      </w:r>
    </w:p>
    <w:p>
      <w:pPr>
        <w:spacing w:after="160"/>
        <w:jc w:val="both"/>
      </w:pPr>
      <w:r>
        <w:rPr>
          <w:b w:val="false"/>
          <w:bCs w:val="false"/>
          <w:i w:val="false"/>
          <w:iCs w:val="false"/>
        </w:rPr>
        <w:t xml:space="preserve">Following Carlini et al.'s [2] argument that average-case metrics like AUC-ROC can hide an attack's ability to isolate members at a fixed low false-positive rate, we additionally re-analyzed the same 5-seed x 10-configuration campaign on composed LiRA TPR@FPR for FPR ∈ {0.1%, 1%, 5%}, with the same bootstrap CI and Wilcoxon procedure as Table 2, tested against the correct chance level for a fixed-FPR statistic (an uninformative attack sits on the ROC diagonal, so chance is TPR = FPR, not 0.5).</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00"/>
      </w:tblGrid>
      <w:tr>
        <w:tc>
          <w:tcPr>
            <w:tcW w:type="dxa" w:w="1800"/>
            <w:shd w:fill="F2F2F2" w:val="clear"/>
          </w:tcPr>
          <w:p>
            <w:r>
              <w:rPr>
                <w:sz w:val="18"/>
                <w:szCs w:val="18"/>
              </w:rPr>
              <w:t xml:space="preserve">Target FPR</w:t>
            </w:r>
          </w:p>
        </w:tc>
        <w:tc>
          <w:tcPr>
            <w:tcW w:type="dxa" w:w="2600"/>
            <w:shd w:fill="F2F2F2" w:val="clear"/>
          </w:tcPr>
          <w:p>
            <w:r>
              <w:rPr>
                <w:sz w:val="18"/>
                <w:szCs w:val="18"/>
              </w:rPr>
              <w:t xml:space="preserve">Mean TPR range (10 groups)</w:t>
            </w:r>
          </w:p>
        </w:tc>
        <w:tc>
          <w:tcPr>
            <w:tcW w:type="dxa" w:w="2600"/>
            <w:shd w:fill="F2F2F2" w:val="clear"/>
          </w:tcPr>
          <w:p>
            <w:r>
              <w:rPr>
                <w:sz w:val="18"/>
                <w:szCs w:val="18"/>
              </w:rPr>
              <w:t xml:space="preserve">95% CI excludes chance level</w:t>
            </w:r>
          </w:p>
        </w:tc>
        <w:tc>
          <w:tcPr>
            <w:tcW w:type="dxa" w:w="2600"/>
            <w:shd w:fill="F2F2F2" w:val="clear"/>
          </w:tcPr>
          <w:p>
            <w:r>
              <w:rPr>
                <w:sz w:val="18"/>
                <w:szCs w:val="18"/>
              </w:rPr>
              <w:t xml:space="preserve">Wilcoxon p range (10 groups)</w:t>
            </w:r>
          </w:p>
        </w:tc>
      </w:tr>
      <w:tr>
        <w:tc>
          <w:tcPr>
            <w:tcW w:type="dxa" w:w="1800"/>
            <w:shd w:fill="F2F2F2" w:val="clear"/>
          </w:tcPr>
          <w:p>
            <w:r>
              <w:rPr>
                <w:sz w:val="18"/>
                <w:szCs w:val="18"/>
              </w:rPr>
              <w:t xml:space="preserve">0.1% (0.001)</w:t>
            </w:r>
          </w:p>
        </w:tc>
        <w:tc>
          <w:tcPr>
            <w:tcW w:type="dxa" w:w="2600"/>
            <w:shd w:fill="F2F2F2" w:val="clear"/>
          </w:tcPr>
          <w:p>
            <w:r>
              <w:rPr>
                <w:sz w:val="18"/>
                <w:szCs w:val="18"/>
              </w:rPr>
              <w:t xml:space="preserve">[0.0008, 0.0012]</w:t>
            </w:r>
          </w:p>
        </w:tc>
        <w:tc>
          <w:tcPr>
            <w:tcW w:type="dxa" w:w="2600"/>
            <w:shd w:fill="F2F2F2" w:val="clear"/>
          </w:tcPr>
          <w:p>
            <w:r>
              <w:rPr>
                <w:sz w:val="18"/>
                <w:szCs w:val="18"/>
              </w:rPr>
              <w:t xml:space="preserve">0 / 10</w:t>
            </w:r>
          </w:p>
        </w:tc>
        <w:tc>
          <w:tcPr>
            <w:tcW w:type="dxa" w:w="2600"/>
            <w:shd w:fill="F2F2F2" w:val="clear"/>
          </w:tcPr>
          <w:p>
            <w:r>
              <w:rPr>
                <w:sz w:val="18"/>
                <w:szCs w:val="18"/>
              </w:rPr>
              <w:t xml:space="preserve">[0.3125, 1.0000]</w:t>
            </w:r>
          </w:p>
        </w:tc>
      </w:tr>
      <w:tr>
        <w:tc>
          <w:tcPr>
            <w:tcW w:type="dxa" w:w="1800"/>
            <w:shd w:fill="F2F2F2" w:val="clear"/>
          </w:tcPr>
          <w:p>
            <w:r>
              <w:rPr>
                <w:sz w:val="18"/>
                <w:szCs w:val="18"/>
              </w:rPr>
              <w:t xml:space="preserve">1% (0.01)</w:t>
            </w:r>
          </w:p>
        </w:tc>
        <w:tc>
          <w:tcPr>
            <w:tcW w:type="dxa" w:w="2600"/>
            <w:shd w:fill="F2F2F2" w:val="clear"/>
          </w:tcPr>
          <w:p>
            <w:r>
              <w:rPr>
                <w:sz w:val="18"/>
                <w:szCs w:val="18"/>
              </w:rPr>
              <w:t xml:space="preserve">[0.0092, 0.0109]</w:t>
            </w:r>
          </w:p>
        </w:tc>
        <w:tc>
          <w:tcPr>
            <w:tcW w:type="dxa" w:w="2600"/>
            <w:shd w:fill="F2F2F2" w:val="clear"/>
          </w:tcPr>
          <w:p>
            <w:r>
              <w:rPr>
                <w:sz w:val="18"/>
                <w:szCs w:val="18"/>
              </w:rPr>
              <w:t xml:space="preserve">2 / 10 (both below chance)</w:t>
            </w:r>
          </w:p>
        </w:tc>
        <w:tc>
          <w:tcPr>
            <w:tcW w:type="dxa" w:w="2600"/>
            <w:shd w:fill="F2F2F2" w:val="clear"/>
          </w:tcPr>
          <w:p>
            <w:r>
              <w:rPr>
                <w:sz w:val="18"/>
                <w:szCs w:val="18"/>
              </w:rPr>
              <w:t xml:space="preserve">[0.1250, 0.8125]</w:t>
            </w:r>
          </w:p>
        </w:tc>
      </w:tr>
      <w:tr>
        <w:tc>
          <w:tcPr>
            <w:tcW w:type="dxa" w:w="1800"/>
            <w:shd w:fill="F2F2F2" w:val="clear"/>
          </w:tcPr>
          <w:p>
            <w:r>
              <w:rPr>
                <w:sz w:val="18"/>
                <w:szCs w:val="18"/>
              </w:rPr>
              <w:t xml:space="preserve">5% (0.05)</w:t>
            </w:r>
          </w:p>
        </w:tc>
        <w:tc>
          <w:tcPr>
            <w:tcW w:type="dxa" w:w="2600"/>
            <w:shd w:fill="F2F2F2" w:val="clear"/>
          </w:tcPr>
          <w:p>
            <w:r>
              <w:rPr>
                <w:sz w:val="18"/>
                <w:szCs w:val="18"/>
              </w:rPr>
              <w:t xml:space="preserve">[0.0483, 0.0515]</w:t>
            </w:r>
          </w:p>
        </w:tc>
        <w:tc>
          <w:tcPr>
            <w:tcW w:type="dxa" w:w="2600"/>
            <w:shd w:fill="F2F2F2" w:val="clear"/>
          </w:tcPr>
          <w:p>
            <w:r>
              <w:rPr>
                <w:sz w:val="18"/>
                <w:szCs w:val="18"/>
              </w:rPr>
              <w:t xml:space="preserve">0 / 10</w:t>
            </w:r>
          </w:p>
        </w:tc>
        <w:tc>
          <w:tcPr>
            <w:tcW w:type="dxa" w:w="2600"/>
            <w:shd w:fill="F2F2F2" w:val="clear"/>
          </w:tcPr>
          <w:p>
            <w:r>
              <w:rPr>
                <w:sz w:val="18"/>
                <w:szCs w:val="18"/>
              </w:rPr>
              <w:t xml:space="preserve">[0.1875, 1.0000]</w:t>
            </w:r>
          </w:p>
        </w:tc>
      </w:tr>
    </w:tbl>
    <w:p>
      <w:pPr>
        <w:spacing w:after="160"/>
        <w:jc w:val="both"/>
      </w:pPr>
      <w:r>
        <w:rPr>
          <w:b w:val="false"/>
          <w:bCs w:val="false"/>
          <w:i w:val="false"/>
          <w:iCs w:val="false"/>
        </w:rPr>
        <w:t xml:space="preserve">Across the 30 (10 configurations × 3 FPR targets) tests, 2 of 10 configurations' 95% CI excludes the chance diagonal at FPR=1% (dp-fedavg ε=0.1 and local ε=0.1, both with mean TPR below chance — weaker, not stronger, than a random attacker at that operating point), and neither is significant by Wilcoxon (p=0.1250 in both cases, the same n=5 floor discussed for Table 2). No configuration shows a CI-excluding, Wilcoxon-significant TPR@low-FPR result at any of the three targets. The null result of Table 2 therefore holds under the fixed-low-FPR metric this paper's own cited attack construction argues is the more informative one, not only under AUC-ROC. Full per-configuration numbers for all three FPR targets are available alongside the campaign's raw data and can be tabulated in an appendix if reviewers want the complete 30-row breakdown rather than this summary.</w:t>
      </w:r>
    </w:p>
    <w:p>
      <w:pPr>
        <w:spacing w:after="160"/>
        <w:jc w:val="left"/>
      </w:pPr>
      <w:r>
        <w:rPr>
          <w:i/>
          <w:iCs/>
          <w:color w:val="8B0000"/>
        </w:rPr>
        <w:t xml:space="preserve">NOTA (aggiornata 2026-09-08): la tabella sopra riporta ora i numeri DEFINITIVI. La campagna task #52 (5 seed × 10 configurazioni, comprese le 2 configurazioni central/local ε=0.5 assenti dalla campagna precedente) si e' conclusa il 2026-09-08 (∼108 ore / 6.485 minuti wall-clock). Al completamento e' stato trovato e corretto un secondo bug reale di conflazione dati (task #73, oltre a quello entity-split gia' corretto il 2026-09-04): i rilanci della campagna riusavano gli stessi 5 seed (42/123/456/789/1234) gia' presenti nei run precedenti (per aggiungere metriche mancanti), ma venivano contati come osservazioni indipendenti aggiuntive invece che come sostituzioni — n gonfiato a 10 o 15 a seconda della configurazione; per “central” in particolare, mescolava anche dati pre-fix (prima della correzione di sensibilità DP pesata, task #26) con dati post-fix corretti. Fix: deduplicazione per (configurazione, seed), tenendo solo il file più recente per ogni seed. Con l'n=5 corretto per tutti e 10 i gruppi, il test di Wilcoxon REALE (scipy disponibile sulla macchina dell'utente, non il sign-test fallback) da' i p-value riportati in tabella — tutti ben sopra α=0.05 (range 0.3125–1.0000), nessun gruppo vicino alla significatività. TPR@low-FPR (0.1%/1%/5%, Sprint 10pp) è ora presente in tutti i file JSON di questa campagna (verificato), a differenza della campagna precedente dove il campo era stato aggiunto al codice dopo che il run era già partito. Nessun ulteriore rilancio necessario prima della submission per questi numeri.</w:t>
      </w:r>
    </w:p>
    <w:p>
      <w:pPr>
        <w:spacing w:after="160"/>
        <w:jc w:val="both"/>
      </w:pPr>
      <w:r>
        <w:rPr>
          <w:b w:val="false"/>
          <w:bCs w:val="false"/>
          <w:i w:val="false"/>
          <w:iCs w:val="false"/>
        </w:rPr>
        <w:t xml:space="preserve">AGGIORNAMENTO 2026-09-11 (su richiesta esplicita dell'utente, dopo aver verificato che il paper cita Carlini et al. 2022 proprio per l'argomento "l'AUC-ROC nasconde il caso a basso FPR"): questi campi sono stati ora effettivamente ri-analizzati con bootstrap CI + Wilcoxon (scripts/check_significance.py, esteso con TPR_FPR_TARGETS), non solo salvati nei JSON — risultati riportati sopra nel testo inglese, nessuna configurazione mostra un segnale significativo a bassi FPR.</w:t>
      </w:r>
    </w:p>
    <w:p>
      <w:pPr>
        <w:spacing w:after="160"/>
        <w:jc w:val="both"/>
      </w:pPr>
      <w:r>
        <w:rPr>
          <w:b w:val="false"/>
          <w:bCs w:val="false"/>
          <w:i w:val="false"/>
          <w:iCs w:val="false"/>
        </w:rPr>
        <w:t xml:space="preserve">We additionally cross-validated against the real Containerlab/NVFLARE deployment across both primary DP placements, using the same unmodified attack code, all at ε=1.0 across 10 rounds on 5 real containers. central: composed LiRA AUC per seed 0.5000 / 0.5015 / 0.5003 / 0.5012 (seeds 123 / 456 / 789 / 1234, post-fix; plus one pre-fix baseline seed 42). local: composed LiRA AUC per seed 0.4993 / 0.5007 / 0.4991 / 0.5003 / 0.5007 (seeds 42 / 123 / 456 / 789 / 1234), 95% bootstrap CI [0.4994, 0.5006] — contains 0.5. Both are consistent with the single-process simulation results above; an ε-sweep ({0.5, 0.1}) on NVFLARE for both placements is in progress at the time of writing.</w:t>
      </w:r>
    </w:p>
    <w:p>
      <w:pPr>
        <w:pStyle w:val="Heading1"/>
        <w:spacing w:after="140" w:before="280"/>
      </w:pPr>
      <w:r>
        <w:t xml:space="preserve">8. Privacy Exposure Score (PES_v1)</w:t>
      </w:r>
    </w:p>
    <w:p>
      <w:pPr>
        <w:spacing w:after="160"/>
        <w:jc w:val="both"/>
      </w:pPr>
      <w:r>
        <w:rPr>
          <w:b w:val="false"/>
          <w:bCs w:val="false"/>
          <w:i w:val="false"/>
          <w:iCs w:val="false"/>
        </w:rPr>
        <w:t xml:space="preserve">PES_v1 combines residual attack advantage with the nominal DP budget into a single risk score: L(AUC) = clip(2·max(0, AUC−0.5), 0, 1) (0 = chance, 1 = perfect attack); strength(ε) = 1/(1+ε) for a DP configuration, 0 for the no-DP baseline; PES_v1 = L(AUC) · strength(ε). U_cost (relative FL utility degradation) is reported as a companion axis, deliberately not folded multiplicatively into PES_v1, to avoid what we name explicitly as the "perfect privacy at zero utility" fallacy: a configuration that destroys model utility can trivially drive L(AUC) to 0 without providing any privacy protection worth the name.</w:t>
      </w:r>
    </w:p>
    <w:p>
      <w:pPr>
        <w:spacing w:after="160"/>
        <w:jc w:val="both"/>
      </w:pPr>
      <w:r>
        <w:rPr>
          <w:b w:val="false"/>
          <w:bCs w:val="false"/>
          <w:i w:val="false"/>
          <w:iCs w:val="false"/>
        </w:rPr>
        <w:t xml:space="preserve">L(AUC) is designed to play the same conceptual role as the membership-advantage quantity formally bounded by Yeom et al. [1a] at e^ε − 1 for pure ε-DP mechanisms, and — more precisely, since our Gaussian Mechanism gives (ε,δ)-DP, not pure ε-DP — by Humphries et al. [1b] at (e^ε − 1 + 2δ)/(e^ε + 1). We are explicit that this motivates the ε-dependence of PES_v1 without claiming an exact derived bound; strength(ε) = 1/(1+ε) remains a designed, not derived, heuristic weighting. A refinement ("PES v1.1", normalizing observed advantage directly against the Humphries bound once TPR@low-FPR gives a metric with a cleaner formal correspondence than AUC) is future work.</w:t>
      </w:r>
    </w:p>
    <w:p>
      <w:pPr>
        <w:pStyle w:val="Heading1"/>
        <w:spacing w:after="140" w:before="280"/>
      </w:pPr>
      <w:r>
        <w:t xml:space="preserve">9. Limitations</w:t>
      </w:r>
    </w:p>
    <w:p>
      <w:pPr>
        <w:spacing w:after="160"/>
        <w:jc w:val="both"/>
      </w:pPr>
      <w:r>
        <w:rPr>
          <w:b w:val="false"/>
          <w:bCs w:val="false"/>
          <w:i w:val="false"/>
          <w:iCs w:val="false"/>
        </w:rPr>
        <w:t xml:space="preserve">We state nine limitations explicitly rather than let a reviewer discover them:</w:t>
      </w:r>
    </w:p>
    <w:p>
      <w:pPr>
        <w:pStyle w:val="ListParagraph"/>
        <w:numPr>
          <w:ilvl w:val="0"/>
          <w:numId w:val="1"/>
        </w:numPr>
        <w:spacing w:after="90"/>
      </w:pPr>
      <w:r>
        <w:t xml:space="preserve">Single model architecture (570-parameter autoencoder); framed as consistent with constrained cyber-physical/edge deployments, not a proven hardware bound. Cross-architecture MIA characterization (ResNet/Transformer/DNN) is out of scope.</w:t>
      </w:r>
    </w:p>
    <w:p>
      <w:pPr>
        <w:pStyle w:val="ListParagraph"/>
        <w:numPr>
          <w:ilvl w:val="0"/>
          <w:numId w:val="1"/>
        </w:numPr>
        <w:spacing w:after="90"/>
      </w:pPr>
      <w:r>
        <w:t xml:space="preserve">Three real sites / five Containerlab nodes, not 50–100 heterogeneous clients — an Enterprise Cross-Silo FL [13] regime, chosen for ecological validity over synthetic fragmentation; PES_v1's behavior under large-N, high-heterogeneity cross-device FL is untested.</w:t>
      </w:r>
    </w:p>
    <w:p>
      <w:pPr>
        <w:pStyle w:val="ListParagraph"/>
        <w:numPr>
          <w:ilvl w:val="0"/>
          <w:numId w:val="1"/>
        </w:numPr>
        <w:spacing w:after="90"/>
      </w:pPr>
      <w:r>
        <w:t xml:space="preserve">PES_v1 is informally, not formally, grounded (§8) — an analogy to established bounds, not a derived guarantee.</w:t>
      </w:r>
    </w:p>
    <w:p>
      <w:pPr>
        <w:pStyle w:val="ListParagraph"/>
        <w:numPr>
          <w:ilvl w:val="0"/>
          <w:numId w:val="1"/>
        </w:numPr>
        <w:spacing w:after="90"/>
      </w:pPr>
      <w:r>
        <w:t xml:space="preserve">Single dataset (ACN-Data only); replication on a second, independently collected EV dataset (ChargePlace Scotland) is future work.</w:t>
      </w:r>
    </w:p>
    <w:p>
      <w:pPr>
        <w:pStyle w:val="ListParagraph"/>
        <w:numPr>
          <w:ilvl w:val="0"/>
          <w:numId w:val="1"/>
        </w:numPr>
        <w:spacing w:after="90"/>
      </w:pPr>
      <w:r>
        <w:t xml:space="preserve">Fixed-threshold gradient clipping only; the DP comparison is across placement (dp-fedavg/central/local), not across clipping strategy — adaptive/percentile-based clipping is future work. Client-level clipping only (§3.4): none of the three placements bounds a single record's contribution the way per-example DP-SGD does; implementing and evaluating true per-example DP-SGD as a fourth placement is future work.</w:t>
      </w:r>
    </w:p>
    <w:p>
      <w:pPr>
        <w:pStyle w:val="ListParagraph"/>
        <w:numPr>
          <w:ilvl w:val="0"/>
          <w:numId w:val="1"/>
        </w:numPr>
        <w:spacing w:after="90"/>
      </w:pPr>
      <w:r>
        <w:t xml:space="preserve">No adaptive/auditor-aware attacker (§4.3) — our null result rules out three literature-standard attacks (Yeom/Shadow/LiRA), not a bespoke attack tailored to this exact setup.</w:t>
      </w:r>
    </w:p>
    <w:p>
      <w:pPr>
        <w:pStyle w:val="ListParagraph"/>
        <w:numPr>
          <w:ilvl w:val="0"/>
          <w:numId w:val="1"/>
        </w:numPr>
        <w:spacing w:after="90"/>
      </w:pPr>
      <w:r>
        <w:t xml:space="preserve">A positive control was obtained via canary insertion (§6.2): the raw reconstruction loss detects it at every site tested (AUC 0.70–0.90 at Office 1); the calibrated LiRA score detects it reliably only at Office 1 (composed AUC 0.6875, after fixing a shadow-sampling contamination bug), and fails to reproduce the signal at Caltech/JPL even when duplicate density is matched to Office 1's (≈10%) — a site-dependence in LiRA's calibration under this artificial near-duplicate design that is only partially understood, not evidence against the harness's underlying sensitivity or against the natural-data null result in §7.</w:t>
      </w:r>
    </w:p>
    <w:p>
      <w:pPr>
        <w:pStyle w:val="ListParagraph"/>
        <w:numPr>
          <w:ilvl w:val="0"/>
          <w:numId w:val="1"/>
        </w:numPr>
        <w:spacing w:after="90"/>
      </w:pPr>
      <w:r>
        <w:t xml:space="preserve">Composition across FL rounds is naive (ε_total = ε_per_round × rounds), not Rényi DP (RDP) or zCDP — a real gap: Jayaraman and Evans [14] show naive composition needs 50× the budget RDP needs for matched utility on a comparable task (§2), so our reported multi-round ε is a conservative (loose) upper bound, not a tight guarantee. This does not affect the MIA measurements themselves, which are empirical and independent of the composition bound used to state the theoretical budget. A closed-form advanced-composition bound (Dwork and Roth [6]), or an RDP accountant for the Gaussian mechanism specifically, would tighten this number without requiring a full external DP-accounting library; neither is implemented here — future work. Results are validated on real ACN-Data in both simulation and a real deployment; the full 5-seed × 10-configuration bootstrap campaign (§7) is complete, including the two configurations (central/local, ε=0.5) missing from the earlier 8-configuration run. A true Wilcoxon signed-rank test was run on a machine with scipy: none of the 10 configuration groups shows AUC significantly different from 0.5 (p ranging 0.3125–1.0000, all far above 0.05). Two real data-conflation bugs were found and fixed during this process: first (2026-09-04), the "no-DP baseline" group had silently included files from an unrelated robustness experiment (entity-aware train/holdout split) alongside its own real seeds, inflating n from 5 to 10; second (2026-09-08), the campaign’s own reruns — which reused the same 5 seeds to add previously-missing metrics rather than to add statistical power — were counted as additional independent observations instead of replacements, inflating n to 10 or 15 depending on configuration, and for “central” specifically mixing pre-fix data (before a DP-sensitivity correction, see §3.4) with corrected post-fix data. Both are fixed via deduplication by (configuration, seed), keeping only the most recent file per seed; all 10 groups now correctly show n=5. TPR@low-FPR is present in every result file of this final campaign (the field was implemented after the earlier, superseded 8-configuration run had already started, which is why that run lacked it), and — per Carlini et al.'s [2] own argument that AUC-ROC can hide a low-FPR signal — has now been bootstrap/Wilcoxon-tested at FPR ∈ {0.1%, 1%, 5%} (§7), with the same null result as the AUC-ROC analysis.</w:t>
      </w:r>
    </w:p>
    <w:p>
      <w:pPr>
        <w:pStyle w:val="Heading1"/>
        <w:spacing w:after="140" w:before="280"/>
      </w:pPr>
      <w:r>
        <w:t xml:space="preserve">10. Discussion and Conclusion</w:t>
      </w:r>
    </w:p>
    <w:p>
      <w:pPr>
        <w:spacing w:after="160"/>
        <w:jc w:val="both"/>
      </w:pPr>
      <w:r>
        <w:rPr>
          <w:b w:val="false"/>
          <w:bCs w:val="false"/>
          <w:i w:val="false"/>
          <w:iCs w:val="false"/>
        </w:rPr>
        <w:t xml:space="preserve">Protecting the communication channel is not the same as protecting the computation — that gap is what the ML Plane and Privacy Auditor exist to make measurable. Instrumented against a strong, well-established MIA (LiRA), this architecture did not find the exposure gap our initial hypothesis expected, under any DP configuration including none at all. This is itself a practically relevant, reportable answer for anyone deciding whether to deploy FL with DP over EV charging infrastructure — not a null result to be explained away, and not (per our five-axis validation, §6) attributable to an insensitive measurement instrument on the axes we tested.</w:t>
      </w:r>
    </w:p>
    <w:p>
      <w:pPr>
        <w:spacing w:after="160"/>
        <w:jc w:val="both"/>
      </w:pPr>
      <w:r>
        <w:rPr>
          <w:b w:val="false"/>
          <w:bCs w:val="false"/>
          <w:i w:val="false"/>
          <w:iCs w:val="false"/>
        </w:rPr>
        <w:t xml:space="preserve">Future work: a Gradient Inversion attack module as a second, independent case study validating the same ML Plane + Privacy Auditor architecture against a different adversarial capability; replication on a second EV dataset; adaptive gradient clipping; and a bespoke, auditor-aware attacker targeting this exact pipeline (§4.3).</w:t>
      </w:r>
    </w:p>
    <w:p>
      <w:pPr>
        <w:pStyle w:val="Heading1"/>
        <w:spacing w:after="140" w:before="280"/>
      </w:pPr>
      <w:r>
        <w:t xml:space="preserve">AI Tool Usage</w:t>
      </w:r>
    </w:p>
    <w:p>
      <w:pPr>
        <w:spacing w:after="160"/>
        <w:jc w:val="left"/>
      </w:pPr>
      <w:r>
        <w:rPr>
          <w:i/>
          <w:iCs/>
          <w:color w:val="8B0000"/>
        </w:rPr>
        <w:t xml:space="preserve">Sezione obbligatoria per il CFP DSN 2027 (1-2 paragrafi, fuori dal page limit, dopo gli Acknowledgements). Bozza — DA VERIFICARE E RIFINIRE CON L'UTENTE prima della submission, non un placeholder da lasciare invariato.</w:t>
      </w:r>
    </w:p>
    <w:p>
      <w:pPr>
        <w:spacing w:after="160"/>
        <w:jc w:val="both"/>
      </w:pPr>
      <w:r>
        <w:rPr>
          <w:b w:val="false"/>
          <w:bCs w:val="false"/>
          <w:i w:val="false"/>
          <w:iCs w:val="false"/>
        </w:rPr>
        <w:t xml:space="preserve">[DRAFT — review and finalize with all authors before submission.] We used Claude (Anthropic) throughout the implementation of the ChargeShield-FL codebase (ML Plane, Privacy Auditor, ByzantineDetector, the Yeom/Shadow/LiRA attack implementations, the experiment runner, and the statistical analysis scripts referenced in this paper), under continuous human direction, review, and empirical verification at every step. All reported experimental results were produced by executing the resulting code and analyzing its real output; no numeric result in this paper is AI-generated or simulated. This draft of the paper text itself was assembled by Claude from the authors' own design documents and decisions, and requires full human review, verification, and revision before submission.</w:t>
      </w:r>
    </w:p>
    <w:p>
      <w:pPr>
        <w:pStyle w:val="Heading1"/>
        <w:spacing w:after="140" w:before="280"/>
      </w:pPr>
      <w:r>
        <w:t xml:space="preserve">References</w:t>
      </w:r>
    </w:p>
    <w:p>
      <w:pPr>
        <w:spacing w:after="160"/>
        <w:jc w:val="left"/>
      </w:pPr>
      <w:r>
        <w:rPr>
          <w:b w:val="false"/>
          <w:bCs w:val="false"/>
          <w:i w:val="false"/>
          <w:iCs w:val="false"/>
        </w:rPr>
        <w:t xml:space="preserve">[1] R. Shokri, M. Stronati, C. Song, and V. Shmatikov, "Membership Inference Attacks Against Machine Learning Models," IEEE S&amp;P, 2017.</w:t>
      </w:r>
    </w:p>
    <w:p>
      <w:pPr>
        <w:spacing w:after="160"/>
        <w:jc w:val="left"/>
      </w:pPr>
      <w:r>
        <w:rPr>
          <w:b w:val="false"/>
          <w:bCs w:val="false"/>
          <w:i w:val="false"/>
          <w:iCs w:val="false"/>
        </w:rPr>
        <w:t xml:space="preserve">[1a] S. Yeom, I. Giacomelli, M. Fredrikson, and S. Jha, "Privacy Risk in Machine Learning: Analyzing the Connection to Overfitting," IEEE CSF, 2018.</w:t>
      </w:r>
    </w:p>
    <w:p>
      <w:pPr>
        <w:spacing w:after="160"/>
        <w:jc w:val="left"/>
      </w:pPr>
      <w:r>
        <w:rPr>
          <w:b w:val="false"/>
          <w:bCs w:val="false"/>
          <w:i w:val="false"/>
          <w:iCs w:val="false"/>
        </w:rPr>
        <w:t xml:space="preserve">[1b] T. Humphries, M. Rafuse, L. Tulloch, S. Oya, I. Goldberg, U. Hengartner, and F. Kerschbaum, "Differentially Private Learning Does Not Bound Membership Inference," arXiv:2010.12112, 2020.</w:t>
      </w:r>
    </w:p>
    <w:p>
      <w:pPr>
        <w:spacing w:after="160"/>
        <w:jc w:val="left"/>
      </w:pPr>
      <w:r>
        <w:rPr>
          <w:b w:val="false"/>
          <w:bCs w:val="false"/>
          <w:i w:val="false"/>
          <w:iCs w:val="false"/>
        </w:rPr>
        <w:t xml:space="preserve">[2] N. Carlini, S. Chien, M. Nasr, S. Song, A. Terzis, and F. Tramèr, "Membership Inference Attacks From First Principles," IEEE S&amp;P, 2022.</w:t>
      </w:r>
    </w:p>
    <w:p>
      <w:pPr>
        <w:spacing w:after="160"/>
        <w:jc w:val="left"/>
      </w:pPr>
      <w:r>
        <w:rPr>
          <w:b w:val="false"/>
          <w:bCs w:val="false"/>
          <w:i w:val="false"/>
          <w:iCs w:val="false"/>
        </w:rPr>
        <w:t xml:space="preserve">[3] B. McMahan, D. Ramage, K. Talwar, and L. Zhang, "Learning Differentially Private Recurrent Language Models," ICLR, 2018.</w:t>
      </w:r>
    </w:p>
    <w:p>
      <w:pPr>
        <w:spacing w:after="160"/>
        <w:jc w:val="left"/>
      </w:pPr>
      <w:r>
        <w:rPr>
          <w:b w:val="false"/>
          <w:bCs w:val="false"/>
          <w:i w:val="false"/>
          <w:iCs w:val="false"/>
        </w:rPr>
        <w:t xml:space="preserve">[3a] B. McMahan, E. Moore, D. Ramage, S. Hampson, and B. A. y Arcas, "Communication-Efficient Learning of Deep Networks from Decentralized Data," AISTATS, 2017.</w:t>
      </w:r>
    </w:p>
    <w:p>
      <w:pPr>
        <w:spacing w:after="160"/>
        <w:jc w:val="left"/>
      </w:pPr>
      <w:r>
        <w:rPr>
          <w:b w:val="false"/>
          <w:bCs w:val="false"/>
          <w:i w:val="false"/>
          <w:iCs w:val="false"/>
        </w:rPr>
        <w:t xml:space="preserve">[4] T. Li, A. K. Sahu, M. Zaheer, M. Sanjabi, A. Smola, and V. Smith, "Federated Optimization in Heterogeneous Networks," MLSys, 2020.</w:t>
      </w:r>
    </w:p>
    <w:p>
      <w:pPr>
        <w:spacing w:after="160"/>
        <w:jc w:val="left"/>
      </w:pPr>
      <w:r>
        <w:rPr>
          <w:b w:val="false"/>
          <w:bCs w:val="false"/>
          <w:i w:val="false"/>
          <w:iCs w:val="false"/>
        </w:rPr>
        <w:t xml:space="preserve">[5] M. Nasr, R. Shokri, and A. Houmansadr, "Comprehensive Privacy Analysis of Deep Learning: Passive and Active White-box Inference Attacks against Centralized and Federated Learning," IEEE S&amp;P, 2019.</w:t>
      </w:r>
    </w:p>
    <w:p>
      <w:pPr>
        <w:spacing w:after="160"/>
        <w:jc w:val="left"/>
      </w:pPr>
      <w:r>
        <w:rPr>
          <w:b w:val="false"/>
          <w:bCs w:val="false"/>
          <w:i w:val="false"/>
          <w:iCs w:val="false"/>
        </w:rPr>
        <w:t xml:space="preserve">[6] C. Dwork, F. McSherry, K. Nissim, and A. Smith, "Calibrating Noise to Sensitivity in Private Data Analysis," TCC, 2006.</w:t>
      </w:r>
    </w:p>
    <w:p>
      <w:pPr>
        <w:spacing w:after="160"/>
        <w:jc w:val="left"/>
      </w:pPr>
      <w:r>
        <w:rPr>
          <w:b w:val="false"/>
          <w:bCs w:val="false"/>
          <w:i w:val="false"/>
          <w:iCs w:val="false"/>
        </w:rPr>
        <w:t xml:space="preserve">[7] M. Abadi, A. Chu, I. Goodfellow, H. B. McMahan, I. Mironov, K. Talwar, and L. Zhang, "Deep Learning with Differential Privacy," ACM CCS, 2016.</w:t>
      </w:r>
    </w:p>
    <w:p>
      <w:pPr>
        <w:spacing w:after="160"/>
        <w:jc w:val="left"/>
      </w:pPr>
      <w:r>
        <w:rPr>
          <w:b w:val="false"/>
          <w:bCs w:val="false"/>
          <w:i w:val="false"/>
          <w:iCs w:val="false"/>
        </w:rPr>
        <w:t xml:space="preserve">[8] E. Bagdasaryan, A. Veit, Y. Hua, D. Estrin, and V. Shmatikov, "How To Backdoor Federated Learning," AISTATS, 2020.</w:t>
      </w:r>
    </w:p>
    <w:p>
      <w:pPr>
        <w:spacing w:after="160"/>
        <w:jc w:val="left"/>
      </w:pPr>
      <w:r>
        <w:rPr>
          <w:b w:val="false"/>
          <w:bCs w:val="false"/>
          <w:i w:val="false"/>
          <w:iCs w:val="false"/>
        </w:rPr>
        <w:t xml:space="preserve">[9] P. Blanchard, E. M. El Mhamdi, R. Guerraoui, and J. Stainer, "Machine Learning with Adversaries: Byzantine Tolerant Gradient Descent," NeurIPS, 2017.</w:t>
      </w:r>
    </w:p>
    <w:p>
      <w:pPr>
        <w:spacing w:after="160"/>
        <w:jc w:val="left"/>
      </w:pPr>
      <w:r>
        <w:rPr>
          <w:b w:val="false"/>
          <w:bCs w:val="false"/>
          <w:i w:val="false"/>
          <w:iCs w:val="false"/>
        </w:rPr>
        <w:t xml:space="preserve">[10] Z. J. Lee, D. Chang, Z. Hu, G. S. Taylor, and S. H. Low, "ACN-Data: Analysis and Applications of an Open EV Charging Dataset," ACM e-Energy, 2019.</w:t>
      </w:r>
    </w:p>
    <w:p>
      <w:pPr>
        <w:spacing w:after="160"/>
        <w:jc w:val="left"/>
      </w:pPr>
      <w:r>
        <w:rPr>
          <w:b w:val="false"/>
          <w:bCs w:val="false"/>
          <w:i w:val="false"/>
          <w:iCs w:val="false"/>
        </w:rPr>
        <w:t xml:space="preserve">[11] S. Truong, K. Sun, S. Moran, and P. Phung, "Privacy Preservation in Federated Learning: An Insightful Survey from the GDPR Perspective," Computers &amp; Security, vol. 110, 2021.</w:t>
      </w:r>
    </w:p>
    <w:p>
      <w:pPr>
        <w:spacing w:after="160"/>
        <w:jc w:val="left"/>
      </w:pPr>
      <w:r>
        <w:rPr>
          <w:b w:val="false"/>
          <w:bCs w:val="false"/>
          <w:i w:val="false"/>
          <w:iCs w:val="false"/>
        </w:rPr>
        <w:t xml:space="preserve">[12] A. Imperatrice and L. Romano, "Toward Realistic Privacy Risk in FL-Enabled OT Intrusion Detection Systems," QRS 2026 (Fast Abstract).</w:t>
      </w:r>
    </w:p>
    <w:p>
      <w:pPr>
        <w:spacing w:after="160"/>
        <w:jc w:val="left"/>
      </w:pPr>
      <w:r>
        <w:rPr>
          <w:b w:val="false"/>
          <w:bCs w:val="false"/>
          <w:i w:val="false"/>
          <w:iCs w:val="false"/>
        </w:rPr>
        <w:t xml:space="preserve">[13] P. Kairouz et al., "Advances and Open Problems in Federated Learning," Foundations and Trends in Machine Learning, vol. 14, no. 1–2, 2021.</w:t>
      </w:r>
    </w:p>
    <w:p>
      <w:pPr>
        <w:spacing w:after="160"/>
        <w:jc w:val="left"/>
      </w:pPr>
      <w:r>
        <w:rPr>
          <w:b w:val="false"/>
          <w:bCs w:val="false"/>
          <w:i w:val="false"/>
          <w:iCs w:val="false"/>
        </w:rPr>
        <w:t xml:space="preserve">[14] B. Jayaraman and D. Evans, "Evaluating Differentially Private Machine Learning in Practice," USENIX Security, 2019.</w:t>
      </w:r>
    </w:p>
    <w:p>
      <w:pPr>
        <w:spacing w:after="200"/>
      </w:pPr>
    </w:p>
    <w:p>
      <w:pPr>
        <w:spacing w:after="160"/>
        <w:jc w:val="left"/>
      </w:pPr>
      <w:r>
        <w:rPr>
          <w:i/>
          <w:iCs/>
          <w:color w:val="8B0000"/>
        </w:rPr>
        <w:t xml:space="preserve">NOTA FINALE: [12] cita un co-autore dell'utente (Imperatrice) — l'anonimizzazione double-blind di DSN richiede di riferirsi al proprio lavoro pregresso in terza persona, senza ometterlo (vedi CFP, sezione Anonymization Rules) — non rimuovere la citazione, riformulare il testo che la introduce in §2 se necessario per non implicare l'identità degli autori.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2026-08-31T14:30:09.522Z</dcterms:created>
  <dcterms:modified xsi:type="dcterms:W3CDTF">2026-08-31T14:30:09.523Z</dcterms:modified>
</cp:coreProperties>
</file>

<file path=docProps/custom.xml><?xml version="1.0" encoding="utf-8"?>
<Properties xmlns="http://schemas.openxmlformats.org/officeDocument/2006/custom-properties" xmlns:vt="http://schemas.openxmlformats.org/officeDocument/2006/docPropsVTypes"/>
</file>