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three attacks spanning two independent observation surfaces — the aggregated global model (Yeom, Shadow) and each client’s individual per-round update (LiRA),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three-attack suite spanning two independent observation surfaces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most granular of our three attacks — the only one that observes a specific client’s per-round update rather than the aggregated global model —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three attacks spanning two independent observation surfaces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three-attack suite spanning two independent observation surfaces,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Read this way, the three placements are not three independent privacy mechanisms but three points of adversary privilege along the same per-client update's transformation pipeline: dp-fedavg observes it raw, before any clipping or noising; central observes it after client-side clipping but before any noise; local observes only the final clipped-and-noised value — never the raw or intermediate one, not even transiently. Under this reading, dp-fedavg is not one privacy mechanism among three that happens to provide no protection: it is the ceiling of what is extractable from this channel at all, under the most privileged view our architecture ever grants an aggregator. Should that ceiling itself show no detectable membership signal (§7), the same null result under the two protective placements, central and local, cannot be attributed to DP noise suppressing a signal that was otherwise present — the unprotected, raw view would already have contained none to suppress. This is also the point at which the ML Plane substrate (§3.1) is load-bearing for the experiment, not merely infrastructure: its event stream — local update produced, update privatized, round aggregated — is exactly what makes these three levels of aggregator privilege separately observable and separately attackable in the first place.</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either handled by a separate consumer of the same ML Plane substrate and validated independently (Scenario 2, §4.2) or genuinely out of scope (Scenarios 3–4), reported as such and never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 2 (a different consumer, not out of scope) and Scenarios 3–4 (out of scope)</w:t>
      </w:r>
    </w:p>
    <w:p>
      <w:pPr>
        <w:spacing w:after="160"/>
        <w:jc w:val="both"/>
      </w:pPr>
      <w:r>
        <w:rPr>
          <w:b w:val="false"/>
          <w:bCs w:val="false"/>
          <w:i w:val="false"/>
          <w:iCs w:val="false"/>
        </w:rPr>
        <w:t xml:space="preserve">Scenario 2 (a malicious FL client) is not simply out of scope: as §3.3 argues, the ML Plane substrate has two consumers with orthogonal threat models over the same observability layer — the Privacy Auditor (confidentiality, Scenario 1, the subject of this paper’s results) and ByzantineDetector (integrity, Scenario 2). Scenario 2 belongs to that other consumer, is validated separately from the privacy claims in this paper, and is not conflated with Scenario 1 in our results. As of this submission, ByzantineDetector’s Krum/cosine-similarity/CUSUM mechanisms are implemented and unit-tested but have not yet been exercised end-to-end against an active Byzantine client on real FL training data — a gap we disclose explicitly rather than imply coverage we have not measured. Scenario 3 (compromised network gateway) and Scenario 4 (external passive eavesdropper, defeated by transport-layer security) remain genuinely out of scope: neither is an ML Plane consumer, and both are conventional network-security concerns orthogonal to Scenarios 1 and 2 alike.</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suite across two observation surfaces: Yeom [1a] (loss-based) and a calibrated Shadow-Model attack [1] both observe only the aggregated global model — from this vantage point, a positive detection can conclude only that some session, somewhere in the federation, was a training member, never which client trained on it. LiRA [2] (likelihood-ratio) instead observes a specific client's individual per-round update as actually submitted for aggregation — a strictly more privileged vantage point, since it requires the aggregator to inspect a named client's contribution rather than the pooled result, and a positive detection would attribute membership to that specific operator. These are not three points on one scale of attack strength: they are two independent observation surfaces testing two different claims, and LiRA is the primary attack this paper reports results under because it is the one that matches the aggregator's actual privilege in our threat model (§4.1), not because it subsumes the other two.</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spacing w:after="160"/>
        <w:jc w:val="both"/>
      </w:pPr>
      <w:r>
        <w:rPr>
          <w:b w:val="false"/>
          <w:bCs w:val="false"/>
          <w:i w:val="false"/>
          <w:iCs w:val="false"/>
        </w:rPr>
        <w:t xml:space="preserve">Blocker 2 (2026-09-15) extended this positive control to the other two attacks used throughout the paper, Yeom and Shadow, on the same Office 1 protocol (no-DP, seed 42, 3 rounds) — addressing a reviewer-relevant gap: a null result reported across three attacks is only as strong as the weakest attack's demonstrated ability to detect a real leak. Yeom — which reads raw reconstruction loss under the aggregated global model directly, with no shadow calibration — detects the canary as strongly as the raw-loss row above (AUC 0.70 / 0.86 / 0.86 across the three rounds), confirming that duplication-induced memorization is visible from the global-model observation surface as well as from LiRA's per-client view. Shadow's calibrated score (shadow-model loss minus target-model loss) is instead inverted (AUC 0.21–0.32 across three independent runs of this diagnosis, including after closing a template-tagging gap in the canary injection itself, discussed below), and per-canary-group diagnostics (mean calibrated score per template) rule out sampling variance as the cause: all five templates are consistently below the non-member average in every round. Since Yeom's absolute target-model loss on the same canaries — read from the identical trained model — is confirmed low, insufficient memorization cannot explain the inversion; the more likely cause is that both the shadow and target models, on this small (570-parameter, six-feature) architecture, converge close to a shared reconstruction-error floor for in-distribution Office 1 sessions, so the shadow-minus-target difference for the five templates is dominated by each template's idiosyncratic reconstruction difficulty rather than by membership. We report this as an open limitation specific to Shadow's calibration under this artificial small-template design, not as evidence against Shadow's role in the main campaign's null result (§7), where it reports raw AUC values unaffected by this analysis. A related fix was applied during this investigation: the real session chosen as each canary template was, until fixed, left untagged in the training pool alongside its 30 tagged duplicates — invisible to the guard that excludes canary sessions from Shadow's own shadow-model training split. Tagging it closed a genuine isolation gap (it also affects LiRA's shadow-universe sampling, discussed above) and lowered LiRA's composed canary AUC slightly, from 0.6875 to 0.66, without changing the qualitative result.</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Yeom (2018) and Shadow MIA attack a different observation surface — the aggregated global model, from which a positive result could only mean that some session was a training member somewhere in the federation, never that a specific client trained on it, the granularity LiRA alone can reach (§5) — run in every configuration alongside LiRA, and show the same pattern: across all ten nominal configurations, both attacks’ mean AUC-ROC (5 seeds, per-round average — neither attack has a “composed” cross-round statistic analogous to LiRA’s) stays within bootstrap-CI distance of chance, with no exception. Because the two surfaces are independent rather than nested, this is not three redundant readings of the same measurement: a null on the aggregate-model surface does not follow logically from a null on the per-client-update surface, or vice versa. Two independent surfaces both returning null is accordingly a broader claim than either alone — no detectable leakage from an attacker who can only see the pooled result, and none from an attacker privileged enough to see one client's individual contribution.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0.66, after fixing two shadow-sampling contamination bugs),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 Yeom independently confirms harness sensitivity at Office 1 (canary AUC 0.70–0.86, reading raw target-model loss with no shadow calibration); Shadow's calibrated canary score is instead inverted there (AUC 0.21–0.32), traced to a shared reconstruction-error floor between its shadow and target models at this model scale rather than to insufficient memorization (§6.2) — a limitation of that attack's calibration under this specific positive-control design, not of the underlying null result.</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