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tre attacchi che coprono due superfici di osservazione indipendenti — il modello globale aggregato (Yeom, Shadow) e l'aggiornamento per-round individuale di ogni client (LiRA) —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tre attacchi su due superfici di osservazione indipendenti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granulare dei nostri tre attacchi — l'unico che osserva l'aggiornamento per-round di un client specifico invece del modello globale aggregato —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tre attacchi su due superfici di osservazione indipendenti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tre attacchi su due superfici di osservazione indipendenti, incluso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Letta così, le tre collocazioni non sono tre meccanismi di privacy indipendenti ma tre punti di privilegio dell'avversario lungo la stessa pipeline di trasformazione dell'aggiornamento di un client: dp-fedavg lo osserva grezzo, prima di qualunque clipping o rumore; central lo osserva dopo il clipping lato client ma prima di qualunque rumore; local osserva solo il valore finale clippato e rumorizzato — mai quello grezzo o intermedio, nemmeno transitoriamente. Letto in questo modo, dp-fedavg non è un meccanismo di privacy tra tre che per caso non offre protezione: è il limite superiore di ciò che è estraibile da questo canale, sotto la vista più privilegiata che la nostra architettura concede mai a un aggregatore. Se quel limite superiore stesso non mostra alcun segnale di appartenenza rilevabile (§7), lo stesso risultato nullo sotto le due collocazioni protettive, central e local, non può essere attribuito al rumore DP che sopprime un segnale altrimenti presente — la vista grezza e non protetta non ne avrebbe già contenuto alcuno da sopprimere. Questo è anche il punto in cui il substrato ML Plane (§3.1) sostiene davvero l'esperimento, non è solo infrastruttura: il suo flusso di eventi — aggiornamento locale prodotto, aggiornamento privatizzato, round aggregato — è esattamente ciò che rende questi tre livelli di privilegio dell'aggregatore separatamente osservabili e separatamente attaccabili.</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gestito da un consumatore separato dello stesso substrato ML Plane e validato indipendentemente (Scenario 2, §4.2), oppure è davvero fuori ambito (Scenari 3–4); in entrambi i casi riportato come tale, mai assunto silenziosamente.</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Scenario 2 (un consumatore diverso, non fuori ambito) e Scenari 3–4 (fuori ambito)</w:t>
      </w:r>
    </w:p>
    <w:p>
      <w:pPr>
        <w:spacing w:after="160"/>
        <w:jc w:val="both"/>
      </w:pPr>
      <w:r>
        <w:rPr>
          <w:b w:val="false"/>
          <w:bCs w:val="false"/>
          <w:i w:val="false"/>
          <w:iCs w:val="false"/>
        </w:rPr>
        <w:t xml:space="preserve">Lo Scenario 2 (un client FL malevolo) non è semplicemente fuori ambito: come argomenta il §3.3, il substrato ML Plane ha due consumatori con modelli di minaccia ortogonali sullo stesso livello di osservabilità — il Privacy Auditor (confidenzialità, Scenario 1, oggetto dei risultati di questo paper) e ByzantineDetector (integrità, Scenario 2). Lo Scenario 2 appartiene a quell’altro consumatore, è validato separatamente dalle affermazioni sulla privacy di questo paper, e non è confuso con lo Scenario 1 nei nostri risultati. Alla data di questa submission, i meccanismi Krum/cosine-similarity/CUSUM di ByzantineDetector sono implementati e testati a livello unitario ma non sono ancora stati esercitati end-to-end contro un client Byzantine attivo su dati di training FL reali — un limite che dichiariamo esplicitamente invece di lasciar intendere una copertura che non abbiamo misurato. Lo Scenario 3 (gateway di rete compromesso) e lo Scenario 4 (intercettatore passivo esterno, sconfitto dalla sicurezza a livello di trasporto) restano davvero fuori ambito: nessuno dei due è un consumatore dell’ML Plane, ed entrambi sono questioni di sicurezza di rete convenzionali, ortogonali sia allo Scenario 1 che allo Scenario 2.</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Attacchi su due superfici di osservazione: Yeom [1a] (basato sulla loss) e un attacco Shadow-Model calibrato [1] osservano entrambi solo il modello globale aggregato — da questo punto di vista, una rilevazione positiva può concludere solo che qualche sessione, da qualche parte nella federazione, era un membro del training, mai quale client l'ha addestrata. LiRA [2] (likelihood-ratio) osserva invece l'aggiornamento per-round di un client specifico così come effettivamente sottomesso per l'aggregazione — un punto di vista strettamente più privilegiato, perché richiede che l'aggregatore ispezioni il contributo di un client nominato invece del risultato aggregato, e una rilevazione positiva attribuirebbe l'appartenenza a quello specifico operatore. Non sono tre punti su un'unica scala di forza dell'attacco: sono due superfici di osservazione indipendenti che verificano due affermazioni diverse, e LiRA è l'attacco primario sotto cui questo paper riporta i risultati perché è quello che corrisponde al privilegio reale dell'aggregatore nel nostro modello di minaccia (§4.1), non perché include gli altri due.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spacing w:after="160"/>
        <w:jc w:val="both"/>
      </w:pPr>
      <w:r>
        <w:rPr>
          <w:b w:val="false"/>
          <w:bCs w:val="false"/>
          <w:i w:val="false"/>
          <w:iCs w:val="false"/>
        </w:rPr>
        <w:t xml:space="preserve">Il Blocker 2 (2026-09-15) ha esteso questo controllo positivo agli altri due attacchi usati in tutto il paper, Yeom e Shadow, sullo stesso protocollo Office 1 (no-DP, seed 42, 3 round) — colmando un divario rilevante per un revisore: un risultato nullo riportato per tre attacchi vale quanto la capacità dimostrata dell'attacco più debole di rilevare un vero leak. Yeom — che legge la loss di ricostruzione grezza sotto il modello globale aggregato direttamente, senza calibrazione shadow — rileva il canary con la stessa forza della riga raw-loss sopra (AUC 0.70 / 0.86 / 0.86 nei tre round), confermando che la memorizzazione indotta dalla duplicazione è visibile anche dalla superficie di osservazione del modello globale, non solo dalla vista per-client di LiRA. Il punteggio calibrato di Shadow (loss dello shadow model meno loss del target model) è invece invertito (AUC 0.21–0.32 in tre run indipendenti di questa diagnosi, anche dopo aver chiuso un gap di tagging del template nell'iniezione canary stessa, discusso sotto), e la diagnostica per-gruppo-canary (punteggio calibrato medio per template) esclude la varianza di campionamento come causa: tutti e cinque i template sono sistematicamente sotto la media non-membro in ogni round. Poiché la loss assoluta del target model di Yeom sugli stessi canary — letta dallo stesso identico modello addestrato — è confermata bassa, una memorizzazione insufficiente non può spiegare l'inversione; la causa più probabile è che sia lo shadow sia il target model, su questa architettura piccola (570 parametri, sei feature), convergano vicino a un pavimento condiviso di errore di ricostruzione per sessioni in-distribuzione di Office 1, cosicché la differenza shadow-meno-target per i cinque template sia dominata dalla difficoltà di ricostruzione idiosincratica di ciascun template piuttosto che dalla membership. Riportiamo questo come una limitazione aperta specifica della calibrazione di Shadow sotto questo disegno artificiale a pochi template, non come evidenza contro il ruolo di Shadow nel risultato nullo della campagna principale (§7), dove riporta valori di AUC grezzi non toccati da questa analisi. Durante questa indagine è stato applicato un fix correlato: la sessione reale scelta come ciascun template canary restava, prima del fix, non taggata nel pool di training accanto ai suoi 30 duplicati taggati — invisibile alla guardia che esclude le sessioni canary dallo split di training del proprio shadow model di Shadow. Taggarla ha chiuso un gap di isolamento genuino (riguarda anche il campionamento dell'universo shadow di LiRA, discusso sopra) e ha abbassato leggermente l'AUC canary composto di LiRA, da 0.6875 a 0.66, senza cambiare il risultato qualitativo.</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Yeom (2018) e Shadow MIA attaccano una superficie di osservazione diversa — il modello globale aggregato, da cui un risultato positivo potrebbe significare solo che qualche sessione era un membro del training da qualche parte nella federazione, mai che un client specifico l'ha addestrata, la granularità che solo LiRA raggiunge (§5) — eseguiti in ogni configurazione insieme a LiRA, e mostrano lo stesso pattern: su tutte e dieci le configurazioni nominali, l’AUC-ROC medio di entrambi gli attacchi (5 seed, media per-round — nessuno dei due ha una statistica “composta” multi-round analoga a quella di LiRA) resta a distanza da caso entro l’IC bootstrap, senza eccezioni. Poiché le due superfici sono indipendenti e non annidate, queste non sono tre letture ridondanti della stessa misura: un nullo sulla superficie del modello aggregato non segue logicamente da un nullo sulla superficie dell'aggiornamento per-client, né viceversa. Due superfici indipendenti entrambe nulle sono di conseguenza un'affermazione più ampia di una sola: nessun leakage rilevabile da un attaccante che vede solo il risultato aggregato, e nessuno da un attaccante privilegiato abbastanza da vedere il contributo individuale di un client.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0.66, dopo la correzione di due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 Yeom conferma indipendentemente la sensibilità dello strumento a Office 1 (AUC canary 0.70–0.86, leggendo la loss assoluta del target model senza calibrazione shadow); il punteggio canary calibrato di Shadow è invece invertito lì (AUC 0.21–0.32), ricondotto a un pavimento condiviso di errore di ricostruzione tra il suo shadow model e il target model a questa scala di modello piuttosto che a una memorizzazione insufficiente (§6.2) — una limitazione della calibrazione di quell'attacco sotto questo specifico disegno di controllo positivo, non del risultato nullo sottostante.</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