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three attacks spanning two independent observation surfaces — the aggregated global model (Yeom, Shadow) and each client’s individual per-round update (LiRA),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Empirical auditing of differential privacy (§3.3) via three adversary-instantiated attacks of increasing strength and a single-run, federated-specific canary positive control, explicitly related to and scoped against the adversary-instantiation [16,17], one-run auditing [18], and federated-canary [19] literature.</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three-attack suite spanning two independent observation surfaces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most granular of our three attacks — the only one that observes a specific client’s per-round update rather than the aggregated global model —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three attacks spanning two independent observation surfaces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A distinct, more recent line of work treats empirical DP auditing itself as the object of study rather than a one-off measurement. Jagielski et al. [16] audit DP-SGD via data-poisoning canaries inserted before training, deriving empirical lower bounds on ε from how reliably an adversary distinguishes a poisoned model from a clean one; Nasr et al. [17] generalize this into “adversary instantiation” — replacing the abstract worst-case DP game with a concretely instantiated membership-inference adversary run against a real trained model, exactly the role our Yeom/Shadow/LiRA suite plays in this paper (§3.3); and Steinke et al. [18] show that auditing can be done from a single training run rather than the hundreds of independent IN/OUT runs classical audits require, by inserting many independent canaries together and exploiting their independence directly rather than via group privacy. In the federated setting specifically, Maddock et al.’s CANIFE [19] crafts per-round, gradient-orthogonal canaries under a strong adversary with access to intermediate client updates, converting a per-round separation measure into an RDP-composed (ε,δ) bound. Our own canary positive control (§3.3, §6.2) sits in the same family — single training run, multiple inserted canary groups, federated client boundaries — but is deliberately weaker and narrower in scope than any of [16]–[19]: it uses naturally-occurring duplicated records rather than optimized adversarial inputs, and it reports a detection-sensitivity check (can the harness detect an amplified real leak at all) rather than a formal empirical ε lower bound. We declare this gap explicitly in §3.3 and §9 rather than overstate what our canaries establish.</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three-attack suite spanning two independent observation surfaces,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Empirical Auditing of Differential Privacy</w:t>
      </w:r>
    </w:p>
    <w:p>
      <w:pPr>
        <w:spacing w:after="160"/>
        <w:jc w:val="both"/>
      </w:pPr>
      <w:r>
        <w:rPr>
          <w:b w:val="false"/>
          <w:bCs w:val="false"/>
          <w:i w:val="false"/>
          <w:iCs w:val="false"/>
        </w:rPr>
        <w:t xml:space="preserve">Differential privacy’s (ε,δ) guarantee bounds worst-case leakage over every possible adversary and neighboring dataset; it does not by itself say what a concrete, realistic adversary actually extracts from one specific trained model. A distinct methodology — empirically instantiating one or more concrete membership-inference adversaries against a real model and measuring what they achieve, rather than reasoning about the DP game in the abstract — is what Jagielski et al. [16] and Nasr et al. [17] call adversary instantiation. This is precisely the role Yeom, Shadow, and LiRA (§3.6) play in this paper: three adversary instantiations of increasing strength — a raw-loss threshold, a single calibrated shadow model, and an ensemble likelihood-ratio test — run offline against real per-round training data (§5–§7), entirely separate from the Privacy Auditor’s (§3.2) online budget accounting. We keep this distinction terminologically explicit because the DP-auditing literature’s own use of “auditor” [16–18] refers to this adversary/measurement role, not to our Privacy Auditor component: the Privacy Auditor computes what the DP mechanism promises; Yeom/Shadow/LiRA measure what an instantiated adversary actually extracts. We use “empirical auditing of differential privacy” for this section’s methodology throughout, reserving “the Privacy Auditor” exclusively for the defensive telemetry subsystem of §3.2.</w:t>
      </w:r>
    </w:p>
    <w:p>
      <w:pPr>
        <w:spacing w:after="160"/>
        <w:jc w:val="both"/>
      </w:pPr>
      <w:r>
        <w:rPr>
          <w:b w:val="false"/>
          <w:bCs w:val="false"/>
          <w:i w:val="false"/>
          <w:iCs w:val="false"/>
        </w:rPr>
        <w:t xml:space="preserve">Classical empirical DP audits, like classical MIA evaluations, typically require training many independent models under paired IN/OUT hypotheses to obtain a distribution of a test statistic — a cost that is prohibitive for cross-silo FL on real, multi-hour training runs (§5) at the scale this project can repeat within its deadline. Steinke et al. [18] address exactly this cost, showing that a single training run, seeded with many independent canaries whose inclusion/exclusion is guessed individually, yields a valid empirical lower bound on ε via a direct independence argument rather than group privacy — hundreds of models are no longer required. Our canary positive control (§6.2) is single-run in the same practical sense: one training run per configuration, five canary groups inserted together rather than sequentially. We stop short, however, of Steinke et al.’s actual contribution: we do not derive a numerical (ε,δ) lower bound from the canary scores. We use them only as a binary sensitivity check — whether the attack harness detects an artificially amplified, known real leak at all (canary AUC-ROC/advantage vs. the non-canary population) — which is the question §6.2 and §9 already report answers to. Extending this single-run canary design into a formal empirical ε lower bound in the style of [18] is future work, not a claim this paper makes.</w:t>
      </w:r>
    </w:p>
    <w:p>
      <w:pPr>
        <w:spacing w:after="160"/>
        <w:jc w:val="both"/>
      </w:pPr>
      <w:r>
        <w:rPr>
          <w:b w:val="false"/>
          <w:bCs w:val="false"/>
          <w:i w:val="false"/>
          <w:iCs w:val="false"/>
        </w:rPr>
        <w:t xml:space="preserve">A canary injected into one federated client’s local training set must additionally survive that client’s local optimizer, the FedAvg aggregation step, and — for LiRA specifically — shadow-model calibration, without leaking across the cluster boundary that defines which client it belongs to. inject_canaries() (§6.2) resolves this via each session’s real site_id rather than list position, and a dedicated atomic-group sampling guard keeps every duplicate of a canary group together whenever shadow-training subsets are resampled, so a canary group is never silently split between a shadow model’s IN and OUT partitions. Maddock et al.’s CANIFE [19] is the closest prior FL-specific canary construction: it crafts adversarial, gradient-orthogonal canary inputs adaptively every round, under a strong adversary that observes intermediate client updates, and composes a per-round separation measure into an RDP-based (ε,δ) bound across the whole run. Our canaries are constructed far more simply and are declared as such: real, unmodified charging sessions from the target site, duplicated at a controlled multiplicity computed to match a reference site’s per-record amplification (§6.2), injected once before training rather than adaptively per round, and scored only as a positive-control detection rate rather than an RDP-composable measure. This answers a narrower question than CANIFE’s or [18]’s — can this attack harness detect a real, deliberately amplified leak in this federated setting at all — which is what this paper needs to interpret its near-null results elsewhere (§7, §9) as an absent risk rather than an insensitive measurement tool, not what the tightest empirical ε this deployment leaks would be, which we leave to future work.</w:t>
      </w:r>
    </w:p>
    <w:p>
      <w:pPr>
        <w:pStyle w:val="Heading2"/>
        <w:spacing w:after="120" w:before="220"/>
      </w:pPr>
      <w:r>
        <w:t xml:space="preserve">3.4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3.5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Read this way, the three placements are not three independent privacy mechanisms but three points of adversary privilege along the same per-client update's transformation pipeline: dp-fedavg observes it raw, before any clipping or noising; central observes it after client-side clipping but before any noise; local observes only the final clipped-and-noised value — never the raw or intermediate one, not even transiently. Under this reading, dp-fedavg is not one privacy mechanism among three that happens to provide no protection: it is the ceiling of what is extractable from this channel at all, under the most privileged view our architecture ever grants an aggregator. Should that ceiling itself show no detectable membership signal (§7), the same null result under the two protective placements, central and local, cannot be attributed to DP noise suppressing a signal that was otherwise present — the unprotected, raw view would already have contained none to suppress. This is also the point at which the ML Plane substrate (§3.1) is load-bearing for the experiment, not merely infrastructure: its event stream — local update produced, update privatized, round aggregated — is exactly what makes these three levels of aggregator privilege separately observable and separately attackable in the first place.</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§3.5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3.6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either handled by a separate consumer of the same ML Plane substrate and validated independently (Scenario 2, §4.2) or genuinely out of scope (Scenarios 3–4), reported as such and never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 2 (a different consumer, not out of scope) and Scenarios 3–4 (out of scope)</w:t>
      </w:r>
    </w:p>
    <w:p>
      <w:pPr>
        <w:spacing w:after="160"/>
        <w:jc w:val="both"/>
      </w:pPr>
      <w:r>
        <w:rPr>
          <w:b w:val="false"/>
          <w:bCs w:val="false"/>
          <w:i w:val="false"/>
          <w:iCs w:val="false"/>
        </w:rPr>
        <w:t xml:space="preserve">Scenario 2 (a malicious FL client) is not simply out of scope: as §3.4 argues, the ML Plane substrate has two consumers with orthogonal threat models over the same observability layer — the Privacy Auditor (confidentiality, Scenario 1, the subject of this paper’s results) and ByzantineDetector (integrity, Scenario 2). Scenario 2 belongs to that other consumer, is validated separately from the privacy claims in this paper, and is not conflated with Scenario 1 in our results. As of this submission, ByzantineDetector’s Krum/cosine-similarity/CUSUM mechanisms are implemented and unit-tested but have not yet been exercised end-to-end against an active Byzantine client on real FL training data — a gap we disclose explicitly rather than imply coverage we have not measured. Scenario 3 (compromised network gateway) and Scenario 4 (external passive eavesdropper, defeated by transport-layer security) remain genuinely out of scope: neither is an ML Plane consumer, and both are conventional network-security concerns orthogonal to Scenarios 1 and 2 alike.</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suite across two observation surfaces: Yeom [1a] (loss-based) and a calibrated Shadow-Model attack [1] both observe only the aggregated global model — from this vantage point, a positive detection can conclude only that some session, somewhere in the federation, was a training member, never which client trained on it. LiRA [2] (likelihood-ratio) instead observes a specific client's individual per-round update as actually submitted for aggregation — a strictly more privileged vantage point, since it requires the aggregator to inspect a named client's contribution rather than the pooled result, and a positive detection would attribute membership to that specific operator. These are not three points on one scale of attack strength: they are two independent observation surfaces testing two different claims, and LiRA is the primary attack this paper reports results under because it is the one that matches the aggregator's actual privilege in our threat model (§4.1), not because it subsumes the other two.</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(§3.6,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spacing w:after="160"/>
        <w:jc w:val="both"/>
      </w:pPr>
      <w:r>
        <w:rPr>
          <w:b w:val="false"/>
          <w:bCs w:val="false"/>
          <w:i w:val="false"/>
          <w:iCs w:val="false"/>
        </w:rPr>
        <w:t xml:space="preserve">Blocker 2 (2026-09-15) extended this positive control to the other two attacks used throughout the paper, Yeom and Shadow, on the same Office 1 protocol (no-DP, seed 42, 3 rounds) — addressing a reviewer-relevant gap: a null result reported across three attacks is only as strong as the weakest attack's demonstrated ability to detect a real leak. Yeom — which reads raw reconstruction loss under the aggregated global model directly, with no shadow calibration — detects the canary as strongly as the raw-loss row above (AUC 0.70 / 0.86 / 0.86 across the three rounds), confirming that duplication-induced memorization is visible from the global-model observation surface as well as from LiRA's per-client view. Shadow's calibrated score (shadow-model loss minus target-model loss) is instead inverted (AUC 0.21–0.32 across three independent runs of this diagnosis, including after closing a template-tagging gap in the canary injection itself, discussed below), and per-canary-group diagnostics (mean calibrated score per template) rule out sampling variance as the cause: all five templates are consistently below the non-member average in every round. Since Yeom's absolute target-model loss on the same canaries — read from the identical trained model — is confirmed low, insufficient memorization cannot explain the inversion; the more likely cause is that both the shadow and target models, on this small (570-parameter, six-feature) architecture, converge close to a shared reconstruction-error floor for in-distribution Office 1 sessions, so the shadow-minus-target difference for the five templates is dominated by each template's idiosyncratic reconstruction difficulty rather than by membership. We report this as an open limitation specific to Shadow's calibration under this artificial small-template design, not as evidence against Shadow's role in the main campaign's null result (§7), where it reports raw AUC values unaffected by this analysis. A related fix was applied during this investigation: the real session chosen as each canary template was, until fixed, left untagged in the training pool alongside its 30 tagged duplicates — invisible to the guard that excludes canary sessions from Shadow's own shadow-model training split. Tagging it closed a genuine isolation gap (it also affects LiRA's shadow-universe sampling, discussed above) and lowered LiRA's composed canary AUC slightly, from 0.6875 to 0.66, without changing the qualitative result.</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Table 2 above reports LiRA only. Yeom (2018) and Shadow MIA attack a different observation surface — the aggregated global model, from which a positive result could only mean that some session was a training member somewhere in the federation, never that a specific client trained on it, the granularity LiRA alone can reach (§5) — run in every configuration alongside LiRA, and show the same pattern: across all ten nominal configurations, both attacks’ mean AUC-ROC (5 seeds, per-round average — neither attack has a “composed” cross-round statistic analogous to LiRA’s) stays within bootstrap-CI distance of chance, with no exception. Because the two surfaces are independent rather than nested, this is not three redundant readings of the same measurement: a null on the aggregate-model surface does not follow logically from a null on the per-client-update surface, or vice versa. Two independent surfaces both returning null is accordingly a broader claim than either alone — no detectable leakage from an attacker who can only see the pooled result, and none from an attacker privileged enough to see one client's individual contribution.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w:t>
            </w:r>
          </w:p>
        </w:tc>
        <w:tc>
          <w:tcPr>
            <w:tcW w:type="dxa" w:w="2400"/>
            <w:shd w:fill="F2F2F2" w:val="clear"/>
          </w:tcPr>
          <w:p>
            <w:r>
              <w:rPr>
                <w:sz w:val="18"/>
                <w:szCs w:val="18"/>
              </w:rPr>
              <w:t xml:space="preserve">Yeom mean AUC (95% CI)</w:t>
            </w:r>
          </w:p>
        </w:tc>
        <w:tc>
          <w:tcPr>
            <w:tcW w:type="dxa" w:w="2400"/>
            <w:shd w:fill="F2F2F2" w:val="clear"/>
          </w:tcPr>
          <w:p>
            <w:r>
              <w:rPr>
                <w:sz w:val="18"/>
                <w:szCs w:val="18"/>
              </w:rPr>
              <w:t xml:space="preserve">Shadow mean AUC (95% CI)</w:t>
            </w:r>
          </w:p>
        </w:tc>
        <w:tc>
          <w:tcPr>
            <w:tcW w:type="dxa" w:w="2150"/>
            <w:shd w:fill="F2F2F2" w:val="clear"/>
          </w:tcPr>
          <w:p>
            <w:r>
              <w:rPr>
                <w:sz w:val="18"/>
                <w:szCs w:val="18"/>
              </w:rPr>
              <w:t xml:space="preserve">Both CIs contain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[0.4978, 0.5007]</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[0.4987,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Yes</w:t>
            </w:r>
          </w:p>
        </w:tc>
      </w:tr>
    </w:tbl>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(§3.5),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§3.6/§6: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(§3.5):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clearly only at Office 1 (AUC 0.70–0.90) and does not replicate at Caltech (AUC 0.35–0.44 at matched aggressiveness, 0.37–0.42 at matched aggregate density) or JPL (AUC 0.46–0.49); the calibrated LiRA score likewise detects it reliably only at Office 1 (composed AUC 0.66, after fixing two shadow-sampling contamination bugs),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 Yeom independently confirms harness sensitivity at Office 1 (canary AUC 0.70–0.86, reading raw target-model loss with no shadow calibration); Shadow's calibrated canary score is instead inverted there (AUC 0.21–0.32), traced to a shared reconstruction-error floor between its shadow and target models at this model scale rather than to insufficient memorization (§6.2) — a limitation of that attack's calibration under this specific positive-control design, not of the underlying null result.</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§3.5)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160"/>
        <w:jc w:val="left"/>
      </w:pPr>
      <w:r>
        <w:rPr>
          <w:b w:val="false"/>
          <w:bCs w:val="false"/>
          <w:i w:val="false"/>
          <w:iCs w:val="false"/>
        </w:rPr>
        <w:t xml:space="preserve">[16] M. Jagielski, J. Ullman, and A. Oprea, "Auditing Differentially Private Machine Learning: How Private is Private SGD?," NeurIPS, 2020.</w:t>
      </w:r>
    </w:p>
    <w:p>
      <w:pPr>
        <w:spacing w:after="160"/>
        <w:jc w:val="left"/>
      </w:pPr>
      <w:r>
        <w:rPr>
          <w:b w:val="false"/>
          <w:bCs w:val="false"/>
          <w:i w:val="false"/>
          <w:iCs w:val="false"/>
        </w:rPr>
        <w:t xml:space="preserve">[17] M. Nasr, S. Song, A. Thakurta, N. Papernot, and N. Carlini, "Adversary Instantiation: Lower Bounds for Differentially Private Machine Learning," IEEE S&amp;P, 2021.</w:t>
      </w:r>
    </w:p>
    <w:p>
      <w:pPr>
        <w:spacing w:after="160"/>
        <w:jc w:val="left"/>
      </w:pPr>
      <w:r>
        <w:rPr>
          <w:b w:val="false"/>
          <w:bCs w:val="false"/>
          <w:i w:val="false"/>
          <w:iCs w:val="false"/>
        </w:rPr>
        <w:t xml:space="preserve">[18] T. Steinke, M. Nasr, and M. Jagielski, "Privacy Auditing with One (1) Training Run," NeurIPS, 2023.</w:t>
      </w:r>
    </w:p>
    <w:p>
      <w:pPr>
        <w:spacing w:after="160"/>
        <w:jc w:val="left"/>
      </w:pPr>
      <w:r>
        <w:rPr>
          <w:b w:val="false"/>
          <w:bCs w:val="false"/>
          <w:i w:val="false"/>
          <w:iCs w:val="false"/>
        </w:rPr>
        <w:t xml:space="preserve">[19] S. Maddock, A. Sablayrolles, and P. Stock, "CANIFE: Crafting Canaries for Empirical Privacy Measurement in Federated Learning," ICLR, 2023.</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