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tre attacchi che coprono due superfici di osservazione indipendenti — il modello globale aggregato (Yeom, Shadow) e l'aggiornamento per-round individuale di ogni client (LiRA) — sia in simulazione sia in un deployment reale multi-container NVFLARE/Containerlab. In ogni configurazione DP testata, inclusa l'assenza di DP, non troviamo alcun segnale di membership rilevabile da LiRA (AUC-ROC composto 0.4975–0.5024 su 10 configurazioni, 5 seed ciascuna; 9 su 10 intervalli di confidenza bootstrap al 95% contengono 0.5, il decimo — central, ε=0.1 — lo esclude per un margine ristretto senza raggiungere la significatività di Wilcoxon;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Auditing empirico della differential privacy (§3.3) tramite tre attacchi ad avversario instanziato di forza crescente e un controllo positivo a canary single-run, specifico per il federato, esplicitamente collegato e delimitato rispetto alla letteratura su adversary instantiation [17,18], auditing single-run [19], e canary federati [20].</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tre attacchi su due superfici di osservazione indipendenti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granulare dei nostri tre attacchi — l'unico che osserva l'aggiornamento per-round di un client specifico invece del modello globale aggregato —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concretamente, la Differential Privacy di Rényi (RDP) eguaglia l'utilità della composizione naive con un budget 50× più stretto (53% di perdita di accuratezza a ε=10 contro ε=500 per la stessa perdita sotto composizione naive) su un benchmark di classificazione a rete neurale, eppure un attaccante white-box di membership inference raggiunge comunque un vantaggio di 0.399 contro il modello allenato con RDP a ε=1000 — ma solo per training DP-SGD centralizzato su benchmark standard. Il costo della composizione naive che questo divario descrive può essere estremo in pratica: Rahman et al. [16] osservano che il meccanismo SGD distribuito di Shokri e Shmatikov, che perturba i gradienti per-parametro, fornisce solo ε&gt;2 per parametro e — composto naivamente su circa 300.000 parametri — un ε totale che supera 600.000, il che secondo gli autori non fornisce alcuna garanzia di privacy significativa. Lo stesso paper riporta un risultato complementare specifico per il DP-SGD di Abadi et al. (calibrato tramite il Moments Accountant): i modelli configurati per una privacy teorica forte (ε piccolo) perdono l'utilità di cui un deployment reale ha bisogno, mentre i modelli configurati per un'utilità accettabile sono vulnerabili alla membership inference a un livello che, nelle loro misurazioni, può avvicinarsi a quello di un modello totalmente non privato — il trade-off accuratezza/privacy non è solo teorico, si manifesta come leakage misurabile ai livelli di utilità che un deployment sceglierebbe davvero. Noi eseguiamo la stessa classe di misurazione in un contesto federato cross-silo: tre collocazioni DP concrete ("dp-fedavg", "central", "local") valutate contro tre attacchi su due superfici di osservazione indipendenti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Un filone di lavoro più recente e distinto tratta l'auditing empirico della DP come oggetto di studio a sé, non come una misurazione una tantum. Jagielski et al. [17] fanno auditing di DP-SGD tramite canary di data-poisoning inseriti prima del training, derivando limiti inferiori empirici su ε da quanto affidabilmente un avversario distingue un modello avvelenato da uno pulito; Nasr et al. [18] generalizzano questo approccio in “adversary instantiation” — sostituendo il gioco DP astratto nel caso peggiore con un avversario di membership-inference concretamente instanziato ed eseguito contro un modello realmente addestrato, esattamente il ruolo che la nostra suite Yeom/Shadow/LiRA svolge in questo paper (§3.3); e Steinke et al. [19] mostrano che l'auditing può essere condotto da una singola run di training invece delle centinaia di run indipendenti IN/OUT richieste dagli audit classici, inserendo insieme molti canary indipendenti e sfruttandone direttamente l'indipendenza anziché la group privacy. Nel contesto federato specificamente, il CANIFE di Maddock et al. [20] costruisce canary per-round, gradiente-ortogonali, sotto un avversario forte con accesso agli aggiornamenti intermedi dei client, convertendo una misura di separazione per-round in un limite (ε,δ) composto via RDP. Il nostro controllo positivo a canary (§3.3, §6.2) appartiene alla stessa famiglia — singola run di training, più gruppi canary inseriti, confini di client federati — ma è deliberatamente più debole e più circoscritto di ciascuno di [17]–[20]: usa record duplicati naturalmente occorrenti anziché input avversariali ottimizzati, e riporta un controllo di sensibilità al rilevamento (se lo strumento rileva o no un leakage reale amplificato) anziché un limite inferiore empirico formale su ε. Dichiariamo esplicitamente questo divario in §3.3 e §9 invece di sovrastimare cosa i nostri canary stabiliscano.</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tre attacchi su due superfici di osservazione indipendenti, incluso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Auditing Empirico della Differential Privacy</w:t>
      </w:r>
    </w:p>
    <w:p>
      <w:pPr>
        <w:spacing w:after="160"/>
        <w:jc w:val="both"/>
      </w:pPr>
      <w:r>
        <w:rPr>
          <w:b w:val="false"/>
          <w:bCs w:val="false"/>
          <w:i w:val="false"/>
          <w:iCs w:val="false"/>
        </w:rPr>
        <w:t xml:space="preserve">La garanzia (ε,δ) della differential privacy limita il leakage nel caso peggiore su ogni possibile avversario e dataset vicino; non dice di per sé cosa un avversario concreto e realistico estragga effettivamente da un modello specifico già addestrato. Una metodologia distinta — instanziare empiricamente uno o più avversari concreti di membership-inference contro un modello reale e misurare cosa ottengono, anziché ragionare sul gioco DP in astratto — è ciò che Jagielski et al. [17] e Nasr et al. [18] chiamano adversary instantiation. È esattamente il ruolo che Yeom, Shadow e LiRA (§3.6) svolgono in questo paper: tre instanziazioni di avversario di forza crescente — una soglia sulla loss grezza, un singolo modello shadow calibrato, e un test a rapporto di verosimiglianza d'insieme — eseguiti offline contro dati di training reali per-round (§5–§7), interamente separati dall'accounting online del budget del Privacy Auditor (§3.2). Manteniamo questa distinzione esplicita a livello terminologico perché l'uso di “auditor” nella letteratura di DP-auditing [17–19] si riferisce a questo ruolo avversario/di misurazione, non al nostro componente Privacy Auditor: il Privacy Auditor calcola cosa il meccanismo DP promette; Yeom/Shadow/LiRA misurano cosa un avversario instanziato estrae davvero. Usiamo “auditing empirico della differential privacy” per la metodologia di questa sezione, riservando “il Privacy Auditor” esclusivamente al sottosistema di telemetria difensiva del §3.2.</w:t>
      </w:r>
    </w:p>
    <w:p>
      <w:pPr>
        <w:spacing w:after="160"/>
        <w:jc w:val="both"/>
      </w:pPr>
      <w:r>
        <w:rPr>
          <w:b w:val="false"/>
          <w:bCs w:val="false"/>
          <w:i w:val="false"/>
          <w:iCs w:val="false"/>
        </w:rPr>
        <w:t xml:space="preserve">Gli audit empirici classici di DP, come le valutazioni MIA classiche, richiedono tipicamente di addestrare molti modelli indipendenti sotto ipotesi IN/OUT appaiate per ottenere la distribuzione di una statistica — un costo proibitivo per un FL cross-silo su run di training reali di più ore (§5) alla scala che questo progetto può ripetere entro la propria scadenza. Steinke et al. [19] affrontano esattamente questo costo, mostrando che una singola run di training, seminata con molti canary indipendenti la cui inclusione/esclusione viene indovinata singolarmente, produce un limite inferiore empirico valido su ε tramite un argomento diretto di indipendenza anziché la group privacy — non servono più centinaia di modelli. Il nostro controllo positivo a canary (§6.2) è single-run nello stesso senso pratico: una run di training per configurazione, cinque gruppi canary inseriti insieme anziché in sequenza. Ci fermiamo tuttavia prima del contributo effettivo di Steinke et al.: non deriviamo un limite inferiore numerico (ε,δ) dai punteggi canary. Li usiamo solo come controllo binario di sensibilità — se lo strumento di attacco rileva o no un leakage reale amplificato artificialmente e noto (AUC-ROC/advantage dei canary rispetto alla popolazione non-canary) — che è la domanda a cui §6.2 e §9 già rispondono. Estendere questo disegno canary single-run in un limite inferiore empirico formale su ε in stile [19] è lavoro futuro, non un'affermazione di questo paper.</w:t>
      </w:r>
    </w:p>
    <w:p>
      <w:pPr>
        <w:spacing w:after="160"/>
        <w:jc w:val="both"/>
      </w:pPr>
      <w:r>
        <w:rPr>
          <w:b w:val="false"/>
          <w:bCs w:val="false"/>
          <w:i w:val="false"/>
          <w:iCs w:val="false"/>
        </w:rPr>
        <w:t xml:space="preserve">Un canary iniettato nel training set locale di un client federato deve inoltre sopravvivere all'ottimizzatore locale di quel client, al passo di aggregazione FedAvg, e — per LiRA specificamente — alla calibrazione del modello shadow, senza fuoriuscire attraverso il confine di cluster che definisce a quale client appartiene. inject_canaries() (§6.2) risolve questo tramite il site_id reale di ogni sessione anziché la posizione in lista, e una guardia dedicata di campionamento atomico per gruppo mantiene insieme ogni duplicato di un gruppo canary ogni volta che i sottoinsiemi di shadow-training vengono ricampionati, cosicché un gruppo canary non viene mai silenziosamente diviso tra le partizioni IN e OUT di un modello shadow. Il CANIFE di Maddock et al. [20] è la costruzione di canary specifica per il federato più vicina in letteratura: costruisce input canary avversariali, gradiente-ortogonali, adattivamente a ogni round, sotto un avversario forte che osserva gli aggiornamenti intermedi dei client, e compone una misura di separazione per-round in un limite (ε,δ) basato su RDP lungo l'intera run. I nostri canary sono costruiti in modo molto più semplice, e lo dichiariamo esplicitamente: sessioni di ricarica reali e non modificate dal sito bersaglio, duplicate a una molteplicità controllata calcolata per uguagliare l'amplificazione per-record di un sito di riferimento (§6.2), iniettate una sola volta prima del training anziché adattivamente a ogni round, e valutate solo come tasso di rilevamento del controllo positivo anziché come misura componibile via RDP. Questo risponde a una domanda più circoscritta di quella di CANIFE o di [19] — se questo strumento di attacco riesca a rilevare un leakage reale, deliberatamente amplificato, in questo contesto federato — che è ciò di cui questo paper ha bisogno per interpretare i propri risultati vicini al caso altrove (§7, §9) come un rischio assente piuttosto che uno strumento di misurazione insensibile, non qual è l'ε empirico più stretto che questo deployment perde, che lasciamo come lavoro futuro.</w:t>
      </w:r>
    </w:p>
    <w:p>
      <w:pPr>
        <w:pStyle w:val="Heading2"/>
        <w:spacing w:after="120" w:before="220"/>
      </w:pPr>
      <w:r>
        <w:t xml:space="preserve">3.4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3.5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 Il nostro conteggio della composizione attraverso i round FL è naive, non basato su RDP (§9); il divario che Jayaraman ed Evans documentano tra composizione naive e composizione più stretta è esattamente il motivo per cui il nostro budget di privacy multi-round riportato va letto come un limite superiore conservativo, non una garanzia stretta. Tutte e tre le collocazioni clippano e rumorizzano a granularità client: l'unità di protezione è il contributo per-round di un client nel suo insieme — la nozione che McMahan et al. [3] formalizzano come DP client-level — non DP-SGD per-esempio (Abadi et al. [7]), che limita invece l'influenza di un singolo record di training. LiRA punta esattamente a quella granularità più fine: chiede se una specifica sessione di ricarica, dentro il training set locale di un client, possa essere rilevata come membro. Nessuna delle nostre tre collocazioni è calibrata per limitare il contributo di un singolo record al training locale del suo client, quindi il clipping client-level non fornisce alcuna garanzia formale alla granularità che LiRA attacca davvero. Il nostro risultato è quindi una misura empirica di se un attaccante a livello di record trovi leakage rilevabile sotto una configurazione DP client-level, non un'affermazione che la DP client-level protegga formalmente le singole sessioni — lo stesso scarto tra garanzia teorica e superficie di attacco empirica che motiva la domanda centrale di questo paper (§1).</w:t>
      </w:r>
    </w:p>
    <w:p>
      <w:pPr>
        <w:spacing w:after="160"/>
        <w:jc w:val="both"/>
      </w:pPr>
      <w:r>
        <w:rPr>
          <w:b w:val="false"/>
          <w:bCs w:val="false"/>
          <w:i w:val="false"/>
          <w:iCs w:val="false"/>
        </w:rPr>
        <w:t xml:space="preserve">Letta così, le tre collocazioni non sono tre meccanismi di privacy indipendenti ma tre punti di privilegio dell'avversario lungo la stessa pipeline di trasformazione dell'aggiornamento di un client: dp-fedavg lo osserva grezzo, prima di qualunque clipping o rumore; central lo osserva dopo il clipping lato client ma prima di qualunque rumore; local osserva solo il valore finale clippato e rumorizzato — mai quello grezzo o intermedio, nemmeno transitoriamente. Letto in questo modo, dp-fedavg non è un meccanismo di privacy tra tre che per caso non offre protezione: è il limite superiore di ciò che è estraibile da questo canale, sotto la vista più privilegiata che la nostra architettura concede mai a un aggregatore. Se quel limite superiore stesso non mostra alcun segnale di appartenenza rilevabile (§7), lo stesso risultato nullo sotto le due collocazioni protettive, central e local, non può essere attribuito al rumore DP che sopprime un segnale altrimenti presente — la vista grezza e non protetta non ne avrebbe già contenuto alcuno da sopprimere. Questo è anche il punto in cui il substrato ML Plane (§3.1) sostiene davvero l'esperimento, non è solo infrastruttura: il suo flusso di eventi — aggiornamento locale prodotto, aggiornamento privatizzato, round aggregato — è esattamente ciò che rende questi tre livelli di privilegio dell'aggregatore separatamente osservabili e separatamente attaccabili.</w:t>
      </w:r>
    </w:p>
    <w:p>
      <w:pPr>
        <w:spacing w:after="160"/>
        <w:jc w:val="both"/>
      </w:pPr>
      <w:r>
        <w:rPr>
          <w:b w:val="false"/>
          <w:bCs w:val="false"/>
          <w:i w:val="false"/>
          <w:iCs w:val="false"/>
        </w:rPr>
        <w:t xml:space="preserve">Un'ulteriore avvertenza riguarda specificamente come ε vada letto in questo paper. La garanzia formale (ε,δ)-DP per un meccanismo clip-and-noise vale in modo pulito quando ogni client contribuisce un solo passo di gradiente per round (come in DP-SGD); i nostri client eseguono invece local_epochs=50 passi di ottimizzazione locale per round prima che il loro aggiornamento venga clippato e rumorizzato una sola volta. Alla granularità client-level a cui queste collocazioni sono calibrate (l'unità che McMahan et al. proteggono, vedi §3.5 sopra), questo non indebolisce la garanzia: il clip vincola il contributo per-round dell'intero client indipendentemente da quanti passi locali lo abbiano prodotto. Lo segnaliamo comunque perché è facile confonderlo con la domanda a livello di record che questo paper pone davvero (se LiRA riesca a rilevare una singola sessione): il regime di training a 50 epoche locali descritto in §5 è ciò che dà al modello l'opportunità di memorizzare una singola sessione in primo luogo, e ε qui va letto come parametro di rumore sperimentale calibrato all'unità client-level, non come un budget di privacy formale per-record.</w:t>
      </w:r>
    </w:p>
    <w:p>
      <w:pPr>
        <w:pStyle w:val="Heading2"/>
        <w:spacing w:after="120" w:before="220"/>
      </w:pPr>
      <w:r>
        <w:t xml:space="preserve">3.6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l'assunzione parametrica propria di LiRA che la distribuzione della loss shadow sia approssimativamente Gaussiana sotto entrambe le ipotesi IN e OUT. Abbiamo misurato l'aderenza reale di questa assunzione sui nostri dati invece di lasciarla inesaminata (baseline no-DP, seed 42, n_shadow=16, ~13.000 punteggi member/non-member aggregati): sul MSE grezzo è violata di sei ordini di grandezza (il test di Jarque-Bera rigetta la normalità con un fattore ~2,7-4,1 milioni ad α=0,05 per member/non-member rispettivamente; asimmetria 10,3/11,4, curtosi in eccesso 172/211); una variante log-trasformata (_lira_log_score, implementata ma non promossa a metrica primaria di questo paper) riduce la violazione di quattro-cinque ordini di grandezza (rigetta con un fattore ~61-79) senza eliminarla.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Nel run storico di debug che ha motivato questo filtro, escludeva il 2,37% dei campioni; nella campagna a 5 seed×10 configurazioni riportata in §7, esclude esattamente lo 0,0000% dei campioni in tutte e dieci le configurazioni — il floor di varianza condiviso descritto in §9 comprime gli z-score a sufficienza perché la soglia 8σ non venga praticamente mai raggiunta a questa scala di campagna, quindi riportiamo questa salvaguardia come inerte nei numeri sotto, non come attivamente filtrante. (Tutti i risultati LiRA in questo paper usano n_shadow=16 shadow model per cluster per round; il default del codice, usato solo quando un config omette il valore, è 8.)</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gestito da un consumatore separato dello stesso substrato ML Plane e validato indipendentemente (Scenario 2, §4.2), oppure è davvero fuori ambito (Scenari 3–4); in entrambi i casi riportato come tale, mai assunto silenziosamente.</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Scenario 2 (un consumatore diverso, non fuori ambito) e Scenari 3–4 (fuori ambito)</w:t>
      </w:r>
    </w:p>
    <w:p>
      <w:pPr>
        <w:spacing w:after="160"/>
        <w:jc w:val="both"/>
      </w:pPr>
      <w:r>
        <w:rPr>
          <w:b w:val="false"/>
          <w:bCs w:val="false"/>
          <w:i w:val="false"/>
          <w:iCs w:val="false"/>
        </w:rPr>
        <w:t xml:space="preserve">Lo Scenario 2 (un client FL malevolo) non è semplicemente fuori ambito: come argomenta il §3.4, il substrato ML Plane ha due consumatori con modelli di minaccia ortogonali sullo stesso livello di osservabilità — il Privacy Auditor (confidenzialità, Scenario 1, oggetto dei risultati di questo paper) e ByzantineDetector (integrità, Scenario 2). Lo Scenario 2 appartiene a quell’altro consumatore, è validato separatamente dalle affermazioni sulla privacy di questo paper, e non è confuso con lo Scenario 1 nei nostri risultati. Alla data di questa submission, i meccanismi Krum/cosine-similarity/CUSUM di ByzantineDetector sono implementati e testati a livello unitario ma non sono ancora stati esercitati end-to-end contro un client Byzantine attivo su dati di training FL reali — un limite che dichiariamo esplicitamente invece di lasciar intendere una copertura che non abbiamo misurato. Lo Scenario 3 (gateway di rete compromesso) e lo Scenario 4 (intercettatore passivo esterno, sconfitto dalla sicurezza a livello di trasporto) restano davvero fuori ambito: nessuno dei due è un consumatore dell’ML Plane, ed entrambi sono questioni di sicurezza di rete convenzionali, ortogonali sia allo Scenario 1 che allo Scenario 2.</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Attacchi su due superfici di osservazione: Yeom [1a] (basato sulla loss) e un attacco Shadow-Model calibrato [1] osservano entrambi solo il modello globale aggregato — da questo punto di vista, una rilevazione positiva può concludere solo che qualche sessione, da qualche parte nella federazione, era un membro del training, mai quale client l'ha addestrata. LiRA [2] (likelihood-ratio) osserva invece l'aggiornamento per-round di un client specifico così come effettivamente sottomesso per l'aggregazione — un punto di vista strettamente più privilegiato, perché richiede che l'aggregatore ispezioni il contributo di un client nominato invece del risultato aggregato, e una rilevazione positiva attribuirebbe l'appartenenza a quello specifico operatore. Non sono tre punti su un'unica scala di forza dell'attacco: sono due superfici di osservazione indipendenti che verificano due affermazioni diverse, e LiRA è l'attacco primario sotto cui questo paper riporta i risultati perché è quello che corrisponde al privilegio reale dell'aggregatore nel nostro modello di minaccia (§4.1), non perché include gli altri due.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0.5363</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registrata come criterio di lavoro per la memorizzazione rilevabile nella nostra roadmap di test interna (docs/TestRoadmap_DSN2027.md, 2026-08-27) — un documento di lavoro, non un piano di analisi formalmente pre-registrato. Ciascuna delle cinque configurazioni d'asse riflette un singolo run a seed (42) fisso e 3 round, non il protocollo a 5 seed×10 round usato per la campagna principale in §7, quindi questi valori vanno letti come uno screening grossolano di sensibilità, non come stime con lo stesso rigore statistico della Tabella 2.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campionate in modo indipendente dallo stesso sito come non-membri — sessioni holdout ordinarie, non copie dei template duplicati. A differenza della campagna principale in §7, ogni run canary riportato in questa sezione è un singolo run a seed (42) fisso e 3 round, senza replica cross-seed; per questo riportiamo gli AUC esatti per round invece di intervalli bootstrap.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recon.-loss — run A (n=146 mem., 19 non-mem.)</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 run B (n=120 mem., 20 non-mem.)</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Le due righe sopra provengono da due run separati, ciascuno a singolo seed, dello stesso protocollo, non da un unico run condiviso, e quindi non vanno lette come un confronto prima/dopo sugli stessi canary: il run A riporta inoltre un AUC LiRA calibrato di 0.4863 / 0.6265 / 0.4250 (composto 0.5534), e il run B riporta un AUC raw reconstruction-loss di 0.6625 / 0.85 / 0.8375 — entrambi ampiamente coerenti con i valori in tabella, ma mostriamo la realizzazione singola più forte di ciascuna metrica invece di mediare tra run che non erano stati progettati per essere aggregati. La copertura per sito del segnale raw-loss è disomogenea, contrariamente a una bozza precedente di questa sezione che la descriveva come valida in ogni sito testato: a Office 1, la loss di ricostruzione grezza separa nettamente i membri canary dai non-membri in ogni round (come in tabella). A Caltech, lo stesso protocollo produce un AUC di 0.3710 / 0.3805 / 0.4236 — invertito, sotto il caso, non una separazione qualitativamente simile. A JPL, l'AUC raw-loss è 0.4737 / 0.4632 / 0.4947 — al livello del caso. Il controllo positivo raw-loss riesce quindi inequivocabilmente solo a Office 1 tra i tre siti; non abbiamo ancora una spiegazione per l'inversione di segno a Caltech e la riportiamo come una domanda aperta invece di ometterla. Il punteggio LiRA calibrato è ancora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(run B, ≈11% del training set di quel client) rileva il canary in modo consistente in tutti e tre i round (0.6375 / 0.6625 / 0.5875, composto 0.6875), sopra la soglia di lavoro di 0.60 usata in §6.1 — sebbene, come altrove in questa sezione, si tratti di un risultato a singolo seed/3 round, non replicato tra seed. Resta sistematicamente più debole del segnale raw-loss, cosa che attribuiamo a un limite separato, ancora aperto: la calibrazione Gaussiana di LiRA opera al proprio floor di varianza per-shadow nel 96–99% dei casi in questo run, piuttosto che sulla vera varianza per-shadow (§3.6, §9). Replicare lo stesso identico protocollo a Caltech e JPL — dove la densità aggregata di duplicati è molto più bassa (≈0.5% dei dati di training locali, poiché entrambi i client hanno dataset locali più grandi di Office 1) — non riproduce il segnale LiRA calibrato (AUC composto Caltech 0.42–0.50; AUC composto JPL 0.5368). Abbiamo tentato di isolare la densità dal sito ripetendo l'inserimento del canary a Caltech con densità aggregata di duplicati equiparata a quella di Office 1 (≈10% dei dati di training locali, n_templates=84, n_duplicates=30): LiRA calibrato non è comunque riuscito a rilevare il canary (AUC 0.46–0.53, vicino o sotto il caso). Avevamo letto questo come evidenza che la densità di duplicati da sola non spiega il divario Office 1/Caltech, ma a un esame più attento le due configurazioni non sono equiparate sulla variabile che plausibilmente guida la memorizzazione: Office 1 duplica ciascuno di 5 template 30× in un pool di ≈1.680 sessioni (≈2.0% di amplificazione per-record), mentre la configurazione Caltech a densità equiparata duplica ciascuno di 84 template 30× in un pool di ≈25.123 sessioni (≈0.12% di amplificazione per-record) — una differenza di 17× nell'amplificazione per-record nonostante la densità aggregata equiparata. Densità aggregata e amplificazione per-record non sono la stessa grandezza, e l'esperimento come condotto le confonde; il risultato Caltech sopra va quindi letto come inconcludente sulla questione della densità, non come evidenza contro di essa. Un test più pulito manterrebbe n_templates=5 fisso (come a Office 1) e alzerebbe n_duplicates a Caltech finché l'amplificazione per-record, non la densità aggregata, eguaglia quella di Office 1; non abbiamo avuto tempo di eseguirlo prima della submission e lo segnaliamo come il naturale prossimo esperimento.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spacing w:after="160"/>
        <w:jc w:val="both"/>
      </w:pPr>
      <w:r>
        <w:rPr>
          <w:b w:val="false"/>
          <w:bCs w:val="false"/>
          <w:i w:val="false"/>
          <w:iCs w:val="false"/>
        </w:rPr>
        <w:t xml:space="preserve">Il Blocker 2 (2026-09-15) ha esteso questo controllo positivo agli altri due attacchi usati in tutto il paper, Yeom e Shadow, sullo stesso protocollo Office 1 (no-DP, seed 42, 3 round) — colmando un divario rilevante per un revisore: un risultato nullo riportato per tre attacchi vale quanto la capacità dimostrata dell'attacco più debole di rilevare un vero leak. Yeom — che legge la loss di ricostruzione grezza sotto il modello globale aggregato direttamente, senza calibrazione shadow — rileva il canary con la stessa forza della riga raw-loss sopra (AUC 0.70 / 0.86 / 0.86 nei tre round), confermando che la memorizzazione indotta dalla duplicazione è visibile anche dalla superficie di osservazione del modello globale, non solo dalla vista per-client di LiRA. Il punteggio calibrato di Shadow (loss dello shadow model meno loss del target model) è invece invertito (AUC 0.21–0.32 in tre run indipendenti di questa diagnosi, anche dopo aver chiuso un gap di tagging del template nell'iniezione canary stessa, discusso sotto), e la diagnostica per-gruppo-canary (punteggio calibrato medio per template) esclude la varianza di campionamento come causa: tutti e cinque i template sono sistematicamente sotto la media non-membro in ogni round. Poiché la loss assoluta del target model di Yeom sugli stessi canary — letta dallo stesso identico modello addestrato — è confermata bassa, una memorizzazione insufficiente non può spiegare l'inversione; la causa più probabile è che sia lo shadow sia il target model, su questa architettura piccola (570 parametri, sei feature), convergano vicino a un pavimento condiviso di errore di ricostruzione per sessioni in-distribuzione di Office 1, cosicché la differenza shadow-meno-target per i cinque template sia dominata dalla difficoltà di ricostruzione idiosincratica di ciascun template piuttosto che dalla membership. Riportiamo questo come una limitazione aperta specifica della calibrazione di Shadow sotto questo disegno artificiale a pochi template, non come evidenza contro il ruolo di Shadow nel risultato nullo della campagna principale (§7), dove riporta valori di AUC grezzi non toccati da questa analisi. Durante questa indagine è stato applicato un fix correlato: la sessione reale scelta come ciascun template canary restava, prima del fix, non taggata nel pool di training accanto ai suoi 30 duplicati taggati — invisibile alla guardia che esclude le sessioni canary dallo split di training del proprio shadow model di Shadow. Taggarla ha chiuso un gap di isolamento genuino (riguarda anche il campionamento dell'universo shadow di LiRA, discusso sopra) e ha abbassato leggermente l'AUC canary composto di LiRA, da 0.6875 a 0.66, senza cambiare il risultato qualitativo.</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0.5004 (σ=0.0030)</w:t>
            </w:r>
          </w:p>
        </w:tc>
        <w:tc>
          <w:tcPr>
            <w:tcW w:type="dxa" w:w="2350"/>
          </w:tcPr>
          <w:p>
            <w:r>
              <w:rPr>
                <w:sz w:val="18"/>
                <w:szCs w:val="18"/>
              </w:rPr>
              <w:t xml:space="preserve">[0.4977, 0.5025]</w:t>
            </w:r>
          </w:p>
        </w:tc>
        <w:tc>
          <w:tcPr>
            <w:tcW w:type="dxa" w:w="2400"/>
          </w:tcPr>
          <w:p>
            <w:r>
              <w:rPr>
                <w:sz w:val="18"/>
                <w:szCs w:val="18"/>
              </w:rPr>
              <w:t xml:space="preserve">0.8125</w:t>
            </w:r>
          </w:p>
        </w:tc>
      </w:tr>
      <w:tr>
        <w:tc>
          <w:tcPr>
            <w:tcW w:type="dxa" w:w="2100"/>
          </w:tcPr>
          <w:p>
            <w:r>
              <w:rPr>
                <w:sz w:val="18"/>
                <w:szCs w:val="18"/>
              </w:rPr>
              <w:t xml:space="preserve">dp-fedavg,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dp-fedavg,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r>
        <w:tc>
          <w:tcPr>
            <w:tcW w:type="dxa" w:w="2100"/>
          </w:tcPr>
          <w:p>
            <w:r>
              <w:rPr>
                <w:sz w:val="18"/>
                <w:szCs w:val="18"/>
              </w:rPr>
              <w:t xml:space="preserve">central, ε=1.0</w:t>
            </w:r>
          </w:p>
        </w:tc>
        <w:tc>
          <w:tcPr>
            <w:tcW w:type="dxa" w:w="2500"/>
          </w:tcPr>
          <w:p>
            <w:r>
              <w:rPr>
                <w:sz w:val="18"/>
                <w:szCs w:val="18"/>
              </w:rPr>
              <w:t xml:space="preserve">0.5024 (σ=0.0049)</w:t>
            </w:r>
          </w:p>
        </w:tc>
        <w:tc>
          <w:tcPr>
            <w:tcW w:type="dxa" w:w="2350"/>
          </w:tcPr>
          <w:p>
            <w:r>
              <w:rPr>
                <w:sz w:val="18"/>
                <w:szCs w:val="18"/>
              </w:rPr>
              <w:t xml:space="preserve">[0.4987, 0.5062]</w:t>
            </w:r>
          </w:p>
        </w:tc>
        <w:tc>
          <w:tcPr>
            <w:tcW w:type="dxa" w:w="2400"/>
          </w:tcPr>
          <w:p>
            <w:r>
              <w:rPr>
                <w:sz w:val="18"/>
                <w:szCs w:val="18"/>
              </w:rPr>
              <w:t xml:space="preserve">0.4375</w:t>
            </w:r>
          </w:p>
        </w:tc>
      </w:tr>
      <w:tr>
        <w:tc>
          <w:tcPr>
            <w:tcW w:type="dxa" w:w="2100"/>
          </w:tcPr>
          <w:p>
            <w:r>
              <w:rPr>
                <w:sz w:val="18"/>
                <w:szCs w:val="18"/>
              </w:rPr>
              <w:t xml:space="preserve">central, ε=0.5</w:t>
            </w:r>
          </w:p>
        </w:tc>
        <w:tc>
          <w:tcPr>
            <w:tcW w:type="dxa" w:w="2500"/>
          </w:tcPr>
          <w:p>
            <w:r>
              <w:rPr>
                <w:sz w:val="18"/>
                <w:szCs w:val="18"/>
              </w:rPr>
              <w:t xml:space="preserve">0.5003 (σ=0.0032)</w:t>
            </w:r>
          </w:p>
        </w:tc>
        <w:tc>
          <w:tcPr>
            <w:tcW w:type="dxa" w:w="2350"/>
          </w:tcPr>
          <w:p>
            <w:r>
              <w:rPr>
                <w:sz w:val="18"/>
                <w:szCs w:val="18"/>
              </w:rPr>
              <w:t xml:space="preserve">[0.4977, 0.5026]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0.5020 (σ=0.0024)</w:t>
            </w:r>
          </w:p>
        </w:tc>
        <w:tc>
          <w:tcPr>
            <w:tcW w:type="dxa" w:w="2350"/>
          </w:tcPr>
          <w:p>
            <w:r>
              <w:rPr>
                <w:sz w:val="18"/>
                <w:szCs w:val="18"/>
              </w:rPr>
              <w:t xml:space="preserve">[0.5001, 0.5038]</w:t>
            </w:r>
          </w:p>
        </w:tc>
        <w:tc>
          <w:tcPr>
            <w:tcW w:type="dxa" w:w="2400"/>
          </w:tcPr>
          <w:p>
            <w:r>
              <w:rPr>
                <w:sz w:val="18"/>
                <w:szCs w:val="18"/>
              </w:rPr>
              <w:t xml:space="preserve">0.1875</w:t>
            </w:r>
          </w:p>
        </w:tc>
      </w:tr>
      <w:tr>
        <w:tc>
          <w:tcPr>
            <w:tcW w:type="dxa" w:w="2100"/>
          </w:tcPr>
          <w:p>
            <w:r>
              <w:rPr>
                <w:sz w:val="18"/>
                <w:szCs w:val="18"/>
              </w:rPr>
              <w:t xml:space="preserve">local,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local,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bl>
    <w:p>
      <w:pPr>
        <w:spacing w:after="160"/>
      </w:pPr>
    </w:p>
    <w:p>
      <w:pPr>
        <w:spacing w:after="160"/>
        <w:jc w:val="both"/>
      </w:pPr>
      <w:r>
        <w:rPr>
          <w:b w:val="false"/>
          <w:bCs w:val="false"/>
          <w:i w:val="false"/>
          <w:iCs w:val="false"/>
        </w:rPr>
        <w:t xml:space="preserve">9 dei 10 intervalli di confidenza bootstrap al 95% delle configurazioni contengono 0.5, e nessuna media devia da 0.5 per più di 0.0025 in termini assoluti — comunque ben oltre un ordine di grandezza più stretto della soglia di controllo positivo di 0.60 usata nella verifica di sanità (§6). L'unica eccezione è central, ε=0.1, il cui IC ([0.5001, 0.5038]) esclude 0.5 per un margine ristretto; non è significativo secondo Wilcoxon (p=0.1875, lo stesso limite n=5 discusso più sotto) e la sua media (0.5020) resta comunque oltre un ordine di grandezza sotto la soglia di 0.60 — non lo leggiamo come evidenza di un vero segnale di leakage dipendente da DP, ma lo segnaliamo esplicitamente invece di mediarlo via.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Due delle tre collocazioni DP — dp-fedavg e local — riportano AUC LiRA composti identici a ogni ε in Tabella 2 sopra; non è una coincidenza né un errore di reporting. Entrambe applicano lo stesso meccanismo per-client (clipping del gradiente seguito da aggiunta di rumore, prima della sottomissione all'aggregatore) e differiscono solo nel fatto che l'aggiornamento clippato e rumoroso sia anche esposto al sottosistema di intrusion-detection sul percorso (local) oppure no (dp-fedavg) — una distinzione invisibile a un attaccante, come LiRA qui, che osserva solo l'aggiornamento sottomesso. Central differisce da entrambe aggiungendo rumore una sola volta, dopo l'aggregazione, invece che una volta per client prima di essa, motivo per cui è l'unica a produrre numeri LiRA diversi. Contate per meccanismo distinto anziché per etichetta di configurazione, la Tabella 2 riporta quindi sette condizioni DP indipendenti — {dp-fedavg, central} × ε ∈ {1.0, 0.5, 0.1}, più la baseline no-DP — non dieci: le tre righe “local” sono identiche per costruzione alle corrispondenti “dp-fedavg” e non aggiungono evidenza statistica indipendente, quindi ogni affermazione di uniformità “attraverso la collocazione DP” va letta come valida su queste sette condizioni, non su dieci nominalmente distinte.</w:t>
      </w:r>
    </w:p>
    <w:p>
      <w:pPr>
        <w:spacing w:after="160"/>
        <w:jc w:val="both"/>
      </w:pPr>
      <w:r>
        <w:rPr>
          <w:b w:val="false"/>
          <w:bCs w:val="false"/>
          <w:i w:val="false"/>
          <w:iCs w:val="false"/>
        </w:rPr>
        <w:t xml:space="preserve">La Tabella 2 sopra riporta solo LiRA. Yeom (2018) e Shadow MIA attaccano una superficie di osservazione diversa — il modello globale aggregato, da cui un risultato positivo potrebbe significare solo che qualche sessione era un membro del training da qualche parte nella federazione, mai che un client specifico l'ha addestrata, la granularità che solo LiRA raggiunge (§5) — eseguiti in ogni configurazione insieme a LiRA, e mostrano lo stesso pattern: su tutte e dieci le configurazioni nominali, l’AUC-ROC medio di entrambi gli attacchi (5 seed, media per-round — nessuno dei due ha una statistica “composta” multi-round analoga a quella di LiRA) resta a distanza da caso entro l’IC bootstrap, senza eccezioni. Poiché le due superfici sono indipendenti e non annidate, queste non sono tre letture ridondanti della stessa misura: un nullo sulla superficie del modello aggregato non segue logicamente da un nullo sulla superficie dell'aggiornamento per-client, né viceversa. Due superfici indipendenti entrambe nulle sono di conseguenza un'affermazione più ampia di una sola: nessun leakage rilevabile da un attaccante che vede solo il risultato aggregato, e nessuno da un attaccante privilegiato abbastanza da vedere il contributo individuale di un client.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50"/>
      </w:tblGrid>
      <w:tr>
        <w:tc>
          <w:tcPr>
            <w:tcW w:type="dxa" w:w="2400"/>
            <w:shd w:fill="F2F2F2" w:val="clear"/>
          </w:tcPr>
          <w:p>
            <w:r>
              <w:rPr>
                <w:sz w:val="18"/>
                <w:szCs w:val="18"/>
              </w:rPr>
              <w:t xml:space="preserve">Configurazione</w:t>
            </w:r>
          </w:p>
        </w:tc>
        <w:tc>
          <w:tcPr>
            <w:tcW w:type="dxa" w:w="2400"/>
            <w:shd w:fill="F2F2F2" w:val="clear"/>
          </w:tcPr>
          <w:p>
            <w:r>
              <w:rPr>
                <w:sz w:val="18"/>
                <w:szCs w:val="18"/>
              </w:rPr>
              <w:t xml:space="preserve">AUC media Yeom (IC 95%)</w:t>
            </w:r>
          </w:p>
        </w:tc>
        <w:tc>
          <w:tcPr>
            <w:tcW w:type="dxa" w:w="2400"/>
            <w:shd w:fill="F2F2F2" w:val="clear"/>
          </w:tcPr>
          <w:p>
            <w:r>
              <w:rPr>
                <w:sz w:val="18"/>
                <w:szCs w:val="18"/>
              </w:rPr>
              <w:t xml:space="preserve">AUC media Shadow (IC 95%)</w:t>
            </w:r>
          </w:p>
        </w:tc>
        <w:tc>
          <w:tcPr>
            <w:tcW w:type="dxa" w:w="2150"/>
            <w:shd w:fill="F2F2F2" w:val="clear"/>
          </w:tcPr>
          <w:p>
            <w:r>
              <w:rPr>
                <w:sz w:val="18"/>
                <w:szCs w:val="18"/>
              </w:rPr>
              <w:t xml:space="preserve">Entrambi gli IC contengono 0.5?</w:t>
            </w:r>
          </w:p>
        </w:tc>
      </w:tr>
      <w:tr>
        <w:tc>
          <w:tcPr>
            <w:tcW w:type="dxa" w:w="2400"/>
            <w:shd w:fill="F2F2F2" w:val="clear"/>
          </w:tcPr>
          <w:p>
            <w:r>
              <w:rPr>
                <w:sz w:val="18"/>
                <w:szCs w:val="18"/>
              </w:rPr>
              <w:t xml:space="preserve">no-DP baseline</w:t>
            </w:r>
          </w:p>
        </w:tc>
        <w:tc>
          <w:tcPr>
            <w:tcW w:type="dxa" w:w="2400"/>
            <w:shd w:fill="F2F2F2" w:val="clear"/>
          </w:tcPr>
          <w:p>
            <w:r>
              <w:rPr>
                <w:sz w:val="18"/>
                <w:szCs w:val="18"/>
              </w:rPr>
              <w:t xml:space="preserve">0.5003 [0.4984, 0.5021]</w:t>
            </w:r>
          </w:p>
        </w:tc>
        <w:tc>
          <w:tcPr>
            <w:tcW w:type="dxa" w:w="2400"/>
            <w:shd w:fill="F2F2F2" w:val="clear"/>
          </w:tcPr>
          <w:p>
            <w:r>
              <w:rPr>
                <w:sz w:val="18"/>
                <w:szCs w:val="18"/>
              </w:rPr>
              <w:t xml:space="preserve">0.5016 [0.4997, 0.5029]</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0.5013]</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eps=0.1</w:t>
            </w:r>
          </w:p>
        </w:tc>
        <w:tc>
          <w:tcPr>
            <w:tcW w:type="dxa" w:w="2400"/>
            <w:shd w:fill="F2F2F2" w:val="clear"/>
          </w:tcPr>
          <w:p>
            <w:r>
              <w:rPr>
                <w:sz w:val="18"/>
                <w:szCs w:val="18"/>
              </w:rPr>
              <w:t xml:space="preserve">0.4995 [0.4974,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eps=1.0</w:t>
            </w:r>
          </w:p>
        </w:tc>
        <w:tc>
          <w:tcPr>
            <w:tcW w:type="dxa" w:w="2400"/>
            <w:shd w:fill="F2F2F2" w:val="clear"/>
          </w:tcPr>
          <w:p>
            <w:r>
              <w:rPr>
                <w:sz w:val="18"/>
                <w:szCs w:val="18"/>
              </w:rPr>
              <w:t xml:space="preserve">0.5006 [0.4988, 0.5024]</w:t>
            </w:r>
          </w:p>
        </w:tc>
        <w:tc>
          <w:tcPr>
            <w:tcW w:type="dxa" w:w="2400"/>
            <w:shd w:fill="F2F2F2" w:val="clear"/>
          </w:tcPr>
          <w:p>
            <w:r>
              <w:rPr>
                <w:sz w:val="18"/>
                <w:szCs w:val="18"/>
              </w:rPr>
              <w:t xml:space="preserve">0.5001 [0.4990, 0.5011]</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eps=0.5</w:t>
            </w:r>
          </w:p>
        </w:tc>
        <w:tc>
          <w:tcPr>
            <w:tcW w:type="dxa" w:w="2400"/>
            <w:shd w:fill="F2F2F2" w:val="clear"/>
          </w:tcPr>
          <w:p>
            <w:r>
              <w:rPr>
                <w:sz w:val="18"/>
                <w:szCs w:val="18"/>
              </w:rPr>
              <w:t xml:space="preserve">0.5002 [0.4983, 0.5018]</w:t>
            </w:r>
          </w:p>
        </w:tc>
        <w:tc>
          <w:tcPr>
            <w:tcW w:type="dxa" w:w="2400"/>
            <w:shd w:fill="F2F2F2" w:val="clear"/>
          </w:tcPr>
          <w:p>
            <w:r>
              <w:rPr>
                <w:sz w:val="18"/>
                <w:szCs w:val="18"/>
              </w:rPr>
              <w:t xml:space="preserve">0.4996 [0.4984, 0.5008]</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eps=0.1</w:t>
            </w:r>
          </w:p>
        </w:tc>
        <w:tc>
          <w:tcPr>
            <w:tcW w:type="dxa" w:w="2400"/>
            <w:shd w:fill="F2F2F2" w:val="clear"/>
          </w:tcPr>
          <w:p>
            <w:r>
              <w:rPr>
                <w:sz w:val="18"/>
                <w:szCs w:val="18"/>
              </w:rPr>
              <w:t xml:space="preserve">0.5000 [0.4981, 0.5020]</w:t>
            </w:r>
          </w:p>
        </w:tc>
        <w:tc>
          <w:tcPr>
            <w:tcW w:type="dxa" w:w="2400"/>
            <w:shd w:fill="F2F2F2" w:val="clear"/>
          </w:tcPr>
          <w:p>
            <w:r>
              <w:rPr>
                <w:sz w:val="18"/>
                <w:szCs w:val="18"/>
              </w:rPr>
              <w:t xml:space="preserve">0.4992 [0.4978,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eps=0.1</w:t>
            </w:r>
          </w:p>
        </w:tc>
        <w:tc>
          <w:tcPr>
            <w:tcW w:type="dxa" w:w="2400"/>
            <w:shd w:fill="F2F2F2" w:val="clear"/>
          </w:tcPr>
          <w:p>
            <w:r>
              <w:rPr>
                <w:sz w:val="18"/>
                <w:szCs w:val="18"/>
              </w:rPr>
              <w:t xml:space="preserve">0.4995 [0.4972,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Si</w:t>
            </w:r>
          </w:p>
        </w:tc>
      </w:tr>
    </w:tbl>
    <w:p>
      <w:pPr>
        <w:spacing w:after="160"/>
        <w:jc w:val="both"/>
      </w:pPr>
      <w:r>
        <w:rPr>
          <w:b w:val="false"/>
          <w:bCs w:val="false"/>
          <w:i w:val="false"/>
          <w:iCs w:val="false"/>
        </w:rPr>
        <w:t xml:space="preserve">Un test di Wilcoxon a due code con n=5 seed non può raggiungere p&lt;0.05 per nessuna configurazione indipendentemente dai dati (il limite esatto del sign-test, 2×(1/32)=0.0625, è documentato in check_significance.py e si applica anche alla potenza di Wilcoxon a questa numerosità campionaria), quindi “fallire nel rigettare il nulla” in Tabella 2 non è di per sé evidenza di equivalenza al caso. Abbiamo quindi testato anche l'equivalenza statistica usando la procedura dei due test a una coda (TOST) (Schuirmann, 1987), col metodo dell'inclusione dell'intervallo di confidenza: una configurazione è dichiarata equivalente ad AUC=0.5 al margine 0.02 e α=0.05 quando il suo IC bootstrap al 90% cade interamente entro [0.48, 0.52]. Tutte le 10 configurazioni in Tabella 2 soddisfano questo criterio (es. central, ε=0.1: IC 95% [0.5001, 0.5038] dalla tabella sopra, l'IC al 90% usato per il TOST cade entro [0.48, 0.52]) — una affermazione materialmente più forte e più onesta di “non significativo”, e la più appropriata data la numerosità campionaria.</w:t>
      </w:r>
    </w:p>
    <w:p>
      <w:pPr>
        <w:spacing w:after="160"/>
        <w:jc w:val="both"/>
      </w:pPr>
      <w:r>
        <w:rPr>
          <w:b w:val="false"/>
          <w:bCs w:val="false"/>
          <w:i w:val="false"/>
          <w:iCs w:val="false"/>
        </w:rPr>
        <w:t xml:space="preserve">Il risultato nullo di Tabella 2 va letto insieme all'utilità del modello in ciascuna configurazione, poiché una difesa che distrugge anche il segnale che un attacco dovrebbe sfruttare è un risultato diverso da una difesa che preserva l'utilità pur bloccando l'attacco. mean_loss è la loss di ricostruzione media del modello globale FL nell'ultimo round di training, mediata sugli stessi 5 seed e deduplicata nello stesso modo di Tabella 2 (scripts/check_significance.py, per_round[ultimo_round]["fl"]["mean_loss"]).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Configurazione</w:t>
            </w:r>
          </w:p>
        </w:tc>
        <w:tc>
          <w:tcPr>
            <w:tcW w:type="dxa" w:w="3000"/>
            <w:shd w:fill="F2F2F2" w:val="clear"/>
          </w:tcPr>
          <w:p>
            <w:r>
              <w:rPr>
                <w:sz w:val="18"/>
                <w:szCs w:val="18"/>
              </w:rPr>
              <w:t xml:space="preserve">mean_loss medio (ultimo round, 5 seed)</w:t>
            </w:r>
          </w:p>
        </w:tc>
        <w:tc>
          <w:tcPr>
            <w:tcW w:type="dxa" w:w="3000"/>
            <w:shd w:fill="F2F2F2" w:val="clear"/>
          </w:tcPr>
          <w:p>
            <w:r>
              <w:rPr>
                <w:sz w:val="18"/>
                <w:szCs w:val="18"/>
              </w:rPr>
              <w:t xml:space="preserve">U_cost vs baseline no-DP</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Ogni configurazione DP aumenta la loss di ricostruzione media di circa 240–290× rispetto alla baseline no-DP (0.0017), indipendentemente da collocazione o ε, ed è vicina a un modello non funzionale in termini assoluti. Questo è un confondente per il risultato nullo sopra: con un modello a 570 parametri e rumore per-peso σ che va da 4.84 (ε=1.0) a 48.4 (ε=0.1) (§3.5), è plausibile che il modello mantenga troppo poco del segnale di training perché qualunque attacco — non solo LiRA — possa rilevare la membership, invece che la DP neutralizzi specificamente un attacco che altrimenti riuscirebbe. La baseline no-DP in Tabella 2 (anch'essa indistinguibile dal caso) è l'evidenza più forte contro questa spiegazione alternativa: mostra che l'architettura stessa non memorizza abbastanza perché LiRA rilevi la membership anche senza alcun rumore, quindi i risultati nulli delle configurazioni DP non sono solo un artefatto della distruzione di utilità. Riportiamo comunque U_cost esplicitamente, non solo il risultato nullo dell'AUC, così che questo confondente resti visibile invece che implicito.</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i numeri di Tabella 2 sopra vanno letti alla luce di tre correzioni successive documentate in questa sezione e in §3.6/§6: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0.5006 / 0.5056 / 0.5042 / 0.5063 (seed 123 / 456 / 789 / 1234, post-fix; più una baseline pre-fix con seed 42, esclusa da questa media). local: AUC LiRA composto per seed 0.4977 / 0.5002 / 0.4963 / 0.5032 / 0.5021 (seed 42 / 123 / 456 / 789 / 1234), IC bootstrap 95% [0.4976, 0.5022] — contiene 0.5. La media di central (0.5042, n=4, IC 95% [0.5019, 0.5059]) si colloca più lontana da 0.5 rispetto all'equivalente della simulazione single-process e, con questo n più piccolo, il suo IC esclude 0.5; non lo leggiamo come un vero effetto di collocazione DP — resta due ordini di grandezza sotto la soglia di controllo positivo di 0.60, e n=4 è troppo piccolo per trarre una conclusione ferma in un senso o nell'altro — ma lo segnaliamo invece di descrivere entrambe le collocazioni semplicemente come “coerenti”.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ε da solo non è interpretabile, ed è per questo divario che esiste questa sezione: Rahman et al. [16] motivano il proprio studio notando che la differential privacy è stata "sempre criticata per non essere in grado di fornire una spiegazione intuitiva del parametro di privacy ε," e mirano a dare a ε un significato empirico concreto misurando il successo di membership inference che permette davvero. PES_v1 persegue lo stesso obiettivo per questo progetto: invece di riportare solo ε, riporta un unico punteggio di rischio che combina il budget DP nominale con il vantaggio residuo dell’attacco effettivamente osservato.</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nove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 Solo clipping client-level (§3.5): nessuna delle tre collocazioni limita il contributo di un singolo record come fa DP-SGD per-esempio; implementare e valutare un vero DP-SGD per-esempio come quarta collocazione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chiaramente solo a Office 1 (AUC 0.70–0.90) e non si replica a Caltech (AUC 0.35–0.44 ad aggressività equiparata, 0.37–0.42 a densità aggregata equiparata) né a JPL (AUC 0.46–0.49); il punteggio LiRA calibrato lo rileva a sua volta in modo affidabile solo a Office 1 (AUC composto 0.66, dopo la correzione di due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 Yeom conferma indipendentemente la sensibilità dello strumento a Office 1 (AUC canary 0.70–0.86, leggendo la loss assoluta del target model senza calibrazione shadow); il punteggio canary calibrato di Shadow è invece invertito lì (AUC 0.21–0.32), ricondotto a un pavimento condiviso di errore di ricostruzione tra il suo shadow model e il target model a questa scala di modello piuttosto che a una memorizzazione insufficiente (§6.2) — una limitazione della calibrazione di quell'attacco sotto questo specifico disegno di controllo positivo, non del risultato nullo sottostante.</w:t>
      </w:r>
    </w:p>
    <w:p>
      <w:pPr>
        <w:pStyle w:val="ListParagraph"/>
        <w:numPr>
          <w:ilvl w:val="0"/>
          <w:numId w:val="1"/>
        </w:numPr>
        <w:spacing w:after="90"/>
      </w:pPr>
      <w:r>
        <w:t xml:space="preserve">La composizione attraverso i round FL è naive (ε_totale = ε_per_round × round), non Rényi DP (RDP) o zCDP — un divario reale: Jayaraman ed Evans [15] mostrano che la composizione naive richiede 50× il budget che serve a RDP per un'utilità equivalente su un compito comparabile (§2), quindi il nostro ε multi-round riportato è un limite superiore conservativo (largo), non una garanzia stretta. Questo non influisce sulle misurazioni MIA in sé, che sono empiriche e indipendenti dal limite di composizione usato per dichiarare il budget teorico. Abbiamo inoltre implementato il limite di composizione avanzata in forma chiusa (Dwork e Roth [6], Teorema 3.20) e lo abbiamo calcolato per ogni esperimento già completato (epsilon_cumulative_advanced, scripts/compute_advanced_composition.py): ai T=10 round usati in tutta questa campagna, non è mai più stretto del limite naive sopra — la composizione avanzata è un miglioramento asintotico large-round/small-ε che richiede molti più round di quanti ne usiamo (analiticamente: ≥29 round a ε=0.1, ≥187 a ε=0.5, e mai a ε=1.0, poiché ε ≥ ln(2)≈0.693 esclude qualunque crossover a un numero finito di round). Un accountant RDP specifico per il meccanismo Gaussiano resta la via più promettente verso un numero più stretto e non è implementato — lavoro futuro. 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§3.5)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Riportiamo qui un pezzo della nostra stessa storia progettuale perché rafforza, invece di indebolire, questa lettura. La scelta di 50 epoche locali per round (§5) fu deliberata, e documentata come tale all'epoca nei commenti di configurazione di questo progetto: l'obiettivo di design dichiarato era spingere il modello verso l'overfitting sui dati locali, sul ragionamento che un'affermazione DP-vs-membership-inference del tipo "la DP riduce l'AUC da X a 0.5" richiede prima di dimostrare X &gt; 0.5 senza DP. Quell'obiettivo non è mai stato raggiunto: X è rimasto a 0.5 in ogni configurazione lanciata, con o senza DP, nell'intera campagna a 5 seed (§7) e in ogni asse della nostra validazione a cinque assi (§6.1), inclusi assi che hanno spinto le epoche locali fino a 1000 e la capacità del modello di 3,3×. Riportiamo questo non come un esperimento fallito ma come l'evidenza più forte in questo paper che il risultato nullo è una proprietà dell'architettura e del regime di dati, non di un test sottodimensionato: abbiamo provato, per iscritto, a far perdere segnale al modello, prima ancora di testare se la DP lo avrebbe fermato.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val="false"/>
          <w:iCs w:val="false"/>
        </w:rPr>
        <w:t xml:space="preserve">[16] M. A. Rahman, T. Rahman, R. Laganière, N. Mohammed, and Y. Wang, "Membership Inference Attack against Differentially Private Deep Learning Model," Transactions on Data Privacy, vol. 11, no. 1, pp. 61–79, 2018.</w:t>
      </w:r>
    </w:p>
    <w:p>
      <w:pPr>
        <w:spacing w:after="160"/>
        <w:jc w:val="both"/>
      </w:pPr>
      <w:r>
        <w:rPr>
          <w:b w:val="false"/>
          <w:bCs w:val="false"/>
          <w:i w:val="false"/>
          <w:iCs w:val="false"/>
        </w:rPr>
        <w:t xml:space="preserve">[17] M. Jagielski, J. Ullman, and A. Oprea, "Auditing Differentially Private Machine Learning: How Private is Private SGD?," NeurIPS, 2020.</w:t>
      </w:r>
    </w:p>
    <w:p>
      <w:pPr>
        <w:spacing w:after="160"/>
        <w:jc w:val="both"/>
      </w:pPr>
      <w:r>
        <w:rPr>
          <w:b w:val="false"/>
          <w:bCs w:val="false"/>
          <w:i w:val="false"/>
          <w:iCs w:val="false"/>
        </w:rPr>
        <w:t xml:space="preserve">[18] M. Nasr, S. Song, A. Thakurta, N. Papernot, and N. Carlini, "Adversary Instantiation: Lower Bounds for Differentially Private Machine Learning," IEEE S&amp;P, 2021.</w:t>
      </w:r>
    </w:p>
    <w:p>
      <w:pPr>
        <w:spacing w:after="160"/>
        <w:jc w:val="both"/>
      </w:pPr>
      <w:r>
        <w:rPr>
          <w:b w:val="false"/>
          <w:bCs w:val="false"/>
          <w:i w:val="false"/>
          <w:iCs w:val="false"/>
        </w:rPr>
        <w:t xml:space="preserve">[19] T. Steinke, M. Nasr, and M. Jagielski, "Privacy Auditing with One (1) Training Run," NeurIPS, 2023.</w:t>
      </w:r>
    </w:p>
    <w:p>
      <w:pPr>
        <w:spacing w:after="160"/>
        <w:jc w:val="both"/>
      </w:pPr>
      <w:r>
        <w:rPr>
          <w:b w:val="false"/>
          <w:bCs w:val="false"/>
          <w:i w:val="false"/>
          <w:iCs w:val="false"/>
        </w:rPr>
        <w:t xml:space="preserve">[20] S. Maddock, A. Sablayrolles, and P. Stock, "CANIFE: Crafting Canaries for Empirical Privacy Measurement in Federated Learning," ICLR, 2023.</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