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three attacks spanning two independent observation surfaces — the aggregated global model (Yeom, Shadow) and each client’s individual per-round update (LiRA),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Empirical auditing of differential privacy (§3.3) via three adversary-instantiated attacks of increasing strength and a single-run, federated-specific canary positive control, explicitly related to and scoped against the adversary-instantiation [16,17], one-run auditing [18], and federated-canary [19] literature.</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three-attack suite spanning two independent observation surfaces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most granular of our three attacks — the only one that observes a specific client’s per-round update rather than the aggregated global model —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three attacks spanning two independent observation surfaces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A distinct, more recent line of work treats empirical DP auditing itself as the object of study rather than a one-off measurement. Jagielski et al. [16] audit DP-SGD via data-poisoning canaries inserted before training, deriving empirical lower bounds on ε from how reliably an adversary distinguishes a poisoned model from a clean one; Nasr et al. [17] generalize this into “adversary instantiation” — replacing the abstract worst-case DP game with a concretely instantiated membership-inference adversary run against a real trained model, exactly the role our Yeom/Shadow/LiRA suite plays in this paper (§3.3); and Steinke et al. [18] show that auditing can be done from a single training run rather than the hundreds of independent IN/OUT runs classical audits require, by inserting many independent canaries together and exploiting their independence directly rather than via group privacy. In the federated setting specifically, Maddock et al.’s CANIFE [19] crafts per-round, gradient-orthogonal canaries under a strong adversary with access to intermediate client updates, converting a per-round separation measure into an RDP-composed (ε,δ) bound. Our own canary positive control (§3.3, §6.2) sits in the same family — single training run, multiple inserted canary groups, federated client boundaries — but is deliberately weaker and narrower in scope than any of [16]–[19]: it uses naturally-occurring duplicated records rather than optimized adversarial inputs, and it reports a detection-sensitivity check (can the harness detect an amplified real leak at all) rather than a formal empirical ε lower bound. We declare this gap explicitly in §3.3 and §9 rather than overstate what our canaries establish.</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three-attack suite spanning two independent observation surfaces,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spacing w:after="160"/>
        <w:jc w:val="both"/>
      </w:pPr>
      <w:r>
        <w:rPr>
          <w:b w:val="false"/>
          <w:bCs w:val="false"/>
          <w:i w:val="false"/>
          <w:iCs w:val="false"/>
        </w:rPr>
        <w:t xml:space="preserve">Two terms in this section could easily be conflated, so we fix them once here: “budget auditing” refers to the Privacy Auditor (§3.2), an online, runtime component that tracks DP budget consumption and flags threshold-based anomalies as training happens; “empirical privacy auditing” refers to the offline suite of adversary-instantiated attacks (Yeom, Shadow, LiRA — §3.3) that measures, after training, what a concrete adversary actually extracts from the same round data. The two are architecturally independent and answer different questions — one tracks a promise, the other measures what was actually extracted — and every subsequent use of “auditor”/“auditing” in this paper follows this distinction.</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Empirical Auditing of Differential Privacy</w:t>
      </w:r>
    </w:p>
    <w:p>
      <w:pPr>
        <w:spacing w:after="160"/>
        <w:jc w:val="both"/>
      </w:pPr>
      <w:r>
        <w:rPr>
          <w:b w:val="false"/>
          <w:bCs w:val="false"/>
          <w:i w:val="false"/>
          <w:iCs w:val="false"/>
        </w:rPr>
        <w:t xml:space="preserve">Differential privacy’s (ε,δ) guarantee bounds worst-case leakage over every possible adversary and neighboring dataset; it does not by itself say what a concrete, realistic adversary actually extracts from one specific trained model. A distinct methodology — empirically instantiating one or more concrete membership-inference adversaries against a real model and measuring what they achieve, rather than reasoning about the DP game in the abstract — is what Jagielski et al. [16] and Nasr et al. [17] call adversary instantiation. This is precisely the role Yeom, Shadow, and LiRA (§3.6) play in this paper: three adversary instantiations of increasing strength — a raw-loss threshold, a single calibrated shadow model, and an ensemble likelihood-ratio test — run offline against real per-round training data (§5–§7), entirely separate from the Privacy Auditor’s (§3.2) online budget accounting. We keep this distinction terminologically explicit because the DP-auditing literature’s own use of “auditor” [16–18] refers to this adversary/measurement role, not to our Privacy Auditor component: the Privacy Auditor computes what the DP mechanism promises; Yeom/Shadow/LiRA measure what an instantiated adversary actually extracts. We use “empirical auditing of differential privacy” for this section’s methodology throughout, reserving “the Privacy Auditor” exclusively for the defensive telemetry subsystem of §3.2.</w:t>
      </w:r>
    </w:p>
    <w:p>
      <w:pPr>
        <w:spacing w:after="160"/>
        <w:jc w:val="both"/>
      </w:pPr>
      <w:r>
        <w:rPr>
          <w:b w:val="false"/>
          <w:bCs w:val="false"/>
          <w:i w:val="false"/>
          <w:iCs w:val="false"/>
        </w:rPr>
        <w:t xml:space="preserve">Running these attacks after training rather than inside the server process does not by itself weaken what the measurement can support, provided three conditions hold — each worth declaring explicitly, since this is the first thing a reviewer will scrutinize about an offline analysis of this kind. First, causality: the attack scored at round t uses only artifacts from rounds ≤ t. In our implementation, shadow models are warm-started from that same round's own global weights (§3.6) and the composed score accumulates forward across rounds, never backward — true by construction of the round loop, but worth stating rather than left for a reader to infer from the code. Second, informational confinement: the attack uses only what the server legitimately receives — member/non-member labels are used by the evaluator to compute AUC-ROC after scoring, never by the attacker to produce the scores themselves. This is standard practice in the MIA literature, but is worth stating explicitly here precisely because the attacker/evaluator separation is no longer visually obvious once the attack runs after the fact rather than inline. Third, dump fidelity: on the NVFLARE deployment path, the pickle ChargeShieldAggregator exports after each round contains exactly what the aggregator held in memory, with no loss or rounding — a condition specific to that path, since the single-process simulation never serializes round_data to begin with; it is passed in memory to the same attack code within the same process. With these three conditions declared and verified, offline evaluation is not merely a defensible compromise but has two properties worth claiming rather than excusing. Reproducibility: the round_data artifact — in-memory for the simulation, the pickle dump for NVFLARE — can be re-attacked by anyone with a different attack than ours, which artifact evaluation rewards directly. Non-interference: running an attack inside the aggregator's own aggregation step would perturb its timing and memory footprint, and on NVFLARE potentially the aggregation itself; keeping the measurement offline guarantees it cannot alter what it measures. The one claim offline evaluation cannot support is any runtime detection of privacy risk as training happens — which is consistent with, not a limitation of, this architecture: the only component that ever operates online is the Privacy Auditor (§3.2), and it performs budget accounting, not attack.</w:t>
      </w:r>
    </w:p>
    <w:p>
      <w:pPr>
        <w:spacing w:after="160"/>
        <w:jc w:val="both"/>
      </w:pPr>
      <w:r>
        <w:rPr>
          <w:b w:val="false"/>
          <w:bCs w:val="false"/>
          <w:i w:val="false"/>
          <w:iCs w:val="false"/>
        </w:rPr>
        <w:t xml:space="preserve">Classical empirical DP audits, like classical MIA evaluations, typically require training many independent models under paired IN/OUT hypotheses to obtain a distribution of a test statistic — a cost that is prohibitive for cross-silo FL on real, multi-hour training runs (§5) at the scale this project can repeat within its deadline. Steinke et al. [18] address exactly this cost, showing that a single training run, seeded with many independent canaries whose inclusion/exclusion is guessed individually, yields a valid empirical lower bound on ε via a direct independence argument rather than group privacy — hundreds of models are no longer required. Our canary positive control (§6.2) is single-run in the same practical sense: one training run per configuration, five canary groups inserted together rather than sequentially. We stop short, however, of Steinke et al.’s actual contribution: we do not derive a numerical (ε,δ) lower bound from the canary scores. We use them only as a binary sensitivity check — whether the attack harness detects an artificially amplified, known real leak at all (canary AUC-ROC/advantage vs. the non-canary population) — which is the question §6.2 and §9 already report answers to. Extending this single-run canary design into a formal empirical ε lower bound in the style of [18] is future work, not a claim this paper makes.</w:t>
      </w:r>
    </w:p>
    <w:p>
      <w:pPr>
        <w:spacing w:after="160"/>
        <w:jc w:val="both"/>
      </w:pPr>
      <w:r>
        <w:rPr>
          <w:b w:val="false"/>
          <w:bCs w:val="false"/>
          <w:i w:val="false"/>
          <w:iCs w:val="false"/>
        </w:rPr>
        <w:t xml:space="preserve">A canary injected into one federated client’s local training set must additionally survive that client’s local optimizer, the FedAvg aggregation step, and — for LiRA specifically — shadow-model calibration, without leaking across the cluster boundary that defines which client it belongs to. inject_canaries() (§6.2) resolves this via each session’s real site_id rather than list position, and a dedicated atomic-group sampling guard keeps every duplicate of a canary group together whenever shadow-training subsets are resampled, so a canary group is never silently split between a shadow model’s IN and OUT partitions. Maddock et al.’s CANIFE [19] is the closest prior FL-specific canary construction: it crafts adversarial, gradient-orthogonal canary inputs adaptively every round, under a strong adversary that observes intermediate client updates, and composes a per-round separation measure into an RDP-based (ε,δ) bound across the whole run. Our canaries are constructed far more simply and are declared as such: real, unmodified charging sessions from the target site, duplicated at a controlled multiplicity computed to match a reference site’s per-record amplification (§6.2), injected once before training rather than adaptively per round, and scored only as a positive-control detection rate rather than an RDP-composable measure. This answers a narrower question than CANIFE’s or [18]’s — can this attack harness detect a real, deliberately amplified leak in this federated setting at all — which is what this paper needs to interpret its near-null results elsewhere (§7, §9) as an absent risk rather than an insensitive measurement tool, not what the tightest empirical ε this deployment leaks would be, which we leave to future work.</w:t>
      </w:r>
    </w:p>
    <w:p>
      <w:pPr>
        <w:pStyle w:val="Heading2"/>
        <w:spacing w:after="120" w:before="220"/>
      </w:pPr>
      <w:r>
        <w:t xml:space="preserve">3.4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3.5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spacing w:after="160"/>
        <w:jc w:val="both"/>
      </w:pPr>
      <w:r>
        <w:rPr>
          <w:b w:val="false"/>
          <w:bCs w:val="false"/>
          <w:i w:val="false"/>
          <w:iCs w:val="false"/>
        </w:rPr>
        <w:t xml:space="preserve">Read this way, the three placements are not three independent privacy mechanisms but three points of adversary privilege along the same per-client update's transformation pipeline: dp-fedavg observes it raw, before any clipping or noising; central observes it after client-side clipping but before any noise; local observes only the final clipped-and-noised value — never the raw or intermediate one, not even transiently. Under this reading, dp-fedavg is not one privacy mechanism among three that happens to provide no protection: it is the ceiling of what is extractable from this channel at all, under the most privileged view our architecture ever grants an aggregator. Should that ceiling itself show no detectable membership signal (§7), the same null result under the two protective placements, central and local, cannot be attributed to DP noise suppressing a signal that was otherwise present — the unprotected, raw view would already have contained none to suppress. This is also the point at which the ML Plane substrate (§3.1) is load-bearing for the experiment, not merely infrastructure: its event stream — local update produced, update privatized, round aggregated — is exactly what makes these three levels of aggregator privilege separately observable and separately attackable in the first place.</w:t>
      </w:r>
    </w:p>
    <w:p>
      <w:pPr>
        <w:spacing w:after="160"/>
        <w:jc w:val="both"/>
      </w:pPr>
      <w:r>
        <w:rPr>
          <w:b w:val="false"/>
          <w:bCs w:val="false"/>
          <w:i w:val="false"/>
          <w:iCs w:val="false"/>
        </w:rPr>
        <w:t xml:space="preserve">A further caveat applies specifically to how ε should be read in this paper. The formal (ε,δ)-DP guarantee for a clip-and-noise mechanism holds cleanly when each client contributes one gradient step per round (as in DP-SGD); our clients instead run local_epochs=50 local optimizer steps per round before their update is clipped and noised once. At the client-level granularity these placements are calibrated to (the unit McMahan et al. protect, per §3.5 above), this does not weaken the guarantee: the clip bounds the per-round contribution of the whole client regardless of how many local steps produced it. We flag it nonetheless because it is easy to conflate with the record-level question this paper actually asks (whether LiRA can detect a single session): the 50-epoch local training regime described in §5 is what gives the model the opportunity to memorize a single session in the first place, and ε here is best read as an experimental noise parameter calibrated to the client-level unit, not as a formal per-record privacy budget.</w:t>
      </w:r>
    </w:p>
    <w:p>
      <w:pPr>
        <w:pStyle w:val="Heading2"/>
        <w:spacing w:after="120" w:before="220"/>
      </w:pPr>
      <w:r>
        <w:t xml:space="preserve">3.6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LiRA's own parametric assumption that the shadow loss distribution is approximately Gaussian under both the IN and OUT hypotheses. We measured this assumption's fit on our own data rather than leaving it unexamined (no-DP baseline, seed 42, n_shadow=16, ~13,000 pooled member/non-member scores): on raw MSE it is violated by six orders of magnitude (Jarque-Bera rejects normality by a factor of ~2.7-4.1 million at α=0.05 for members/non-members respectively; skewness 10.3/11.4, excess kurtosis 172/211); a log-transformed variant (_lira_log_score, implemented but not promoted to this paper's primary metric) reduces the violation by four to five orders of magnitude (rejects by a factor of ~61-79) without eliminating it.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In the historical debugging run that motivated this filter it excluded 2.37% of samples; in the 5-seed×10-configuration campaign §7 reports, it excludes exactly 0.0000% of samples in all ten configurations — the shared variance floor described in §9 compresses z-scores enough that the 8σ threshold is essentially never reached at this campaign's scale, so we report this safeguard as dormant in the numbers below rather than implying it is actively filtering data there. (All LiRA results in this paper use n_shadow=16 shadow models per cluster per round; the code's own default, used only when a config omits the value, is 8.)</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either handled by a separate consumer of the same ML Plane substrate and validated independently (Scenario 2, §4.2) or genuinely out of scope (Scenarios 3–4), reported as such and never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 2 (a different consumer, not out of scope) and Scenarios 3–4 (out of scope)</w:t>
      </w:r>
    </w:p>
    <w:p>
      <w:pPr>
        <w:spacing w:after="160"/>
        <w:jc w:val="both"/>
      </w:pPr>
      <w:r>
        <w:rPr>
          <w:b w:val="false"/>
          <w:bCs w:val="false"/>
          <w:i w:val="false"/>
          <w:iCs w:val="false"/>
        </w:rPr>
        <w:t xml:space="preserve">Scenario 2 (a malicious FL client) is not simply out of scope: as §3.4 argues, the ML Plane substrate has two consumers with orthogonal threat models over the same observability layer — the Privacy Auditor (confidentiality, Scenario 1, the subject of this paper’s results) and ByzantineDetector (integrity, Scenario 2). Scenario 2 belongs to that other consumer, is validated separately from the privacy claims in this paper, and is not conflated with Scenario 1 in our results. As of this submission, ByzantineDetector’s Krum/cosine-similarity/CUSUM mechanisms are implemented and unit-tested but have not yet been exercised end-to-end against an active Byzantine client on real FL training data — a gap we disclose explicitly rather than imply coverage we have not measured. Scenario 3 (compromised network gateway) and Scenario 4 (external passive eavesdropper, defeated by transport-layer security) remain genuinely out of scope: neither is an ML Plane consumer, and both are conventional network-security concerns orthogonal to Scenarios 1 and 2 alike.</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suite across two observation surfaces: Yeom [1a] (loss-based) and a calibrated Shadow-Model attack [1] both observe only the aggregated global model — from this vantage point, a positive detection can conclude only that some session, somewhere in the federation, was a training member, never which client trained on it. LiRA [2] (likelihood-ratio) instead observes a specific client's individual per-round update as actually submitted for aggregation — a strictly more privileged vantage point, since it requires the aggregator to inspect a named client's contribution rather than the pooled result, and a positive detection would attribute membership to that specific operator. These are not three points on one scale of attack strength: they are two independent observation surfaces testing two different claims, and LiRA is the primary attack this paper reports results under because it is the one that matches the aggregator's actual privilege in our threat model (§4.1), not because it subsumes the other two.</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0.5363</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recorded as the working criterion for detectable memorization in our internal test roadmap (docs/TestRoadmap_DSN2027.md, 2026-08-27) — a working document, not a formally pre-registered analysis plan. Each of the five axis configurations reflects a single seed (42), 3-round run rather than the 5-seed×10-round protocol used for the main campaign in §7, so these figures should be read as a coarse sensitivity screen, not as estimates with the same statistical footing as Table 2.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independently-sampled held-out sessions from the same site serving as non-members — ordinary holdout sessions, not copies of the duplicated templates. Unlike the main campaign in §7, every canary run reported in this section is a single seed (42), 3-round run with no cross-seed replication; we report exact per-round AUCs rather than bootstrap intervals for that reason.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recon.-loss AUC — run A (n=146 mem., 19 non-mem.)</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 run B (n=120 mem., 20 non-mem.)</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two rows above come from two separate single-seed runs of the same protocol rather than one shared run, so they should not be read as a before/after comparison on identical canaries: run A additionally reports a calibrated LiRA AUC of 0.4863 / 0.6265 / 0.4250 (composed 0.5534), and run B reports a raw reconstruction-loss AUC of 0.6625 / 0.85 / 0.8375 — both broadly consistent with the table's figures, but we show the stronger single realization of each metric rather than averaging across runs we did not design to be pooled. Site coverage for the raw-loss signal is uneven, contrary to an earlier draft of this section that described it as holding at every site tested: at Office 1, raw reconstruction loss cleanly separates canary members from non-members in every round (as in the table). At Caltech, the same protocol produces an AUC of 0.3710 / 0.3805 / 0.4236 — inverted, below chance, not qualitatively similar separation. At JPL, raw-loss AUC is 0.4737 / 0.4632 / 0.4947 — at chance. The raw-loss positive control therefore succeeds unambiguously only at Office 1 among the three sites; we do not yet have an explanation for the sign flip at Caltech and report it as an open question rather than omit it. The calibrated LiRA score is more nuanced still. After fixing a shadow-sampling contamination bug (duplicate canary copies could previously fragment across a single shadow's IN/OUT split, diluting the differential signal LiRA's calibration relies on), calibrated LiRA on the Office 1 canaries (run B, ≈11% of that client's training set) detects the canary consistently across all three rounds (0.6375 / 0.6625 / 0.5875, composed 0.6875), above the 0.60 working threshold used in §6.1 — though, as elsewhere in this section, this is a single-seed/3-round result, not replicated across seeds. It remains systematically weaker than the raw-loss signal, which we attribute to a separate, still-open limitation: LiRA's Gaussian calibration operates at its per-shadow variance floor in 96–99% of cases in this run rather than on genuine per-shadow variance (§3.6, §9). Replicating the identical protocol at Caltech and JPL — where aggregate duplicate density is far lower (≈0.5% of local training data, since both clients have larger local datasets than Office 1) — does not reproduce the calibrated-LiRA signal (Caltech composed AUC 0.42–0.50; JPL composed AUC 0.5368). We attempted to isolate density from site by re-running the canary insertion at Caltech with aggregate duplicate density matched to Office 1's (≈10% of local training data, n_templates=84, n_duplicates=30): calibrated LiRA still failed to detect the canary (AUC 0.46–0.53, near or below chance). We had read this as evidence that duplicate density alone does not explain the Office 1/Caltech gap, but on closer inspection the two configurations do not match on the variable that plausibly drives memorization: Office 1 duplicates each of 5 templates 30× into a ≈1,680-session pool (≈2.0% per-record amplification), while the density-matched Caltech configuration duplicates each of 84 templates 30× into a ≈25,123-session pool (≈0.12% per-record amplification) — a 17× difference in per-record amplification despite matched aggregate density. Aggregate density and per-record amplification are not the same quantity, and the experiment as run confounds them; the Caltech result above should therefore be read as inconclusive on the density question, not as evidence against it. A cleaner test would hold n_templates=5 fixed (as at Office 1) and raise n_duplicates at Caltech until per-record amplification, rather than aggregate density, matches Office 1's; we did not have time to run this before submission and flag it as the natural next experiment. In every case this is a property of LiRA's calibration under an artificial near-duplicate-record design; natural EV sessions in our dataset are never literal duplicates of one another, so none of this extends to, or undermines, the null result in §7.</w:t>
      </w:r>
    </w:p>
    <w:p>
      <w:pPr>
        <w:spacing w:after="160"/>
        <w:jc w:val="both"/>
      </w:pPr>
      <w:r>
        <w:rPr>
          <w:b w:val="false"/>
          <w:bCs w:val="false"/>
          <w:i w:val="false"/>
          <w:iCs w:val="false"/>
        </w:rPr>
        <w:t xml:space="preserve">Blocker 2 (2026-09-15) extended this positive control to the other two attacks used throughout the paper, Yeom and Shadow, on the same Office 1 protocol (no-DP, seed 42, 3 rounds) — addressing a reviewer-relevant gap: a null result reported across three attacks is only as strong as the weakest attack's demonstrated ability to detect a real leak. Yeom — which reads raw reconstruction loss under the aggregated global model directly, with no shadow calibration — detects the canary as strongly as the raw-loss row above (AUC 0.70 / 0.86 / 0.86 across the three rounds), confirming that duplication-induced memorization is visible from the global-model observation surface as well as from LiRA's per-client view. Shadow's calibrated score (shadow-model loss minus target-model loss) is instead inverted (AUC 0.21–0.32 across three independent runs of this diagnosis, including after closing a template-tagging gap in the canary injection itself, discussed below), and per-canary-group diagnostics (mean calibrated score per template) rule out sampling variance as the cause: all five templates are consistently below the non-member average in every round. Since Yeom's absolute target-model loss on the same canaries — read from the identical trained model — is confirmed low, insufficient memorization cannot explain the inversion; the more likely cause is that both the shadow and target models, on this small (570-parameter, six-feature) architecture, converge close to a shared reconstruction-error floor for in-distribution Office 1 sessions, so the shadow-minus-target difference for the five templates is dominated by each template's idiosyncratic reconstruction difficulty rather than by membership. We report this as an open limitation specific to Shadow's calibration under this artificial small-template design, not as evidence against Shadow's role in the main campaign's null result (§7), where it reports raw AUC values unaffected by this analysis. A related fix was applied during this investigation: the real session chosen as each canary template was, until fixed, left untagged in the training pool alongside its 30 tagged duplicates — invisible to the guard that excludes canary sessions from Shadow's own shadow-model training split. Tagging it closed a genuine isolation gap (it also affects LiRA's shadow-universe sampling, discussed above) and lowered LiRA's composed canary AUC slightly, from 0.6875 to 0.66, without changing the qualitative result.</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Two of the three DP placements — dp-fedavg and local — report identical composed LiRA AUCs at every ε in Table 2 above; this is not a coincidence or a reporting error. Both apply the same per-client mechanism (gradient clipping followed by noise addition, before submission to the aggregator) and differ only in whether the clipped-and-noised update is additionally exposed to the on-path intrusion-detection subsystem (local) or not (dp-fedavg) — a distinction invisible to an attacker, such as LiRA here, that only ever observes the submitted update itself. Central differs from both by adding noise once, after aggregation, rather than once per client before it, which is why it alone produces different LiRA numbers. Counted by distinct mechanism rather than by configuration label, Table 2 therefore reports seven independent DP conditions — {dp-fedavg, central} × ε ∈ {1.0, 0.5, 0.1}, plus the no-DP baseline — not ten: the three “local” rows are identical by construction to their “dp-fedavg” counterparts and do not add independent statistical evidence, so any claim of uniformity “across DP placement” should be read as holding across these seven conditions, not across ten nominally distinct ones.</w:t>
      </w:r>
    </w:p>
    <w:p>
      <w:pPr>
        <w:spacing w:after="160"/>
        <w:jc w:val="both"/>
      </w:pPr>
      <w:r>
        <w:rPr>
          <w:b w:val="false"/>
          <w:bCs w:val="false"/>
          <w:i w:val="false"/>
          <w:iCs w:val="false"/>
        </w:rPr>
        <w:t xml:space="preserve">Table 2 above reports LiRA only. Yeom (2018) and Shadow MIA attack a different observation surface — the aggregated global model, from which a positive result could only mean that some session was a training member somewhere in the federation, never that a specific client trained on it, the granularity LiRA alone can reach (§5) — run in every configuration alongside LiRA, and show the same pattern: across all ten nominal configurations, both attacks’ mean AUC-ROC (5 seeds, per-round average — neither attack has a “composed” cross-round statistic analogous to LiRA’s) stays within bootstrap-CI distance of chance, with no exception. Because the two surfaces are independent rather than nested, this is not three redundant readings of the same measurement: a null on the aggregate-model surface does not follow logically from a null on the per-client-update surface, or vice versa. Two independent surfaces both returning null is accordingly a broader claim than either alone — no detectable leakage from an attacker who can only see the pooled result, and none from an attacker privileged enough to see one client's individual contribution.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w:t>
            </w:r>
          </w:p>
        </w:tc>
        <w:tc>
          <w:tcPr>
            <w:tcW w:type="dxa" w:w="2400"/>
            <w:shd w:fill="F2F2F2" w:val="clear"/>
          </w:tcPr>
          <w:p>
            <w:r>
              <w:rPr>
                <w:sz w:val="18"/>
                <w:szCs w:val="18"/>
              </w:rPr>
              <w:t xml:space="preserve">Yeom mean AUC (95% CI)</w:t>
            </w:r>
          </w:p>
        </w:tc>
        <w:tc>
          <w:tcPr>
            <w:tcW w:type="dxa" w:w="2400"/>
            <w:shd w:fill="F2F2F2" w:val="clear"/>
          </w:tcPr>
          <w:p>
            <w:r>
              <w:rPr>
                <w:sz w:val="18"/>
                <w:szCs w:val="18"/>
              </w:rPr>
              <w:t xml:space="preserve">Shadow mean AUC (95% CI)</w:t>
            </w:r>
          </w:p>
        </w:tc>
        <w:tc>
          <w:tcPr>
            <w:tcW w:type="dxa" w:w="2150"/>
            <w:shd w:fill="F2F2F2" w:val="clear"/>
          </w:tcPr>
          <w:p>
            <w:r>
              <w:rPr>
                <w:sz w:val="18"/>
                <w:szCs w:val="18"/>
              </w:rPr>
              <w:t xml:space="preserve">Both CIs contain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[0.4978, 0.5007]</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[0.4987,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Yes</w:t>
            </w:r>
          </w:p>
        </w:tc>
      </w:tr>
    </w:tbl>
    <w:p>
      <w:pPr>
        <w:spacing w:after="160"/>
        <w:jc w:val="both"/>
      </w:pPr>
      <w:r>
        <w:rPr>
          <w:b w:val="false"/>
          <w:bCs w:val="false"/>
          <w:i w:val="false"/>
          <w:iCs w:val="false"/>
        </w:rPr>
        <w:t xml:space="preserve">A two-sided Wilcoxon test at n=5 seeds cannot reach p&lt;0.05 for any configuration regardless of the data (the exact sign-test floor of 2×(1/32)=0.0625 is documented in check_significance.py and applies to Wilcoxon's power at this sample size too), so “failed to reject the null” in Table 2 is not by itself evidence of equivalence to chance. We therefore additionally tested for statistical equivalence using the two one-sided tests (TOST) procedure (Schuirmann, 1987), via the confidence-interval-inclusion method: a configuration is declared equivalent to AUC=0.5 at margin 0.02 and α=0.05 when its bootstrap 90% CI falls entirely within [0.48, 0.52]. All 10 configurations in Table 2 satisfy this criterion (e.g. central, ε=0.1: 95% CI [0.5001, 0.5038] from the table above, 90% CI used for TOST falls within [0.48, 0.52]) — a materially stronger and more honest claim than “not significant,” and the more appropriate one given the sample size.</w:t>
      </w:r>
    </w:p>
    <w:p>
      <w:pPr>
        <w:spacing w:after="160"/>
        <w:jc w:val="both"/>
      </w:pPr>
      <w:r>
        <w:rPr>
          <w:b w:val="false"/>
          <w:bCs w:val="false"/>
          <w:i w:val="false"/>
          <w:iCs w:val="false"/>
        </w:rPr>
        <w:t xml:space="preserve">Table 2's null result should be read alongside the model's utility under each configuration, since a defence that also destroys the signal an attack would need is a different finding than a defence that preserves utility while blocking the attack. mean_loss is the mean reconstruction loss of the FL global model in the final training round, averaged over the same 5 seeds and de-duplicated the same way as Table 2 (scripts/check_significance.py, per_round[last_round]["fl"]["mean_loss"]).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w:t>
            </w:r>
          </w:p>
        </w:tc>
        <w:tc>
          <w:tcPr>
            <w:tcW w:type="dxa" w:w="3000"/>
            <w:shd w:fill="F2F2F2" w:val="clear"/>
          </w:tcPr>
          <w:p>
            <w:r>
              <w:rPr>
                <w:sz w:val="18"/>
                <w:szCs w:val="18"/>
              </w:rPr>
              <w:t xml:space="preserve">Mean mean_loss (final round, 5 seed)</w:t>
            </w:r>
          </w:p>
        </w:tc>
        <w:tc>
          <w:tcPr>
            <w:tcW w:type="dxa" w:w="3000"/>
            <w:shd w:fill="F2F2F2" w:val="clear"/>
          </w:tcPr>
          <w:p>
            <w:r>
              <w:rPr>
                <w:sz w:val="18"/>
                <w:szCs w:val="18"/>
              </w:rPr>
              <w:t xml:space="preserve">U_cost vs no-DP baseline</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Every DP configuration increases mean reconstruction loss by roughly 240–290× over the no-DP baseline (0.0017), regardless of placement or ε, and is close to a non-functional model in absolute terms. This is a confound for the null result above: with a 570-parameter model and per-weight noise σ ranging from 4.84 (ε=1.0) to 48.4 (ε=0.1) (§3.5), it is plausible the model retains too little of the training signal for any attack — not just LiRA — to detect membership, rather than DP specifically neutralizing an attack that would otherwise succeed. The no-DP baseline in Table 2 (also indistinguishable from chance) is the strongest evidence against this alternative explanation: it shows the architecture itself does not memorize enough for LiRA to detect membership even with no noise at all, so the DP configurations' null results are not solely an artifact of utility destruction. We nonetheless report U_cost explicitly, rather than only the AUC null result, so this confound remains visible rather than implicit.</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la nota del 2026-09-08 sopra descrive i numeri della Tabella 2 come “DEFINITIVI”; questo non e' piu' accurato alla luce di tre correzioni successive documentate in questa sezione e in §3.6/§6: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 I numeri stessi di Tabella 2 restano quelli descritti nella nota del 2026-09-08; e' la parola “DEFINITIVI” che va ora intesa come “definitivi rispetto ai bug allora noti”, non rispetto a tutte le verifiche successive.</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(§3.5):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clearly only at Office 1 (AUC 0.70–0.90) and does not replicate at Caltech (AUC 0.35–0.44 at matched aggressiveness, 0.37–0.42 at matched aggregate density) or JPL (AUC 0.46–0.49); the calibrated LiRA score likewise detects it reliably only at Office 1 (composed AUC 0.66, after fixing two shadow-sampling contamination bugs),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 Yeom independently confirms harness sensitivity at Office 1 (canary AUC 0.70–0.86, reading raw target-model loss with no shadow calibration); Shadow's calibrated canary score is instead inverted there (AUC 0.21–0.32), traced to a shared reconstruction-error floor between its shadow and target models at this model scale rather than to insufficient memorization (§6.2) — a limitation of that attack's calibration under this specific positive-control design, not of the underlying null result.</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§3.5)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We surface one piece of our own design history here because it strengthens, rather than undermines, this reading. The choice of 50 local epochs per round (§5) was made deliberately, and documented as such at the time in this project's own configuration comments: the explicit design goal was to push the model into overfitting on local data, on the reasoning that a DP-vs-membership-inference claim of the form "DP reduces AUC from X to 0.5" first requires demonstrating X &gt; 0.5 without DP. That goal was never reached: X stayed at 0.5 in every configuration we ran, DP or no DP, across the full 5-seed campaign (§7) and every escalation axis in our five-axis validation (§6.1), including axes that pushed local epochs to 1000 and model capacity up 3.3×. We report this not as a failed experiment but as the strongest evidence in this paper that the null result is a property of the architecture and data regime, not of an under-powered test: we tried, on the record, to make the model leak, before ever testing whether DP would stop it.</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160"/>
        <w:jc w:val="left"/>
      </w:pPr>
      <w:r>
        <w:rPr>
          <w:b w:val="false"/>
          <w:bCs w:val="false"/>
          <w:i w:val="false"/>
          <w:iCs w:val="false"/>
        </w:rPr>
        <w:t xml:space="preserve">[16] M. Jagielski, J. Ullman, and A. Oprea, "Auditing Differentially Private Machine Learning: How Private is Private SGD?," NeurIPS, 2020.</w:t>
      </w:r>
    </w:p>
    <w:p>
      <w:pPr>
        <w:spacing w:after="160"/>
        <w:jc w:val="left"/>
      </w:pPr>
      <w:r>
        <w:rPr>
          <w:b w:val="false"/>
          <w:bCs w:val="false"/>
          <w:i w:val="false"/>
          <w:iCs w:val="false"/>
        </w:rPr>
        <w:t xml:space="preserve">[17] M. Nasr, S. Song, A. Thakurta, N. Papernot, and N. Carlini, "Adversary Instantiation: Lower Bounds for Differentially Private Machine Learning," IEEE S&amp;P, 2021.</w:t>
      </w:r>
    </w:p>
    <w:p>
      <w:pPr>
        <w:spacing w:after="160"/>
        <w:jc w:val="left"/>
      </w:pPr>
      <w:r>
        <w:rPr>
          <w:b w:val="false"/>
          <w:bCs w:val="false"/>
          <w:i w:val="false"/>
          <w:iCs w:val="false"/>
        </w:rPr>
        <w:t xml:space="preserve">[18] T. Steinke, M. Nasr, and M. Jagielski, "Privacy Auditing with One (1) Training Run," NeurIPS, 2023.</w:t>
      </w:r>
    </w:p>
    <w:p>
      <w:pPr>
        <w:spacing w:after="160"/>
        <w:jc w:val="left"/>
      </w:pPr>
      <w:r>
        <w:rPr>
          <w:b w:val="false"/>
          <w:bCs w:val="false"/>
          <w:i w:val="false"/>
          <w:iCs w:val="false"/>
        </w:rPr>
        <w:t xml:space="preserve">[19] S. Maddock, A. Sablayrolles, and P. Stock, "CANIFE: Crafting Canaries for Empirical Privacy Measurement in Federated Learning," ICLR, 2023.</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