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three attacks spanning two independent observation surfaces — the aggregated global model (Yeom, Shadow) and each client’s individual per-round update (LiRA), in both simulation and a genuine multi-container NVFLARE/Containerlab deployment. Across every tested DP configuration, including no DP, we find no LiRA-detectable membership signal (composed AUC-ROC 0.4975–0.5024 across 10 configurations, 5 seeds each; 9 of 10 95% bootstrap CIs contain 0.5, the tenth — central, ε=0.1 — excludes it by a narrow margin without reaching Wilcoxon significance;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three-attack suite spanning two independent observation surfaces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most granular of our three attacks — the only one that observes a specific client’s per-round update rather than the aggregated global model —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three attacks spanning two independent observation surfaces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three-attack suite spanning two independent observation surfaces,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spacing w:after="160"/>
        <w:jc w:val="both"/>
      </w:pPr>
      <w:r>
        <w:rPr>
          <w:b w:val="false"/>
          <w:bCs w:val="false"/>
          <w:i w:val="false"/>
          <w:iCs w:val="false"/>
        </w:rPr>
        <w:t xml:space="preserve">Read this way, the three placements are not three independent privacy mechanisms but three points of adversary privilege along the same per-client update's transformation pipeline: dp-fedavg observes it raw, before any clipping or noising; central observes it after client-side clipping but before any noise; local observes only the final clipped-and-noised value — never the raw or intermediate one, not even transiently. Under this reading, dp-fedavg is not one privacy mechanism among three that happens to provide no protection: it is the ceiling of what is extractable from this channel at all, under the most privileged view our architecture ever grants an aggregator. Should that ceiling itself show no detectable membership signal (§7), the same null result under the two protective placements, central and local, cannot be attributed to DP noise suppressing a signal that was otherwise present — the unprotected, raw view would already have contained none to suppress. This is also the point at which the ML Plane substrate (§3.1) is load-bearing for the experiment, not merely infrastructure: its event stream — local update produced, update privatized, round aggregated — is exactly what makes these three levels of aggregator privilege separately observable and separately attackable in the first place.</w:t>
      </w:r>
    </w:p>
    <w:p>
      <w:pPr>
        <w:spacing w:after="160"/>
        <w:jc w:val="both"/>
      </w:pPr>
      <w:r>
        <w:rPr>
          <w:b w:val="false"/>
          <w:bCs w:val="false"/>
          <w:i w:val="false"/>
          <w:iCs w:val="false"/>
        </w:rPr>
        <w:t xml:space="preserve">A further caveat applies specifically to how ε should be read in this paper. The formal (ε,δ)-DP guarantee for a clip-and-noise mechanism holds cleanly when each client contributes one gradient step per round (as in DP-SGD); our clients instead run local_epochs=50 local optimizer steps per round before their update is clipped and noised once. At the client-level granularity these placements are calibrated to (the unit McMahan et al. protect, per §3.4 above), this does not weaken the guarantee: the clip bounds the per-round contribution of the whole client regardless of how many local steps produced it. We flag it nonetheless because it is easy to conflate with the record-level question this paper actually asks (whether LiRA can detect a single session): the 50-epoch local training regime described in §5 is what gives the model the opportunity to memorize a single session in the first place, and ε here is best read as an experimental noise parameter calibrated to the client-level unit, not as a formal per-record privacy budget.</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LiRA's own parametric assumption that the shadow loss distribution is approximately Gaussian under both the IN and OUT hypotheses. We measured this assumption's fit on our own data rather than leaving it unexamined (no-DP baseline, seed 42, n_shadow=16, ~13,000 pooled member/non-member scores): on raw MSE it is violated by six orders of magnitude (Jarque-Bera rejects normality by a factor of ~2.7-4.1 million at α=0.05 for members/non-members respectively; skewness 10.3/11.4, excess kurtosis 172/211); a log-transformed variant (_lira_log_score, implemented but not promoted to this paper's primary metric) reduces the violation by four to five orders of magnitude (rejects by a factor of ~61-79) without eliminating it.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In the historical debugging run that motivated this filter it excluded 2.37% of samples; in the 5-seed×10-configuration campaign §7 reports, it excludes exactly 0.0000% of samples in all ten configurations — the shared variance floor described in §9 compresses z-scores enough that the 8σ threshold is essentially never reached at this campaign's scale, so we report this safeguard as dormant in the numbers below rather than implying it is actively filtering data there. (All LiRA results in this paper use n_shadow=16 shadow models per cluster per round; the code's own default, used only when a config omits the value, is 8.)</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either handled by a separate consumer of the same ML Plane substrate and validated independently (Scenario 2, §4.2) or genuinely out of scope (Scenarios 3–4), reported as such and never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 2 (a different consumer, not out of scope) and Scenarios 3–4 (out of scope)</w:t>
      </w:r>
    </w:p>
    <w:p>
      <w:pPr>
        <w:spacing w:after="160"/>
        <w:jc w:val="both"/>
      </w:pPr>
      <w:r>
        <w:rPr>
          <w:b w:val="false"/>
          <w:bCs w:val="false"/>
          <w:i w:val="false"/>
          <w:iCs w:val="false"/>
        </w:rPr>
        <w:t xml:space="preserve">Scenario 2 (a malicious FL client) is not simply out of scope: as §3.3 argues, the ML Plane substrate has two consumers with orthogonal threat models over the same observability layer — the Privacy Auditor (confidentiality, Scenario 1, the subject of this paper’s results) and ByzantineDetector (integrity, Scenario 2). Scenario 2 belongs to that other consumer, is validated separately from the privacy claims in this paper, and is not conflated with Scenario 1 in our results. As of this submission, ByzantineDetector’s Krum/cosine-similarity/CUSUM mechanisms are implemented and unit-tested but have not yet been exercised end-to-end against an active Byzantine client on real FL training data — a gap we disclose explicitly rather than imply coverage we have not measured. Scenario 3 (compromised network gateway) and Scenario 4 (external passive eavesdropper, defeated by transport-layer security) remain genuinely out of scope: neither is an ML Plane consumer, and both are conventional network-security concerns orthogonal to Scenarios 1 and 2 alike.</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suite across two observation surfaces: Yeom [1a] (loss-based) and a calibrated Shadow-Model attack [1] both observe only the aggregated global model — from this vantage point, a positive detection can conclude only that some session, somewhere in the federation, was a training member, never which client trained on it. LiRA [2] (likelihood-ratio) instead observes a specific client's individual per-round update as actually submitted for aggregation — a strictly more privileged vantage point, since it requires the aggregator to inspect a named client's contribution rather than the pooled result, and a positive detection would attribute membership to that specific operator. These are not three points on one scale of attack strength: they are two independent observation surfaces testing two different claims, and LiRA is the primary attack this paper reports results under because it is the one that matches the aggregator's actual privilege in our threat model (§4.1), not because it subsumes the other two.</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0.5363</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recorded as the working criterion for detectable memorization in our internal test roadmap (docs/TestRoadmap_DSN2027.md, 2026-08-27) — a working document, not a formally pre-registered analysis plan. Each of the five axis configurations reflects a single seed (42), 3-round run rather than the 5-seed×10-round protocol used for the main campaign in §7, so these figures should be read as a coarse sensitivity screen, not as estimates with the same statistical footing as Table 2.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independently-sampled held-out sessions from the same site serving as non-members — ordinary holdout sessions, not copies of the duplicated templates. Unlike the main campaign in §7, every canary run reported in this section is a single seed (42), 3-round run with no cross-seed replication; we report exact per-round AUCs rather than bootstrap intervals for that reason.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recon.-loss AUC — run A (n=146 mem., 19 non-mem.)</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 run B (n=120 mem., 20 non-mem.)</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two rows above come from two separate single-seed runs of the same protocol rather than one shared run, so they should not be read as a before/after comparison on identical canaries: run A additionally reports a calibrated LiRA AUC of 0.4863 / 0.6265 / 0.4250 (composed 0.5534), and run B reports a raw reconstruction-loss AUC of 0.6625 / 0.85 / 0.8375 — both broadly consistent with the table's figures, but we show the stronger single realization of each metric rather than averaging across runs we did not design to be pooled. Site coverage for the raw-loss signal is uneven, contrary to an earlier draft of this section that described it as holding at every site tested: at Office 1, raw reconstruction loss cleanly separates canary members from non-members in every round (as in the table). At Caltech, the same protocol produces an AUC of 0.3710 / 0.3805 / 0.4236 — inverted, below chance, not qualitatively similar separation. At JPL, raw-loss AUC is 0.4737 / 0.4632 / 0.4947 — at chance. The raw-loss positive control therefore succeeds unambiguously only at Office 1 among the three sites; we do not yet have an explanation for the sign flip at Caltech and report it as an open question rather than omit it. The calibrated LiRA score is more nuanced still. After fixing a shadow-sampling contamination bug (duplicate canary copies could previously fragment across a single shadow's IN/OUT split, diluting the differential signal LiRA's calibration relies on), calibrated LiRA on the Office 1 canaries (run B, ≈11% of that client's training set) detects the canary consistently across all three rounds (0.6375 / 0.6625 / 0.5875, composed 0.6875), above the 0.60 working threshold used in §6.1 — though, as elsewhere in this section, this is a single-seed/3-round result, not replicated across seeds. It remains systematically weaker than the raw-loss signal, which we attribute to a separate, still-open limitation: LiRA's Gaussian calibration operates at its per-shadow variance floor in 96–99% of cases in this run rather than on genuine per-shadow variance (§3.5, §9). Replicating the identical protocol at Caltech and JPL — where aggregate duplicate density is far lower (≈0.5% of local training data, since both clients have larger local datasets than Office 1) — does not reproduce the calibrated-LiRA signal (Caltech composed AUC 0.42–0.50; JPL composed AUC 0.5368). We attempted to isolate density from site by re-running the canary insertion at Caltech with aggregate duplicate density matched to Office 1's (≈10% of local training data, n_templates=84, n_duplicates=30): calibrated LiRA still failed to detect the canary (AUC 0.46–0.53, near or below chance). We had read this as evidence that duplicate density alone does not explain the Office 1/Caltech gap, but on closer inspection the two configurations do not match on the variable that plausibly drives memorization: Office 1 duplicates each of 5 templates 30× into a ≈1,680-session pool (≈2.0% per-record amplification), while the density-matched Caltech configuration duplicates each of 84 templates 30× into a ≈25,123-session pool (≈0.12% per-record amplification) — a 17× difference in per-record amplification despite matched aggregate density. Aggregate density and per-record amplification are not the same quantity, and the experiment as run confounds them; the Caltech result above should therefore be read as inconclusive on the density question, not as evidence against it. A cleaner test would hold n_templates=5 fixed (as at Office 1) and raise n_duplicates at Caltech until per-record amplification, rather than aggregate density, matches Office 1's; we did not have time to run this before submission and flag it as the natural next experiment.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0.5004 (σ=0.0030)</w:t>
            </w:r>
          </w:p>
        </w:tc>
        <w:tc>
          <w:tcPr>
            <w:tcW w:type="dxa" w:w="2340"/>
            <w:shd w:fill="F2F2F2" w:val="clear"/>
          </w:tcPr>
          <w:p>
            <w:r>
              <w:rPr>
                <w:sz w:val="18"/>
                <w:szCs w:val="18"/>
              </w:rPr>
              <w:t xml:space="preserve">[0.4977, 0.5025]</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0.5024 (σ=0.0049)</w:t>
            </w:r>
          </w:p>
        </w:tc>
        <w:tc>
          <w:tcPr>
            <w:tcW w:type="dxa" w:w="2340"/>
            <w:shd w:fill="F2F2F2" w:val="clear"/>
          </w:tcPr>
          <w:p>
            <w:r>
              <w:rPr>
                <w:sz w:val="18"/>
                <w:szCs w:val="18"/>
              </w:rPr>
              <w:t xml:space="preserve">[0.4987, 0.5062]</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0.5003 (σ=0.0032)</w:t>
            </w:r>
          </w:p>
        </w:tc>
        <w:tc>
          <w:tcPr>
            <w:tcW w:type="dxa" w:w="2340"/>
            <w:shd w:fill="F2F2F2" w:val="clear"/>
          </w:tcPr>
          <w:p>
            <w:r>
              <w:rPr>
                <w:sz w:val="18"/>
                <w:szCs w:val="18"/>
              </w:rPr>
              <w:t xml:space="preserve">[0.4977, 0.5026]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0.5020 (σ=0.0024)</w:t>
            </w:r>
          </w:p>
        </w:tc>
        <w:tc>
          <w:tcPr>
            <w:tcW w:type="dxa" w:w="2340"/>
            <w:shd w:fill="F2F2F2" w:val="clear"/>
          </w:tcPr>
          <w:p>
            <w:r>
              <w:rPr>
                <w:sz w:val="18"/>
                <w:szCs w:val="18"/>
              </w:rPr>
              <w:t xml:space="preserve">[0.5001, 0.5038]</w:t>
            </w:r>
          </w:p>
        </w:tc>
        <w:tc>
          <w:tcPr>
            <w:tcW w:type="dxa" w:w="2800"/>
            <w:shd w:fill="F2F2F2" w:val="clear"/>
          </w:tcPr>
          <w:p>
            <w:r>
              <w:rPr>
                <w:sz w:val="18"/>
                <w:szCs w:val="18"/>
              </w:rPr>
              <w:t xml:space="preserve">0.1875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bl>
    <w:p>
      <w:pPr>
        <w:spacing w:after="160"/>
      </w:pPr>
    </w:p>
    <w:p>
      <w:pPr>
        <w:spacing w:after="160"/>
        <w:jc w:val="both"/>
      </w:pPr>
      <w:r>
        <w:rPr>
          <w:b w:val="false"/>
          <w:bCs w:val="false"/>
          <w:i w:val="false"/>
          <w:iCs w:val="false"/>
        </w:rPr>
        <w:t xml:space="preserve">9 of the 10 configurations' 95% bootstrap CI contains 0.5, and no mean deviates from 0.5 by more than 0.0025 in absolute terms — still well over an order of magnitude tighter than the 0.60 positive-control threshold used in the sanity check (§6). The sole exception is central, ε=0.1, whose CI ([0.5001, 0.5038]) excludes 0.5 by a narrow margin; this is not Wilcoxon-significant (p=0.1875, the same n=5 floor discussed below) and its mean (0.5020) remains more than an order of magnitude below the 0.60 threshold, so we do not read it as evidence of a real DP-dependent leakage signal, but flag it explicitly rather than average it away.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Two of the three DP placements — dp-fedavg and local — report identical composed LiRA AUCs at every ε in Table 2 above; this is not a coincidence or a reporting error. Both apply the same per-client mechanism (gradient clipping followed by noise addition, before submission to the aggregator) and differ only in whether the clipped-and-noised update is additionally exposed to the on-path intrusion-detection subsystem (local) or not (dp-fedavg) — a distinction invisible to an attacker, such as LiRA here, that only ever observes the submitted update itself. Central differs from both by adding noise once, after aggregation, rather than once per client before it, which is why it alone produces different LiRA numbers. Counted by distinct mechanism rather than by configuration label, Table 2 therefore reports seven independent DP conditions — {dp-fedavg, central} × ε ∈ {1.0, 0.5, 0.1}, plus the no-DP baseline — not ten: the three “local” rows are identical by construction to their “dp-fedavg” counterparts and do not add independent statistical evidence, so any claim of uniformity “across DP placement” should be read as holding across these seven conditions, not across ten nominally distinct ones.</w:t>
      </w:r>
    </w:p>
    <w:p>
      <w:pPr>
        <w:spacing w:after="160"/>
        <w:jc w:val="both"/>
      </w:pPr>
      <w:r>
        <w:rPr>
          <w:b w:val="false"/>
          <w:bCs w:val="false"/>
          <w:i w:val="false"/>
          <w:iCs w:val="false"/>
        </w:rPr>
        <w:t xml:space="preserve">Table 2 above reports LiRA only. Yeom (2018) and Shadow MIA attack a different observation surface — the aggregated global model, from which a positive result could only mean that some session was a training member somewhere in the federation, never that a specific client trained on it, the granularity LiRA alone can reach (§5) — run in every configuration alongside LiRA, and show the same pattern: across all ten nominal configurations, both attacks’ mean AUC-ROC (5 seeds, per-round average — neither attack has a “composed” cross-round statistic analogous to LiRA’s) stays within bootstrap-CI distance of chance, with no exception. Because the two surfaces are independent rather than nested, this is not three redundant readings of the same measurement: a null on the aggregate-model surface does not follow logically from a null on the per-client-update surface, or vice versa. Two independent surfaces both returning null is accordingly a broader claim than either alone — no detectable leakage from an attacker who can only see the pooled result, and none from an attacker privileged enough to see one client's individual contribution.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w:t>
            </w:r>
          </w:p>
        </w:tc>
        <w:tc>
          <w:tcPr>
            <w:tcW w:type="dxa" w:w="2400"/>
            <w:shd w:fill="F2F2F2" w:val="clear"/>
          </w:tcPr>
          <w:p>
            <w:r>
              <w:rPr>
                <w:sz w:val="18"/>
                <w:szCs w:val="18"/>
              </w:rPr>
              <w:t xml:space="preserve">Yeom mean AUC (95% CI)</w:t>
            </w:r>
          </w:p>
        </w:tc>
        <w:tc>
          <w:tcPr>
            <w:tcW w:type="dxa" w:w="2400"/>
            <w:shd w:fill="F2F2F2" w:val="clear"/>
          </w:tcPr>
          <w:p>
            <w:r>
              <w:rPr>
                <w:sz w:val="18"/>
                <w:szCs w:val="18"/>
              </w:rPr>
              <w:t xml:space="preserve">Shadow mean AUC (95% CI)</w:t>
            </w:r>
          </w:p>
        </w:tc>
        <w:tc>
          <w:tcPr>
            <w:tcW w:type="dxa" w:w="2150"/>
            <w:shd w:fill="F2F2F2" w:val="clear"/>
          </w:tcPr>
          <w:p>
            <w:r>
              <w:rPr>
                <w:sz w:val="18"/>
                <w:szCs w:val="18"/>
              </w:rPr>
              <w:t xml:space="preserve">Both CIs contain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[0.4978, 0.5007]</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[0.4987,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Yes</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Yes</w:t>
            </w:r>
          </w:p>
        </w:tc>
      </w:tr>
    </w:tbl>
    <w:p>
      <w:pPr>
        <w:spacing w:after="160"/>
        <w:jc w:val="both"/>
      </w:pPr>
      <w:r>
        <w:rPr>
          <w:b w:val="false"/>
          <w:bCs w:val="false"/>
          <w:i w:val="false"/>
          <w:iCs w:val="false"/>
        </w:rPr>
        <w:t xml:space="preserve">A two-sided Wilcoxon test at n=5 seeds cannot reach p&lt;0.05 for any configuration regardless of the data (the exact sign-test floor of 2×(1/32)=0.0625 is documented in check_significance.py and applies to Wilcoxon's power at this sample size too), so “failed to reject the null” in Table 2 is not by itself evidence of equivalence to chance. We therefore additionally tested for statistical equivalence using the two one-sided tests (TOST) procedure (Schuirmann, 1987), via the confidence-interval-inclusion method: a configuration is declared equivalent to AUC=0.5 at margin 0.02 and α=0.05 when its bootstrap 90% CI falls entirely within [0.48, 0.52]. All 10 configurations in Table 2 satisfy this criterion (e.g. central, ε=0.1: 95% CI [0.5001, 0.5038] from the table above, 90% CI used for TOST falls within [0.48, 0.52]) — a materially stronger and more honest claim than “not significant,” and the more appropriate one given the sample size.</w:t>
      </w:r>
    </w:p>
    <w:p>
      <w:pPr>
        <w:spacing w:after="160"/>
        <w:jc w:val="both"/>
      </w:pPr>
      <w:r>
        <w:rPr>
          <w:b w:val="false"/>
          <w:bCs w:val="false"/>
          <w:i w:val="false"/>
          <w:iCs w:val="false"/>
        </w:rPr>
        <w:t xml:space="preserve">Table 2's null result should be read alongside the model's utility under each configuration, since a defence that also destroys the signal an attack would need is a different finding than a defence that preserves utility while blocking the attack. mean_loss is the mean reconstruction loss of the FL global model in the final training round, averaged over the same 5 seeds and de-duplicated the same way as Table 2 (scripts/check_significance.py, per_round[last_round]["fl"]["mean_loss"]).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w:t>
            </w:r>
          </w:p>
        </w:tc>
        <w:tc>
          <w:tcPr>
            <w:tcW w:type="dxa" w:w="3000"/>
            <w:shd w:fill="F2F2F2" w:val="clear"/>
          </w:tcPr>
          <w:p>
            <w:r>
              <w:rPr>
                <w:sz w:val="18"/>
                <w:szCs w:val="18"/>
              </w:rPr>
              <w:t xml:space="preserve">Mean mean_loss (final round, 5 seed)</w:t>
            </w:r>
          </w:p>
        </w:tc>
        <w:tc>
          <w:tcPr>
            <w:tcW w:type="dxa" w:w="3000"/>
            <w:shd w:fill="F2F2F2" w:val="clear"/>
          </w:tcPr>
          <w:p>
            <w:r>
              <w:rPr>
                <w:sz w:val="18"/>
                <w:szCs w:val="18"/>
              </w:rPr>
              <w:t xml:space="preserve">U_cost vs no-DP baseline</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Every DP configuration increases mean reconstruction loss by roughly 240–290× over the no-DP baseline (0.0017), regardless of placement or ε, and is close to a non-functional model in absolute terms. This is a confound for the null result above: with a 570-parameter model and per-weight noise σ ranging from 4.84 (ε=1.0) to 48.4 (ε=0.1) (§3.4), it is plausible the model retains too little of the training signal for any attack — not just LiRA — to detect membership, rather than DP specifically neutralizing an attack that would otherwise succeed. The no-DP baseline in Table 2 (also indistinguishable from chance) is the strongest evidence against this alternative explanation: it shows the architecture itself does not memorize enough for LiRA to detect membership even with no noise at all, so the DP configurations' null results are not solely an artifact of utility destruction. We nonetheless report U_cost explicitly, rather than only the AUC null result, so this confound remains visible rather than implicit.</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la nota del 2026-09-08 sopra descrive i numeri della Tabella 2 come “DEFINITIVI”; questo non e' piu' accurato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 I numeri stessi di Tabella 2 restano quelli descritti nella nota del 2026-09-08; e' la parola “DEFINITIVI” che va ora intesa come “definitivi rispetto ai bug allora noti”, non rispetto a tutte le verifiche successive.</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0.5006 / 0.5056 / 0.5042 / 0.5063 (seeds 123 / 456 / 789 / 1234, post-fix; plus one pre-fix baseline seed 42, excluded from this average). local: composed LiRA AUC per seed 0.4977 / 0.5002 / 0.4963 / 0.5032 / 0.5021 (seeds 42 / 123 / 456 / 789 / 1234), 95% bootstrap CI [0.4976, 0.5022] — contains 0.5. central's mean (0.5042, n=4, 95% CI [0.5019, 0.5059]) sits further from 0.5 than the single-process simulation equivalent and, at this smaller n, its CI excludes 0.5; we do not read this as a genuine DP-placement effect — it remains two orders of magnitude below the 0.60 positive-control threshold, and n=4 is too small to draw a firm conclusion either way — but we flag it rather than describe both placements as simply “consistent.”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We surface one piece of our own design history here because it strengthens, rather than undermines, this reading. The choice of 50 local epochs per round (§5) was made deliberately, and documented as such at the time in this project's own configuration comments: the explicit design goal was to push the model into overfitting on local data, on the reasoning that a DP-vs-membership-inference claim of the form "DP reduces AUC from X to 0.5" first requires demonstrating X &gt; 0.5 without DP. That goal was never reached: X stayed at 0.5 in every configuration we ran, DP or no DP, across the full 5-seed campaign (§7) and every escalation axis in our five-axis validation (§6.1), including axes that pushed local epochs to 1000 and model capacity up 3.3×. We report this not as a failed experiment but as the strongest evidence in this paper that the null result is a property of the architecture and data regime, not of an under-powered test: we tried, on the record, to make the model leak, before ever testing whether DP would stop it.</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