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tre attacchi che coprono due superfici di osservazione indipendenti — il modello globale aggregato (Yeom, Shadow) e l'aggiornamento per-round individuale di ogni client (LiRA) —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tre attacchi su due superfici di osservazione indipendenti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granulare dei nostri tre attacchi — l'unico che osserva l'aggiornamento per-round di un client specifico invece del modello globale aggregato —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tre attacchi su due superfici di osservazione indipendenti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tre attacchi su due superfici di osservazione indipendenti, incluso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spacing w:after="160"/>
        <w:jc w:val="both"/>
      </w:pPr>
      <w:r>
        <w:rPr>
          <w:b w:val="false"/>
          <w:bCs w:val="false"/>
          <w:i w:val="false"/>
          <w:iCs w:val="false"/>
        </w:rPr>
        <w:t xml:space="preserve">Letta così, le tre collocazioni non sono tre meccanismi di privacy indipendenti ma tre punti di privilegio dell'avversario lungo la stessa pipeline di trasformazione dell'aggiornamento di un client: dp-fedavg lo osserva grezzo, prima di qualunque clipping o rumore; central lo osserva dopo il clipping lato client ma prima di qualunque rumore; local osserva solo il valore finale clippato e rumorizzato — mai quello grezzo o intermedio, nemmeno transitoriamente. Letto in questo modo, dp-fedavg non è un meccanismo di privacy tra tre che per caso non offre protezione: è il limite superiore di ciò che è estraibile da questo canale, sotto la vista più privilegiata che la nostra architettura concede mai a un aggregatore. Se quel limite superiore stesso non mostra alcun segnale di appartenenza rilevabile (§7), lo stesso risultato nullo sotto le due collocazioni protettive, central e local, non può essere attribuito al rumore DP che sopprime un segnale altrimenti presente — la vista grezza e non protetta non ne avrebbe già contenuto alcuno da sopprimere. Questo è anche il punto in cui il substrato ML Plane (§3.1) sostiene davvero l'esperimento, non è solo infrastruttura: il suo flusso di eventi — aggiornamento locale prodotto, aggiornamento privatizzato, round aggregato — è esattamente ciò che rende questi tre livelli di privilegio dell'aggregatore separatamente osservabili e separatamente attaccabili.</w:t>
      </w:r>
    </w:p>
    <w:p>
      <w:pPr>
        <w:spacing w:after="160"/>
        <w:jc w:val="both"/>
      </w:pPr>
      <w:r>
        <w:rPr>
          <w:b w:val="false"/>
          <w:bCs w:val="false"/>
          <w:i w:val="false"/>
          <w:iCs w:val="false"/>
        </w:rPr>
        <w:t xml:space="preserve">Un'ulteriore avvertenza riguarda specificamente come ε vada letto in questo paper. La garanzia formale (ε,δ)-DP per un meccanismo clip-and-noise vale in modo pulito quando ogni client contribuisce un solo passo di gradiente per round (come in DP-SGD); i nostri client eseguono invece local_epochs=50 passi di ottimizzazione locale per round prima che il loro aggiornamento venga clippato e rumorizzato una sola volta. Alla granularità client-level a cui queste collocazioni sono calibrate (l'unità che McMahan et al. proteggono, vedi §3.4 sopra), questo non indebolisce la garanzia: il clip vincola il contributo per-round dell'intero client indipendentemente da quanti passi locali lo abbiano prodotto. Lo segnaliamo comunque perché è facile confonderlo con la domanda a livello di record che questo paper pone davvero (se LiRA riesca a rilevare una singola sessione): il regime di training a 50 epoche locali descritto in §5 è ciò che dà al modello l'opportunità di memorizzare una singola sessione in primo luogo, e ε qui va letto come parametro di rumore sperimentale calibrato all'unità client-level, non come un budget di privacy formale per-record.</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l'assunzione parametrica propria di LiRA che la distribuzione della loss shadow sia approssimativamente Gaussiana sotto entrambe le ipotesi IN e OUT. Abbiamo misurato l'aderenza reale di questa assunzione sui nostri dati invece di lasciarla inesaminata (baseline no-DP, seed 42, n_shadow=16, ~13.000 punteggi member/non-member aggregati): sul MSE grezzo è violata di sei ordini di grandezza (il test di Jarque-Bera rigetta la normalità con un fattore ~2,7-4,1 milioni ad α=0,05 per member/non-member rispettivamente; asimmetria 10,3/11,4, curtosi in eccesso 172/211); una variante log-trasformata (_lira_log_score, implementata ma non promossa a metrica primaria di questo paper) riduce la violazione di quattro-cinque ordini di grandezza (rigetta con un fattore ~61-79) senza eliminarla.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Nel run storico di debug che ha motivato questo filtro, escludeva il 2,37% dei campioni; nella campagna a 5 seed×10 configurazioni riportata in §7, esclude esattamente lo 0,0000% dei campioni in tutte e dieci le configurazioni — il floor di varianza condiviso descritto in §9 comprime gli z-score a sufficienza perché la soglia 8σ non venga praticamente mai raggiunta a questa scala di campagna, quindi riportiamo questa salvaguardia come inerte nei numeri sotto, non come attivamente filtrante. (Tutti i risultati LiRA in questo paper usano n_shadow=16 shadow model per cluster per round; il default del codice, usato solo quando un config omette il valore, è 8.)</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gestito da un consumatore separato dello stesso substrato ML Plane e validato indipendentemente (Scenario 2, §4.2), oppure è davvero fuori ambito (Scenari 3–4); in entrambi i casi riportato come tale, mai assunto silenziosamente.</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Scenario 2 (un consumatore diverso, non fuori ambito) e Scenari 3–4 (fuori ambito)</w:t>
      </w:r>
    </w:p>
    <w:p>
      <w:pPr>
        <w:spacing w:after="160"/>
        <w:jc w:val="both"/>
      </w:pPr>
      <w:r>
        <w:rPr>
          <w:b w:val="false"/>
          <w:bCs w:val="false"/>
          <w:i w:val="false"/>
          <w:iCs w:val="false"/>
        </w:rPr>
        <w:t xml:space="preserve">Lo Scenario 2 (un client FL malevolo) non è semplicemente fuori ambito: come argomenta il §3.3, il substrato ML Plane ha due consumatori con modelli di minaccia ortogonali sullo stesso livello di osservabilità — il Privacy Auditor (confidenzialità, Scenario 1, oggetto dei risultati di questo paper) e ByzantineDetector (integrità, Scenario 2). Lo Scenario 2 appartiene a quell’altro consumatore, è validato separatamente dalle affermazioni sulla privacy di questo paper, e non è confuso con lo Scenario 1 nei nostri risultati. Alla data di questa submission, i meccanismi Krum/cosine-similarity/CUSUM di ByzantineDetector sono implementati e testati a livello unitario ma non sono ancora stati esercitati end-to-end contro un client Byzantine attivo su dati di training FL reali — un limite che dichiariamo esplicitamente invece di lasciar intendere una copertura che non abbiamo misurato. Lo Scenario 3 (gateway di rete compromesso) e lo Scenario 4 (intercettatore passivo esterno, sconfitto dalla sicurezza a livello di trasporto) restano davvero fuori ambito: nessuno dei due è un consumatore dell’ML Plane, ed entrambi sono questioni di sicurezza di rete convenzionali, ortogonali sia allo Scenario 1 che allo Scenario 2.</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Attacchi su due superfici di osservazione: Yeom [1a] (basato sulla loss) e un attacco Shadow-Model calibrato [1] osservano entrambi solo il modello globale aggregato — da questo punto di vista, una rilevazione positiva può concludere solo che qualche sessione, da qualche parte nella federazione, era un membro del training, mai quale client l'ha addestrata. LiRA [2] (likelihood-ratio) osserva invece l'aggiornamento per-round di un client specifico così come effettivamente sottomesso per l'aggregazione — un punto di vista strettamente più privilegiato, perché richiede che l'aggregatore ispezioni il contributo di un client nominato invece del risultato aggregato, e una rilevazione positiva attribuirebbe l'appartenenza a quello specifico operatore. Non sono tre punti su un'unica scala di forza dell'attacco: sono due superfici di osservazione indipendenti che verificano due affermazioni diverse, e LiRA è l'attacco primario sotto cui questo paper riporta i risultati perché è quello che corrisponde al privilegio reale dell'aggregatore nel nostro modello di minaccia (§4.1), non perché include gli altri due.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0.5363</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registrata come criterio di lavoro per la memorizzazione rilevabile nella nostra roadmap di test interna (docs/TestRoadmap_DSN2027.md, 2026-08-27) — un documento di lavoro, non un piano di analisi formalmente pre-registrato. Ciascuna delle cinque configurazioni d'asse riflette un singolo run a seed (42) fisso e 3 round, non il protocollo a 5 seed×10 round usato per la campagna principale in §7, quindi questi valori vanno letti come uno screening grossolano di sensibilità, non come stime con lo stesso rigore statistico della Tabella 2.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campionate in modo indipendente dallo stesso sito come non-membri — sessioni holdout ordinarie, non copie dei template duplicati. A differenza della campagna principale in §7, ogni run canary riportato in questa sezione è un singolo run a seed (42) fisso e 3 round, senza replica cross-seed; per questo riportiamo gli AUC esatti per round invece di intervalli bootstrap.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recon.-loss — run A (n=146 mem., 19 non-mem.)</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 run B (n=120 mem., 20 non-mem.)</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Le due righe sopra provengono da due run separati, ciascuno a singolo seed, dello stesso protocollo, non da un unico run condiviso, e quindi non vanno lette come un confronto prima/dopo sugli stessi canary: il run A riporta inoltre un AUC LiRA calibrato di 0.4863 / 0.6265 / 0.4250 (composto 0.5534), e il run B riporta un AUC raw reconstruction-loss di 0.6625 / 0.85 / 0.8375 — entrambi ampiamente coerenti con i valori in tabella, ma mostriamo la realizzazione singola più forte di ciascuna metrica invece di mediare tra run che non erano stati progettati per essere aggregati. La copertura per sito del segnale raw-loss è disomogenea, contrariamente a una bozza precedente di questa sezione che la descriveva come valida in ogni sito testato: a Office 1, la loss di ricostruzione grezza separa nettamente i membri canary dai non-membri in ogni round (come in tabella). A Caltech, lo stesso protocollo produce un AUC di 0.3710 / 0.3805 / 0.4236 — invertito, sotto il caso, non una separazione qualitativamente simile. A JPL, l'AUC raw-loss è 0.4737 / 0.4632 / 0.4947 — al livello del caso. Il controllo positivo raw-loss riesce quindi inequivocabilmente solo a Office 1 tra i tre siti; non abbiamo ancora una spiegazione per l'inversione di segno a Caltech e la riportiamo come una domanda aperta invece di ometterla. Il punteggio LiRA calibrato è ancora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(run B, ≈11% del training set di quel client) rileva il canary in modo consistente in tutti e tre i round (0.6375 / 0.6625 / 0.5875, composto 0.6875), sopra la soglia di lavoro di 0.60 usata in §6.1 — sebbene, come altrove in questa sezione, si tratti di un risultato a singolo seed/3 round, non replicato tra seed. Resta sistematicamente più debole del segnale raw-loss, cosa che attribuiamo a un limite separato, ancora aperto: la calibrazione Gaussiana di LiRA opera al proprio floor di varianza per-shadow nel 96–99% dei casi in questo run, piuttosto che sulla vera varianza per-shadow (§3.5, §9). Replicare lo stesso identico protocollo a Caltech e JPL — dove la densità aggregata di duplicati è molto più bassa (≈0.5% dei dati di training locali, poiché entrambi i client hanno dataset locali più grandi di Office 1) — non riproduce il segnale LiRA calibrato (AUC composto Caltech 0.42–0.50; AUC composto JPL 0.5368). Abbiamo tentato di isolare la densità dal sito ripetendo l'inserimento del canary a Caltech con densità aggregata di duplicati equiparata a quella di Office 1 (≈10% dei dati di training locali, n_templates=84, n_duplicates=30): LiRA calibrato non è comunque riuscito a rilevare il canary (AUC 0.46–0.53, vicino o sotto il caso). Avevamo letto questo come evidenza che la densità di duplicati da sola non spiega il divario Office 1/Caltech, ma a un esame più attento le due configurazioni non sono equiparate sulla variabile che plausibilmente guida la memorizzazione: Office 1 duplica ciascuno di 5 template 30× in un pool di ≈1.680 sessioni (≈2.0% di amplificazione per-record), mentre la configurazione Caltech a densità equiparata duplica ciascuno di 84 template 30× in un pool di ≈25.123 sessioni (≈0.12% di amplificazione per-record) — una differenza di 17× nell'amplificazione per-record nonostante la densità aggregata equiparata. Densità aggregata e amplificazione per-record non sono la stessa grandezza, e l'esperimento come condotto le confonde; il risultato Caltech sopra va quindi letto come inconcludente sulla questione della densità, non come evidenza contro di essa. Un test più pulito manterrebbe n_templates=5 fisso (come a Office 1) e alzerebbe n_duplicates a Caltech finché l'amplificazione per-record, non la densità aggregata, eguaglia quella di Office 1; non abbiamo avuto tempo di eseguirlo prima della submission e lo segnaliamo come il naturale prossimo esperimento.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Due delle tre collocazioni DP — dp-fedavg e local — riportano AUC LiRA composti identici a ogni ε in Tabella 2 sopra; non è una coincidenza né un errore di reporting. Entrambe applicano lo stesso meccanismo per-client (clipping del gradiente seguito da aggiunta di rumore, prima della sottomissione all'aggregatore) e differiscono solo nel fatto che l'aggiornamento clippato e rumoroso sia anche esposto al sottosistema di intrusion-detection sul percorso (local) oppure no (dp-fedavg) — una distinzione invisibile a un attaccante, come LiRA qui, che osserva solo l'aggiornamento sottomesso. Central differisce da entrambe aggiungendo rumore una sola volta, dopo l'aggregazione, invece che una volta per client prima di essa, motivo per cui è l'unica a produrre numeri LiRA diversi. Contate per meccanismo distinto anziché per etichetta di configurazione, la Tabella 2 riporta quindi sette condizioni DP indipendenti — {dp-fedavg, central} × ε ∈ {1.0, 0.5, 0.1}, più la baseline no-DP — non dieci: le tre righe “local” sono identiche per costruzione alle corrispondenti “dp-fedavg” e non aggiungono evidenza statistica indipendente, quindi ogni affermazione di uniformità “attraverso la collocazione DP” va letta come valida su queste sette condizioni, non su dieci nominalmente distinte.</w:t>
      </w:r>
    </w:p>
    <w:p>
      <w:pPr>
        <w:spacing w:after="160"/>
        <w:jc w:val="both"/>
      </w:pPr>
      <w:r>
        <w:rPr>
          <w:b w:val="false"/>
          <w:bCs w:val="false"/>
          <w:i w:val="false"/>
          <w:iCs w:val="false"/>
        </w:rPr>
        <w:t xml:space="preserve">La Tabella 2 sopra riporta solo LiRA. Yeom (2018) e Shadow MIA attaccano una superficie di osservazione diversa — il modello globale aggregato, da cui un risultato positivo potrebbe significare solo che qualche sessione era un membro del training da qualche parte nella federazione, mai che un client specifico l'ha addestrata, la granularità che solo LiRA raggiunge (§5) — eseguiti in ogni configurazione insieme a LiRA, e mostrano lo stesso pattern: su tutte e dieci le configurazioni nominali, l’AUC-ROC medio di entrambi gli attacchi (5 seed, media per-round — nessuno dei due ha una statistica “composta” multi-round analoga a quella di LiRA) resta a distanza da caso entro l’IC bootstrap, senza eccezioni. Poiché le due superfici sono indipendenti e non annidate, queste non sono tre letture ridondanti della stessa misura: un nullo sulla superficie del modello aggregato non segue logicamente da un nullo sulla superficie dell'aggiornamento per-client, né viceversa. Due superfici indipendenti entrambe nulle sono di conseguenza un'affermazione più ampia di una sola: nessun leakage rilevabile da un attaccante che vede solo il risultato aggregato, e nessuno da un attaccante privilegiato abbastanza da vedere il contributo individuale di un client.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Configurazione</w:t>
            </w:r>
          </w:p>
        </w:tc>
        <w:tc>
          <w:tcPr>
            <w:tcW w:type="dxa" w:w="2400"/>
            <w:shd w:fill="F2F2F2" w:val="clear"/>
          </w:tcPr>
          <w:p>
            <w:r>
              <w:rPr>
                <w:sz w:val="18"/>
                <w:szCs w:val="18"/>
              </w:rPr>
              <w:t xml:space="preserve">AUC media Yeom (IC 95%)</w:t>
            </w:r>
          </w:p>
        </w:tc>
        <w:tc>
          <w:tcPr>
            <w:tcW w:type="dxa" w:w="2400"/>
            <w:shd w:fill="F2F2F2" w:val="clear"/>
          </w:tcPr>
          <w:p>
            <w:r>
              <w:rPr>
                <w:sz w:val="18"/>
                <w:szCs w:val="18"/>
              </w:rPr>
              <w:t xml:space="preserve">AUC media Shadow (IC 95%)</w:t>
            </w:r>
          </w:p>
        </w:tc>
        <w:tc>
          <w:tcPr>
            <w:tcW w:type="dxa" w:w="2150"/>
            <w:shd w:fill="F2F2F2" w:val="clear"/>
          </w:tcPr>
          <w:p>
            <w:r>
              <w:rPr>
                <w:sz w:val="18"/>
                <w:szCs w:val="18"/>
              </w:rPr>
              <w:t xml:space="preserve">Entrambi gli IC contengono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0.5013]</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[0.4988,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bl>
    <w:p>
      <w:pPr>
        <w:spacing w:after="160"/>
        <w:jc w:val="both"/>
      </w:pPr>
      <w:r>
        <w:rPr>
          <w:b w:val="false"/>
          <w:bCs w:val="false"/>
          <w:i w:val="false"/>
          <w:iCs w:val="false"/>
        </w:rPr>
        <w:t xml:space="preserve">Un test di Wilcoxon a due code con n=5 seed non può raggiungere p&lt;0.05 per nessuna configurazione indipendentemente dai dati (il limite esatto del sign-test, 2×(1/32)=0.0625, è documentato in check_significance.py e si applica anche alla potenza di Wilcoxon a questa numerosità campionaria), quindi “fallire nel rigettare il nulla” in Tabella 2 non è di per sé evidenza di equivalenza al caso. Abbiamo quindi testato anche l'equivalenza statistica usando la procedura dei due test a una coda (TOST) (Schuirmann, 1987), col metodo dell'inclusione dell'intervallo di confidenza: una configurazione è dichiarata equivalente ad AUC=0.5 al margine 0.02 e α=0.05 quando il suo IC bootstrap al 90% cade interamente entro [0.48, 0.52]. Tutte le 10 configurazioni in Tabella 2 soddisfano questo criterio (es. central, ε=0.1: IC 95% [0.5001, 0.5038] dalla tabella sopra, l'IC al 90% usato per il TOST cade entro [0.48, 0.52]) — una affermazione materialmente più forte e più onesta di “non significativo”, e la più appropriata data la numerosità campionaria.</w:t>
      </w:r>
    </w:p>
    <w:p>
      <w:pPr>
        <w:spacing w:after="160"/>
        <w:jc w:val="both"/>
      </w:pPr>
      <w:r>
        <w:rPr>
          <w:b w:val="false"/>
          <w:bCs w:val="false"/>
          <w:i w:val="false"/>
          <w:iCs w:val="false"/>
        </w:rPr>
        <w:t xml:space="preserve">Il risultato nullo di Tabella 2 va letto insieme all'utilità del modello in ciascuna configurazione, poiché una difesa che distrugge anche il segnale che un attacco dovrebbe sfruttare è un risultato diverso da una difesa che preserva l'utilità pur bloccando l'attacco. mean_loss è la loss di ricostruzione media del modello globale FL nell'ultimo round di training, mediata sugli stessi 5 seed e deduplicata nello stesso modo di Tabella 2 (scripts/check_significance.py, per_round[ultimo_round]["fl"]["mean_loss"]).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Configurazione</w:t>
            </w:r>
          </w:p>
        </w:tc>
        <w:tc>
          <w:tcPr>
            <w:tcW w:type="dxa" w:w="3000"/>
            <w:shd w:fill="F2F2F2" w:val="clear"/>
          </w:tcPr>
          <w:p>
            <w:r>
              <w:rPr>
                <w:sz w:val="18"/>
                <w:szCs w:val="18"/>
              </w:rPr>
              <w:t xml:space="preserve">mean_loss medio (ultimo round, 5 seed)</w:t>
            </w:r>
          </w:p>
        </w:tc>
        <w:tc>
          <w:tcPr>
            <w:tcW w:type="dxa" w:w="3000"/>
            <w:shd w:fill="F2F2F2" w:val="clear"/>
          </w:tcPr>
          <w:p>
            <w:r>
              <w:rPr>
                <w:sz w:val="18"/>
                <w:szCs w:val="18"/>
              </w:rPr>
              <w:t xml:space="preserve">U_cost vs baseline no-DP</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Ogni configurazione DP aumenta la loss di ricostruzione media di circa 240–290× rispetto alla baseline no-DP (0.0017), indipendentemente da collocazione o ε, ed è vicina a un modello non funzionale in termini assoluti. Questo è un confondente per il risultato nullo sopra: con un modello a 570 parametri e rumore per-peso σ che va da 4.84 (ε=1.0) a 48.4 (ε=0.1) (§3.4), è plausibile che il modello mantenga troppo poco del segnale di training perché qualunque attacco — non solo LiRA — possa rilevare la membership, invece che la DP neutralizzi specificamente un attacco che altrimenti riuscirebbe. La baseline no-DP in Tabella 2 (anch'essa indistinguibile dal caso) è l'evidenza più forte contro questa spiegazione alternativa: mostra che l'architettura stessa non memorizza abbastanza perché LiRA rilevi la membership anche senza alcun rumore, quindi i risultati nulli delle configurazioni DP non sono solo un artefatto della distruzione di utilità. Riportiamo comunque U_cost esplicitamente, non solo il risultato nullo dell'AUC, così che questo confondente resti visibile invece che implicito.</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i numeri di Tabella 2 sopra vanno letti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Riportiamo qui un pezzo della nostra stessa storia progettuale perché rafforza, invece di indebolire, questa lettura. La scelta di 50 epoche locali per round (§5) fu deliberata, e documentata come tale all'epoca nei commenti di configurazione di questo progetto: l'obiettivo di design dichiarato era spingere il modello verso l'overfitting sui dati locali, sul ragionamento che un'affermazione DP-vs-membership-inference del tipo "la DP riduce l'AUC da X a 0.5" richiede prima di dimostrare X &gt; 0.5 senza DP. Quell'obiettivo non è mai stato raggiunto: X è rimasto a 0.5 in ogni configurazione lanciata, con o senza DP, nell'intera campagna a 5 seed (§7) e in ogni asse della nostra validazione a cinque assi (§6.1), inclusi assi che hanno spinto le epoche locali fino a 1000 e la capacità del modello di 3,3×. Riportiamo questo non come un esperimento fallito ma come l'evidenza più forte in questo paper che il risultato nullo è una proprietà dell'architettura e del regime di dati, non di un test sottodimensionato: abbiamo provato, per iscritto, a far perdere segnale al modello, prima ancora di testare se la DP lo avrebbe fermato.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