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the primary attack. Yeom (2018) and Shadow MIA, the two weaker attacks run in every configuration alongside LiRA, show the same pattern: across all ten nominal configurations, both attacks’ mean AUC-ROC (5 seeds, per-round average — neither attack has a “composed” cross-round statistic analogous to LiRA’s) stays within bootstrap-CI distance of chance, with no exception.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