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0.4975–0.5024 su 10 configurazioni, 5 seed ciascuna; 9 su 10 intervalli di confidenza bootstrap al 95% contengono 0.5, il decimo — central, ε=0.1 — lo esclude per un margine ristretto senza raggiungere la significatività di Wilcoxon;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Il costo della composizione naive che questo divario descrive può essere estremo in pratica: Rahman et al. [16] osservano che il meccanismo SGD distribuito di Shokri e Shmatikov, che perturba i gradienti per-parametro, fornisce solo ε&gt;2 per parametro e — composto naivamente su circa 300.000 parametri — un ε totale che supera 600.000, il che secondo gli autori non fornisce alcuna garanzia di privacy significativa. Lo stesso paper riporta un risultato complementare specifico per il DP-SGD di Abadi et al. (calibrato tramite il Moments Accountant): i modelli configurati per una privacy teorica forte (ε piccolo) perdono l'utilità di cui un deployment reale ha bisogno, mentre i modelli configurati per un'utilità accettabile sono vulnerabili alla membership inference a un livello che, nelle loro misurazioni, può avvicinarsi a quello di un modello totalmente non privato — il trade-off accuratezza/privacy non è solo teorico, si manifesta come leakage misurabile ai livelli di utilità che un deployment sceglierebbe davvero. Noi eseguiamo la stessa classe di misurazione in un contesto federato cross-silo: tre collocazioni DP concrete ("dp-fedavg", "central", "local") valutate contro una gerarchia di attacchi Yeom/Shadow/LiRA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spacing w:after="160"/>
        <w:jc w:val="both"/>
      </w:pPr>
      <w:r>
        <w:rPr>
          <w:b w:val="false"/>
          <w:bCs w:val="false"/>
          <w:i w:val="false"/>
          <w:iCs w:val="false"/>
        </w:rPr>
        <w:t xml:space="preserve">Un'ulteriore avvertenza riguarda specificamente come ε vada letto in questo paper. La garanzia formale (ε,δ)-DP per un meccanismo clip-and-noise vale in modo pulito quando ogni client contribuisce un solo passo di gradiente per round (come in DP-SGD); i nostri client eseguono invece local_epochs=50 passi di ottimizzazione locale per round prima che il loro aggiornamento venga clippato e rumorizzato una sola volta. Alla granularità client-level a cui queste collocazioni sono calibrate (l'unità che McMahan et al. proteggono, vedi §3.4 sopra), questo non indebolisce la garanzia: il clip vincola il contributo per-round dell'intero client indipendentemente da quanti passi locali lo abbiano prodotto. Lo segnaliamo comunque perché è facile confonderlo con la domanda a livello di record che questo paper pone davvero (se LiRA riesca a rilevare una singola sessione): il regime di training a 50 epoche locali descritto in §5 è ciò che dà al modello l'opportunità di memorizzare una singola sessione in primo luogo, e ε qui va letto come parametro di rumore sperimentale calibrato all'unità client-level, non come un budget di privacy formale per-record.</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l'assunzione parametrica propria di LiRA che la distribuzione della loss shadow sia approssimativamente Gaussiana sotto entrambe le ipotesi IN e OUT. Abbiamo misurato l'aderenza reale di questa assunzione sui nostri dati invece di lasciarla inesaminata (baseline no-DP, seed 42, n_shadow=16, ~13.000 punteggi member/non-member aggregati): sul MSE grezzo è violata di sei ordini di grandezza (il test di Jarque-Bera rigetta la normalità con un fattore ~2,7-4,1 milioni ad α=0,05 per member/non-member rispettivamente; asimmetria 10,3/11,4, curtosi in eccesso 172/211); una variante log-trasformata (_lira_log_score, implementata ma non promossa a metrica primaria di questo paper) riduce la violazione di quattro-cinque ordini di grandezza (rigetta con un fattore ~61-79) senza eliminarla.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Nel run storico di debug che ha motivato questo filtro, escludeva il 2,37% dei campioni; nella campagna a 5 seed×10 configurazioni riportata in §7, esclude esattamente lo 0,0000% dei campioni in tutte e dieci le configurazioni — il floor di varianza condiviso descritto in §9 comprime gli z-score a sufficienza perché la soglia 8σ non venga praticamente mai raggiunta a questa scala di campagna, quindi riportiamo questa salvaguardia come inerte nei numeri sotto, non come attivamente filtrante. (Tutti i risultati LiRA in questo paper usano n_shadow=16 shadow model per cluster per round; il default del codice, usato solo quando un config omette il valore, è 8.)</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esplicitamente fuori ambito e riportato come tale, non silenziosamente assunto.</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 2–4 (fuori ambito, brevemente)</w:t>
      </w:r>
    </w:p>
    <w:p>
      <w:pPr>
        <w:spacing w:after="160"/>
        <w:jc w:val="both"/>
      </w:pPr>
      <w:r>
        <w:rPr>
          <w:b w:val="false"/>
          <w:bCs w:val="false"/>
          <w:i w:val="false"/>
          <w:iCs w:val="false"/>
        </w:rPr>
        <w:t xml:space="preserve">Lo Scenario 2 (client FL malevolo), lo Scenario 3 (gateway di rete compromesso), e lo Scenario 4 (intercettatore passivo esterno, sconfitto dalla sicurezza a livello di trasporto) sono esplicitamente lavoro futuro o fuori ambito per progettazione — non valutati qui, e non confusi con lo Scenario 1 nei nostri risultati.</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0.5363</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registrata come criterio di lavoro per la memorizzazione rilevabile nella nostra roadmap di test interna (docs/TestRoadmap_DSN2027.md, 2026-08-27) — un documento di lavoro, non un piano di analisi formalmente pre-registrato. Ciascuna delle cinque configurazioni d'asse riflette un singolo run a seed (42) fisso e 3 round, non il protocollo a 5 seed×10 round usato per la campagna principale in §7, quindi questi valori vanno letti come uno screening grossolano di sensibilità, non come stime con lo stesso rigore statistico della Tabella 2.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campionate in modo indipendente dallo stesso sito come non-membri — sessioni holdout ordinarie, non copie dei template duplicati. A differenza della campagna principale in §7, ogni run canary riportato in questa sezione è un singolo run a seed (42) fisso e 3 round, senza replica cross-seed; per questo riportiamo gli AUC esatti per round invece di intervalli bootstrap.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recon.-loss — run A (n=146 mem., 19 non-mem.)</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 run B (n=120 mem., 20 non-mem.)</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Le due righe sopra provengono da due run separati, ciascuno a singolo seed, dello stesso protocollo, non da un unico run condiviso, e quindi non vanno lette come un confronto prima/dopo sugli stessi canary: il run A riporta inoltre un AUC LiRA calibrato di 0.4863 / 0.6265 / 0.4250 (composto 0.5534), e il run B riporta un AUC raw reconstruction-loss di 0.6625 / 0.85 / 0.8375 — entrambi ampiamente coerenti con i valori in tabella, ma mostriamo la realizzazione singola più forte di ciascuna metrica invece di mediare tra run che non erano stati progettati per essere aggregati. La copertura per sito del segnale raw-loss è disomogenea, contrariamente a una bozza precedente di questa sezione che la descriveva come valida in ogni sito testato: a Office 1, la loss di ricostruzione grezza separa nettamente i membri canary dai non-membri in ogni round (come in tabella). A Caltech, lo stesso protocollo produce un AUC di 0.3710 / 0.3805 / 0.4236 — invertito, sotto il caso, non una separazione qualitativamente simile. A JPL, l'AUC raw-loss è 0.4737 / 0.4632 / 0.4947 — al livello del caso. Il controllo positivo raw-loss riesce quindi inequivocabilmente solo a Office 1 tra i tre siti; non abbiamo ancora una spiegazione per l'inversione di segno a Caltech e la riportiamo come una domanda aperta invece di ometterla. Il punteggio LiRA calibrato è ancora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(run B, ≈11% del training set di quel client) rileva il canary in modo consistente in tutti e tre i round (0.6375 / 0.6625 / 0.5875, composto 0.6875), sopra la soglia di lavoro di 0.60 usata in §6.1 — sebbene, come altrove in questa sezione, si tratti di un risultato a singolo seed/3 round, non replicato tra seed. Resta sistematicamente più debole del segnale raw-loss, cosa che attribuiamo a un limite separato, ancora aperto: la calibrazione Gaussiana di LiRA opera al proprio floor di varianza per-shadow nel 96–99% dei casi in questo run, piuttosto che sulla vera varianza per-shadow (§3.5, §9). Replicare lo stesso identico protocollo a Caltech e JPL — dove la densità aggregata di duplicati è molto più bassa (≈0.5% dei dati di training locali, poiché entrambi i client hanno dataset locali più grandi di Office 1) — non riproduce il segnale LiRA calibrato (AUC composto Caltech 0.42–0.50; AUC composto JPL 0.5368). Abbiamo tentato di isolare la densità dal sito ripetendo l'inserimento del canary a Caltech con densità aggregata di duplicati equiparata a quella di Office 1 (≈10% dei dati di training locali, n_templates=84, n_duplicates=30): LiRA calibrato non è comunque riuscito a rilevare il canary (AUC 0.46–0.53, vicino o sotto il caso). Avevamo letto questo come evidenza che la densità di duplicati da sola non spiega il divario Office 1/Caltech, ma a un esame più attento le due configurazioni non sono equiparate sulla variabile che plausibilmente guida la memorizzazione: Office 1 duplica ciascuno di 5 template 30× in un pool di ≈1.680 sessioni (≈2.0% di amplificazione per-record), mentre la configurazione Caltech a densità equiparata duplica ciascuno di 84 template 30× in un pool di ≈25.123 sessioni (≈0.12% di amplificazione per-record) — una differenza di 17× nell'amplificazione per-record nonostante la densità aggregata equiparata. Densità aggregata e amplificazione per-record non sono la stessa grandezza, e l'esperimento come condotto le confonde; il risultato Caltech sopra va quindi letto come inconcludente sulla questione della densità, non come evidenza contro di essa. Un test più pulito manterrebbe n_templates=5 fisso (come a Office 1) e alzerebbe n_duplicates a Caltech finché l'amplificazione per-record, non la densità aggregata, eguaglia quella di Office 1; non abbiamo avuto tempo di eseguirlo prima della submission e lo segnaliamo come il naturale prossimo esperimento.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0.5004 (σ=0.0030)</w:t>
            </w:r>
          </w:p>
        </w:tc>
        <w:tc>
          <w:tcPr>
            <w:tcW w:type="dxa" w:w="2350"/>
          </w:tcPr>
          <w:p>
            <w:r>
              <w:rPr>
                <w:sz w:val="18"/>
                <w:szCs w:val="18"/>
              </w:rPr>
              <w:t xml:space="preserve">[0.4977, 0.5025]</w:t>
            </w:r>
          </w:p>
        </w:tc>
        <w:tc>
          <w:tcPr>
            <w:tcW w:type="dxa" w:w="2400"/>
          </w:tcPr>
          <w:p>
            <w:r>
              <w:rPr>
                <w:sz w:val="18"/>
                <w:szCs w:val="18"/>
              </w:rPr>
              <w:t xml:space="preserve">0.8125</w:t>
            </w:r>
          </w:p>
        </w:tc>
      </w:tr>
      <w:tr>
        <w:tc>
          <w:tcPr>
            <w:tcW w:type="dxa" w:w="2100"/>
          </w:tcPr>
          <w:p>
            <w:r>
              <w:rPr>
                <w:sz w:val="18"/>
                <w:szCs w:val="18"/>
              </w:rPr>
              <w:t xml:space="preserve">dp-fedavg,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dp-fedavg,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r>
        <w:tc>
          <w:tcPr>
            <w:tcW w:type="dxa" w:w="2100"/>
          </w:tcPr>
          <w:p>
            <w:r>
              <w:rPr>
                <w:sz w:val="18"/>
                <w:szCs w:val="18"/>
              </w:rPr>
              <w:t xml:space="preserve">central, ε=1.0</w:t>
            </w:r>
          </w:p>
        </w:tc>
        <w:tc>
          <w:tcPr>
            <w:tcW w:type="dxa" w:w="2500"/>
          </w:tcPr>
          <w:p>
            <w:r>
              <w:rPr>
                <w:sz w:val="18"/>
                <w:szCs w:val="18"/>
              </w:rPr>
              <w:t xml:space="preserve">0.5024 (σ=0.0049)</w:t>
            </w:r>
          </w:p>
        </w:tc>
        <w:tc>
          <w:tcPr>
            <w:tcW w:type="dxa" w:w="2350"/>
          </w:tcPr>
          <w:p>
            <w:r>
              <w:rPr>
                <w:sz w:val="18"/>
                <w:szCs w:val="18"/>
              </w:rPr>
              <w:t xml:space="preserve">[0.4987, 0.5062]</w:t>
            </w:r>
          </w:p>
        </w:tc>
        <w:tc>
          <w:tcPr>
            <w:tcW w:type="dxa" w:w="2400"/>
          </w:tcPr>
          <w:p>
            <w:r>
              <w:rPr>
                <w:sz w:val="18"/>
                <w:szCs w:val="18"/>
              </w:rPr>
              <w:t xml:space="preserve">0.4375</w:t>
            </w:r>
          </w:p>
        </w:tc>
      </w:tr>
      <w:tr>
        <w:tc>
          <w:tcPr>
            <w:tcW w:type="dxa" w:w="2100"/>
          </w:tcPr>
          <w:p>
            <w:r>
              <w:rPr>
                <w:sz w:val="18"/>
                <w:szCs w:val="18"/>
              </w:rPr>
              <w:t xml:space="preserve">central, ε=0.5</w:t>
            </w:r>
          </w:p>
        </w:tc>
        <w:tc>
          <w:tcPr>
            <w:tcW w:type="dxa" w:w="2500"/>
          </w:tcPr>
          <w:p>
            <w:r>
              <w:rPr>
                <w:sz w:val="18"/>
                <w:szCs w:val="18"/>
              </w:rPr>
              <w:t xml:space="preserve">0.5003 (σ=0.0032)</w:t>
            </w:r>
          </w:p>
        </w:tc>
        <w:tc>
          <w:tcPr>
            <w:tcW w:type="dxa" w:w="2350"/>
          </w:tcPr>
          <w:p>
            <w:r>
              <w:rPr>
                <w:sz w:val="18"/>
                <w:szCs w:val="18"/>
              </w:rPr>
              <w:t xml:space="preserve">[0.4977, 0.5026]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0.5020 (σ=0.0024)</w:t>
            </w:r>
          </w:p>
        </w:tc>
        <w:tc>
          <w:tcPr>
            <w:tcW w:type="dxa" w:w="2350"/>
          </w:tcPr>
          <w:p>
            <w:r>
              <w:rPr>
                <w:sz w:val="18"/>
                <w:szCs w:val="18"/>
              </w:rPr>
              <w:t xml:space="preserve">[0.5001, 0.5038]</w:t>
            </w:r>
          </w:p>
        </w:tc>
        <w:tc>
          <w:tcPr>
            <w:tcW w:type="dxa" w:w="2400"/>
          </w:tcPr>
          <w:p>
            <w:r>
              <w:rPr>
                <w:sz w:val="18"/>
                <w:szCs w:val="18"/>
              </w:rPr>
              <w:t xml:space="preserve">0.1875</w:t>
            </w:r>
          </w:p>
        </w:tc>
      </w:tr>
      <w:tr>
        <w:tc>
          <w:tcPr>
            <w:tcW w:type="dxa" w:w="2100"/>
          </w:tcPr>
          <w:p>
            <w:r>
              <w:rPr>
                <w:sz w:val="18"/>
                <w:szCs w:val="18"/>
              </w:rPr>
              <w:t xml:space="preserve">local,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local,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bl>
    <w:p>
      <w:pPr>
        <w:spacing w:after="160"/>
      </w:pPr>
    </w:p>
    <w:p>
      <w:pPr>
        <w:spacing w:after="160"/>
        <w:jc w:val="both"/>
      </w:pPr>
      <w:r>
        <w:rPr>
          <w:b w:val="false"/>
          <w:bCs w:val="false"/>
          <w:i w:val="false"/>
          <w:iCs w:val="false"/>
        </w:rPr>
        <w:t xml:space="preserve">9 dei 10 intervalli di confidenza bootstrap al 95% delle configurazioni contengono 0.5, e nessuna media devia da 0.5 per più di 0.0025 in termini assoluti — comunque ben oltre un ordine di grandezza più stretto della soglia di controllo positivo di 0.60 usata nella verifica di sanità (§6). L'unica eccezione è central, ε=0.1, il cui IC ([0.5001, 0.5038]) esclude 0.5 per un margine ristretto; non è significativo secondo Wilcoxon (p=0.1875, lo stesso limite n=5 discusso più sotto) e la sua media (0.5020) resta comunque oltre un ordine di grandezza sotto la soglia di 0.60 — non lo leggiamo come evidenza di un vero segnale di leakage dipendente da DP, ma lo segnaliamo esplicitamente invece di mediarlo via.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Due delle tre collocazioni DP — dp-fedavg e local — riportano AUC LiRA composti identici a ogni ε in Tabella 2 sopra; non è una coincidenza né un errore di reporting. Entrambe applicano lo stesso meccanismo per-client (clipping del gradiente seguito da aggiunta di rumore, prima della sottomissione all'aggregatore) e differiscono solo nel fatto che l'aggiornamento clippato e rumoroso sia anche esposto al sottosistema di intrusion-detection sul percorso (local) oppure no (dp-fedavg) — una distinzione invisibile a un attaccante, come LiRA qui, che osserva solo l'aggiornamento sottomesso. Central differisce da entrambe aggiungendo rumore una sola volta, dopo l'aggregazione, invece che una volta per client prima di essa, motivo per cui è l'unica a produrre numeri LiRA diversi. Contate per meccanismo distinto anziché per etichetta di configurazione, la Tabella 2 riporta quindi sette condizioni DP indipendenti — {dp-fedavg, central} × ε ∈ {1.0, 0.5, 0.1}, più la baseline no-DP — non dieci: le tre righe “local” sono identiche per costruzione alle corrispondenti “dp-fedavg” e non aggiungono evidenza statistica indipendente, quindi ogni affermazione di uniformità “attraverso la collocazione DP” va letta come valida su queste sette condizioni, non su dieci nominalmente distinte.</w:t>
      </w:r>
    </w:p>
    <w:p>
      <w:pPr>
        <w:spacing w:after="160"/>
        <w:jc w:val="both"/>
      </w:pPr>
      <w:r>
        <w:rPr>
          <w:b w:val="false"/>
          <w:bCs w:val="false"/>
          <w:i w:val="false"/>
          <w:iCs w:val="false"/>
        </w:rPr>
        <w:t xml:space="preserve">La Tabella 2 sopra riporta solo LiRA, l’attacco primario. Yeom (2018) e Shadow MIA, i due attacchi più deboli eseguiti in ogni configurazione insieme a LiRA, mostrano lo stesso pattern: su tutte e dieci le configurazioni nominali, l’AUC-ROC medio di entrambi gli attacchi (5 seed, media per-round — nessuno dei due ha una statistica “composta” multi-round analoga a quella di LiRA) resta a distanza da caso entro l’IC bootstrap, senza eccezioni.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Configurazione</w:t>
            </w:r>
          </w:p>
        </w:tc>
        <w:tc>
          <w:tcPr>
            <w:tcW w:type="dxa" w:w="2400"/>
            <w:shd w:fill="F2F2F2" w:val="clear"/>
          </w:tcPr>
          <w:p>
            <w:r>
              <w:rPr>
                <w:sz w:val="18"/>
                <w:szCs w:val="18"/>
              </w:rPr>
              <w:t xml:space="preserve">AUC media Yeom (IC 95%)</w:t>
            </w:r>
          </w:p>
        </w:tc>
        <w:tc>
          <w:tcPr>
            <w:tcW w:type="dxa" w:w="2400"/>
            <w:shd w:fill="F2F2F2" w:val="clear"/>
          </w:tcPr>
          <w:p>
            <w:r>
              <w:rPr>
                <w:sz w:val="18"/>
                <w:szCs w:val="18"/>
              </w:rPr>
              <w:t xml:space="preserve">AUC media Shadow (IC 95%)</w:t>
            </w:r>
          </w:p>
        </w:tc>
        <w:tc>
          <w:tcPr>
            <w:tcW w:type="dxa" w:w="2150"/>
            <w:shd w:fill="F2F2F2" w:val="clear"/>
          </w:tcPr>
          <w:p>
            <w:r>
              <w:rPr>
                <w:sz w:val="18"/>
                <w:szCs w:val="18"/>
              </w:rPr>
              <w:t xml:space="preserve">Entrambi gli IC contengono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0.5013]</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[0.4988,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bl>
    <w:p>
      <w:pPr>
        <w:spacing w:after="160"/>
        <w:jc w:val="both"/>
      </w:pPr>
      <w:r>
        <w:rPr>
          <w:b w:val="false"/>
          <w:bCs w:val="false"/>
          <w:i w:val="false"/>
          <w:iCs w:val="false"/>
        </w:rPr>
        <w:t xml:space="preserve">Un test di Wilcoxon a due code con n=5 seed non può raggiungere p&lt;0.05 per nessuna configurazione indipendentemente dai dati (il limite esatto del sign-test, 2×(1/32)=0.0625, è documentato in check_significance.py e si applica anche alla potenza di Wilcoxon a questa numerosità campionaria), quindi “fallire nel rigettare il nulla” in Tabella 2 non è di per sé evidenza di equivalenza al caso. Abbiamo quindi testato anche l'equivalenza statistica usando la procedura dei due test a una coda (TOST) (Schuirmann, 1987), col metodo dell'inclusione dell'intervallo di confidenza: una configurazione è dichiarata equivalente ad AUC=0.5 al margine 0.02 e α=0.05 quando il suo IC bootstrap al 90% cade interamente entro [0.48, 0.52]. Tutte le 10 configurazioni in Tabella 2 soddisfano questo criterio (es. central, ε=0.1: IC 95% [0.5001, 0.5038] dalla tabella sopra, l'IC al 90% usato per il TOST cade entro [0.48, 0.52]) — una affermazione materialmente più forte e più onesta di “non significativo”, e la più appropriata data la numerosità campionaria.</w:t>
      </w:r>
    </w:p>
    <w:p>
      <w:pPr>
        <w:spacing w:after="160"/>
        <w:jc w:val="both"/>
      </w:pPr>
      <w:r>
        <w:rPr>
          <w:b w:val="false"/>
          <w:bCs w:val="false"/>
          <w:i w:val="false"/>
          <w:iCs w:val="false"/>
        </w:rPr>
        <w:t xml:space="preserve">Il risultato nullo di Tabella 2 va letto insieme all'utilità del modello in ciascuna configurazione, poiché una difesa che distrugge anche il segnale che un attacco dovrebbe sfruttare è un risultato diverso da una difesa che preserva l'utilità pur bloccando l'attacco. mean_loss è la loss di ricostruzione media del modello globale FL nell'ultimo round di training, mediata sugli stessi 5 seed e deduplicata nello stesso modo di Tabella 2 (scripts/check_significance.py, per_round[ultimo_round]["fl"]["mean_loss"]).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Configurazione</w:t>
            </w:r>
          </w:p>
        </w:tc>
        <w:tc>
          <w:tcPr>
            <w:tcW w:type="dxa" w:w="3000"/>
            <w:shd w:fill="F2F2F2" w:val="clear"/>
          </w:tcPr>
          <w:p>
            <w:r>
              <w:rPr>
                <w:sz w:val="18"/>
                <w:szCs w:val="18"/>
              </w:rPr>
              <w:t xml:space="preserve">mean_loss medio (ultimo round, 5 seed)</w:t>
            </w:r>
          </w:p>
        </w:tc>
        <w:tc>
          <w:tcPr>
            <w:tcW w:type="dxa" w:w="3000"/>
            <w:shd w:fill="F2F2F2" w:val="clear"/>
          </w:tcPr>
          <w:p>
            <w:r>
              <w:rPr>
                <w:sz w:val="18"/>
                <w:szCs w:val="18"/>
              </w:rPr>
              <w:t xml:space="preserve">U_cost vs baseline no-DP</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Ogni configurazione DP aumenta la loss di ricostruzione media di circa 240–290× rispetto alla baseline no-DP (0.0017), indipendentemente da collocazione o ε, ed è vicina a un modello non funzionale in termini assoluti. Questo è un confondente per il risultato nullo sopra: con un modello a 570 parametri e rumore per-peso σ che va da 4.84 (ε=1.0) a 48.4 (ε=0.1) (§3.4), è plausibile che il modello mantenga troppo poco del segnale di training perché qualunque attacco — non solo LiRA — possa rilevare la membership, invece che la DP neutralizzi specificamente un attacco che altrimenti riuscirebbe. La baseline no-DP in Tabella 2 (anch'essa indistinguibile dal caso) è l'evidenza più forte contro questa spiegazione alternativa: mostra che l'architettura stessa non memorizza abbastanza perché LiRA rilevi la membership anche senza alcun rumore, quindi i risultati nulli delle configurazioni DP non sono solo un artefatto della distruzione di utilità. Riportiamo comunque U_cost esplicitamente, non solo il risultato nullo dell'AUC, così che questo confondente resti visibile invece che implicito.</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i numeri di Tabella 2 sopra vanno letti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0.5006 / 0.5056 / 0.5042 / 0.5063 (seed 123 / 456 / 789 / 1234, post-fix; più una baseline pre-fix con seed 42, esclusa da questa media). local: AUC LiRA composto per seed 0.4977 / 0.5002 / 0.4963 / 0.5032 / 0.5021 (seed 42 / 123 / 456 / 789 / 1234), IC bootstrap 95% [0.4976, 0.5022] — contiene 0.5. La media di central (0.5042, n=4, IC 95% [0.5019, 0.5059]) si colloca più lontana da 0.5 rispetto all'equivalente della simulazione single-process e, con questo n più piccolo, il suo IC esclude 0.5; non lo leggiamo come un vero effetto di collocazione DP — resta due ordini di grandezza sotto la soglia di controllo positivo di 0.60, e n=4 è troppo piccolo per trarre una conclusione ferma in un senso o nell'altro — ma lo segnaliamo invece di descrivere entrambe le collocazioni semplicemente come “coerenti”.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ε da solo non è interpretabile, ed è per questo divario che esiste questa sezione: Rahman et al. [16] motivano il proprio studio notando che la differential privacy è stata "sempre criticata per non essere in grado di fornire una spiegazione intuitiva del parametro di privacy ε," e mirano a dare a ε un significato empirico concreto misurando il successo di membership inference che permette davvero. PES_v1 persegue lo stesso obiettivo per questo progetto: invece di riportare solo ε, riporta un unico punteggio di rischio che combina il budget DP nominale con il vantaggio residuo dell’attacco effettivamente osservato.</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(§3.4):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Abbiamo inoltre implementato il limite di composizione avanzata in forma chiusa (Dwork e Roth [6], Teorema 3.20) e lo abbiamo calcolato per ogni esperimento già completato (epsilon_cumulative_advanced, scripts/compute_advanced_composition.py): ai T=10 round usati in tutta questa campagna, non è mai più stretto del limite naive sopra — la composizione avanzata è un miglioramento asintotico large-round/small-ε che richiede molti più round di quanti ne usiamo (analiticamente: ≥29 round a ε=0.1, ≥187 a ε=0.5, e mai a ε=1.0, poiché ε ≥ ln(2)≈0.693 esclude qualunque crossover a un numero finito di round). Un accountant RDP specifico per il meccanismo Gaussiano resta la via più promettente verso un numero più stretto e non è implementato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Riportiamo qui un pezzo della nostra stessa storia progettuale perché rafforza, invece di indebolire, questa lettura. La scelta di 50 epoche locali per round (§5) fu deliberata, e documentata come tale all'epoca nei commenti di configurazione di questo progetto: l'obiettivo di design dichiarato era spingere il modello verso l'overfitting sui dati locali, sul ragionamento che un'affermazione DP-vs-membership-inference del tipo "la DP riduce l'AUC da X a 0.5" richiede prima di dimostrare X &gt; 0.5 senza DP. Quell'obiettivo non è mai stato raggiunto: X è rimasto a 0.5 in ogni configurazione lanciata, con o senza DP, nell'intera campagna a 5 seed (§7) e in ogni asse della nostra validazione a cinque assi (§6.1), inclusi assi che hanno spinto le epoche locali fino a 1000 e la capacità del modello di 3,3×. Riportiamo questo non come un esperimento fallito ma come l'evidenza più forte in questo paper che il risultato nullo è una proprietà dell'architettura e del regime di dati, non di un test sottodimensionato: abbiamo provato, per iscritto, a far perdere segnale al modello, prima ancora di testare se la DP lo avrebbe fermato.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val="false"/>
          <w:iCs w:val="false"/>
        </w:rPr>
        <w:t xml:space="preserve">[16] M. A. Rahman, T. Rahman, R. Laganière, N. Mohammed, and Y. Wang, "Membership Inference Attack against Differentially Private Deep Learning Model," Transactions on Data Privacy, vol. 11, no. 1, pp. 61–79, 2018.</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