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8 configurations, 5 seeds each, all 95% bootstrap CIs containing 0.5).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w:t>
      </w:r>
    </w:p>
    <w:p>
      <w:pPr>
        <w:spacing w:after="160"/>
        <w:jc w:val="both"/>
      </w:pPr>
      <w:r>
        <w:rPr>
          <w:b w:val="false"/>
          <w:bCs w:val="false"/>
          <w:i w:val="false"/>
          <w:iCs w:val="false"/>
        </w:rPr>
        <w:t xml:space="preserve">Byzantine-robust aggregation (Krum [9], and CUSUM/cosine-similarity variants) is used in our ChargingIDS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ChargingIDS: a formally separate integrity domain</w:t>
      </w:r>
    </w:p>
    <w:p>
      <w:pPr>
        <w:spacing w:after="160"/>
        <w:jc w:val="both"/>
      </w:pPr>
      <w:r>
        <w:rPr>
          <w:b w:val="false"/>
          <w:bCs w:val="false"/>
          <w:i w:val="false"/>
          <w:iCs w:val="false"/>
        </w:rPr>
        <w:t xml:space="preserve">ChargingIDS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ChargingIDS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ChargingIDS's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ChargingIDS,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0.4863 / 0.6265 / 0.4250</w:t>
            </w:r>
          </w:p>
        </w:tc>
        <w:tc>
          <w:tcPr>
            <w:tcW w:type="dxa" w:w="2975"/>
            <w:shd w:fill="F2F2F2" w:val="clear"/>
          </w:tcPr>
          <w:p>
            <w:r>
              <w:rPr>
                <w:sz w:val="18"/>
                <w:szCs w:val="18"/>
              </w:rPr>
              <w:t xml:space="preserve">Unstable, near chance</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(canary members reconstruct 4–7× more accurately) — an unambiguous positive control: the model and a loss-threshold detector both clearly pick up a deliberately engineered vulnerability. The calibrated LiRA score on the same canaries, by contrast, stays unstable and near chance. We attribute this to LiRA's shadow models being trained on the same shared population that now contains 150 duplicate canary copies, so their own random IN/OUT subsampling draws multiple near-identical copies regardless of which specific copy is nominally held out for a given shadow, diluting the differential signal LiRA's calibration relies on — a methodological artifact specific to literal near-duplicate records in a population shared between target and shadow training. Natural EV sessions in our dataset are never literal duplicates of one another, so this does not extend to, or undermine,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8-configuration campaign completed on 2026-08-30 (seeds 42, 123, 456, 789, 1234; ~101 hours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(sign test)</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0.3750</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0.5004 (σ=0.0008)</w:t>
            </w:r>
          </w:p>
        </w:tc>
        <w:tc>
          <w:tcPr>
            <w:tcW w:type="dxa" w:w="2340"/>
            <w:shd w:fill="F2F2F2" w:val="clear"/>
          </w:tcPr>
          <w:p>
            <w:r>
              <w:rPr>
                <w:sz w:val="18"/>
                <w:szCs w:val="18"/>
              </w:rPr>
              <w:t xml:space="preserve">[0.4998, 0.5010]</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(σ=0.0010)</w:t>
            </w:r>
          </w:p>
        </w:tc>
        <w:tc>
          <w:tcPr>
            <w:tcW w:type="dxa" w:w="2340"/>
            <w:shd w:fill="F2F2F2" w:val="clear"/>
          </w:tcPr>
          <w:p>
            <w:r>
              <w:rPr>
                <w:sz w:val="18"/>
                <w:szCs w:val="18"/>
              </w:rPr>
              <w:t xml:space="preserve">[0.4997, 0.5013]</w:t>
            </w:r>
          </w:p>
        </w:tc>
        <w:tc>
          <w:tcPr>
            <w:tcW w:type="dxa" w:w="2800"/>
            <w:shd w:fill="F2F2F2" w:val="clear"/>
          </w:tcPr>
          <w:p>
            <w:r>
              <w:rPr>
                <w:sz w:val="18"/>
                <w:szCs w:val="18"/>
              </w:rPr>
              <w:t xml:space="preserve">0.3750</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8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left"/>
      </w:pPr>
      <w:r>
        <w:rPr>
          <w:i/>
          <w:iCs/>
          <w:color w:val="8B0000"/>
        </w:rPr>
        <w:t xml:space="preserve">NOTA (aggiornata 2026-09-04): la tabella sopra usava p-value da sign test (scipy assente nel sandbox che ha generato questa bozza). AGGIORNAMENTO 2026-09-03: un vero test di Wilcoxon e' stato eseguito sulla macchina reale dell'utente (scipy disponibile) — nessuno degli 8 gruppi risulta significativo (p&gt;0.05), dettaglio in docs/MetricsReference_DSN2027.md §8. AGGIORNAMENTO 2026-09-04: trovato e corretto un bug di conflazione dati che gonfiava il gruppo “no-DP baseline” a n=10 invece di n=5 (entity-split-sweep1, un esperimento di robustezza, veniva raggruppato per errore con nodp-sweep1) — anche il Wilcoxon del 2026-09-03 usava quindi l'n sbagliato per quel gruppo. Il bootstrap CI ricalcolato con l'n corretto ([0.4997, 0.5009]) ora CONTIENE 0.5, risolvendo il disaccordo bootstrap-vs-Wilcoxon precedentemente notato per quel gruppo — ma serve un ultimo rilancio (python3 scripts/check_significance.py su una macchina con scipy) per un p-value Wilcoxon aggiornato prima di citare numeri esatti nella submission finale. La lettura qualitativa (nessuna configurazione mostra AUC significativamente sopra 0.5) resta confermata. TPR@low-FPR (0.1%/1%/5%) NON disponibile per questa campagna: il campo e' stato aggiunto al codice (Sprint 10pp, 2026-08-28) DOPO che la campagna era gia' in esecuzione sulla macchina dell'utente — nessuno dei 40 file JSON di questo run lo contiene (verificato). Da includere nella prossima campagna (task #52, in corso dal 2026-09-04).</w:t>
      </w:r>
    </w:p>
    <w:p>
      <w:pPr>
        <w:spacing w:after="160"/>
        <w:jc w:val="both"/>
      </w:pPr>
      <w:r>
        <w:rPr>
          <w:b w:val="false"/>
          <w:bCs w:val="false"/>
          <w:i w:val="false"/>
          <w:iCs w:val="false"/>
        </w:rPr>
        <w:t xml:space="preserve">We additionally cross-validated against the real Containerlab/NVFLARE deployment (composed LiRA AUC 0.4992, dp-fedavg ε=1.0, 10 rounds across 5 real containers) — the only run in this section not produced by the single-process simulation, using the same unmodified attack code — consistent with the simulation results above.</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but only at the raw reconstruction-loss level (AUC 0.70–0.90, stable), not at the level of the calibrated LiRA score itself (AUC 0.43–0.63, unstable) — we attribute the gap to shadow-model contamination specific to literal near-duplicate records shared between target and shadow training populations, a methodological limitation of LiRA's calibration under canary-style auditing rather than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8-configuration bootstrap campaign (§7) is complete. A true Wilcoxon signed-rank test was subsequently run on a machine with scipy (2026-09-03): none of the 8 configuration groups shows AUC significantly different from 0.5 (p&gt;0.05 throughout). A data-conflation bug was then found and fixed (2026-09-04): the "no-DP baseline" group had silently included 5 files from an unrelated robustness experiment (entity-aware train/holdout split) alongside its own 5 real seeds, inflating n from 5 to 10; the corrected bootstrap CI for that group now contains 0.5 (it previously did not), resolving an earlier bootstrap-vs-Wilcoxon disagreement. The campaign should be re-analyzed once more with the fix applied (scripts/check_significance.py) to obtain final, citable p-values before submission — the qualitative conclusion (no configuration shows significant leakage) is unaffected. TPR@low-FPR was implemented in the codebase after this campaign had already started running and is not present in any of its 40 result files; the in-progress relaunch (task #52) will include it.</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TPR@low-FPR-based re-analysis of the full campaign;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ChargingIDS,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