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0.4995–0.5005 su 10 configurazioni, 5 seed ciascuna, tutti gli intervalli di confidenza bootstrap al 95% contengono 0.5,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ma solo per training DP-SGD centralizzato su benchmark standard.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invariata, l'assunzione parametrica propria di LiRA che la distribuzione della loss shadow sia approssimativamente Gaussiana sotto entrambe le ipotesi IN e OUT — un'assunzione che portiamo avanti, non che introduciamo.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e registriamo un tasso di scarto per-run per trasparenza.</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0.5155</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pre-dichiarata come evidenza di memorizzazione rilevabile.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gemelle tenute da parte dallo stesso sito come gruppo di confronto membro/non-membro pulito.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reconstruction-loss (senza calibrazione shadow)</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sugli stessi canary</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La loss di ricostruzione grezza del modello target distingue in modo pulito e consistente i membri canary dai non-membri canary tenuti da parte in ogni round e in ogni sito testato (i membri canary si ricostruiscono 4–7× più accuratamente a Office 1; separazione qualitativamente simile a Caltech e JPL) — un controllo positivo inequivocabile a livello di loss. Il punteggio LiRA calibrato è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 l'inserimento più denso, ≈11% del training set di quel client — rileva il canary in modo consistente in tutti e tre i round (0.6375 / 0.6625 / 0.5875, composto 0.6875), sopra la nostra soglia pre-dichiarata di 0.60. Resta sistematicamente più debole del segnale raw-loss, cosa che attribuiamo a un limite separato, ancora aperto: la calibrazione Gaussiana di LiRA opera al proprio floor di varianza per-shadow nel 96–99% dei casi in questo run, piuttosto che sulla vera varianza per-shadow. Replicare lo stesso identico protocollo a Caltech e JPL — dove la densità di duplicati è molto più bassa (≈0.5% dei dati di training locali, poiché entrambi i client hanno dataset locali più grandi di Office 1) — non riproduce il segnale LiRA calibrato (AUC composto Caltech 0.42–0.50; AUC composto JPL 0.5368), coerentemente con un effetto dipendente dalla densità. Per isolare la densità dal sito, abbiamo ripetuto l'inserimento del canary a Caltech con densità equiparata a quella di Office 1 (≈10% dei dati di training locali, n_templates=84): LiRA calibrato non è comunque riuscito a rilevare il canary (AUC 0.46–0.53, vicino o sotto il caso), quindi la densità di duplicati da sola non spiega completamente nemmeno il divario Office 1/Caltech — la dipendenza dal sito della sensibilità di LiRA calibrato al canary è solo parzialmente compresa ed è riportata qui come una sfumatura metodologica aperta, non risolta.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0.5003 (σ=0.0008)</w:t>
            </w:r>
          </w:p>
        </w:tc>
        <w:tc>
          <w:tcPr>
            <w:tcW w:type="dxa" w:w="2350"/>
          </w:tcPr>
          <w:p>
            <w:r>
              <w:rPr>
                <w:sz w:val="18"/>
                <w:szCs w:val="18"/>
              </w:rPr>
              <w:t xml:space="preserve">[0.4997, 0.5009]</w:t>
            </w:r>
          </w:p>
        </w:tc>
        <w:tc>
          <w:tcPr>
            <w:tcW w:type="dxa" w:w="2400"/>
          </w:tcPr>
          <w:p>
            <w:r>
              <w:rPr>
                <w:sz w:val="18"/>
                <w:szCs w:val="18"/>
              </w:rPr>
              <w:t xml:space="preserve">0.6250</w:t>
            </w:r>
          </w:p>
        </w:tc>
      </w:tr>
      <w:tr>
        <w:tc>
          <w:tcPr>
            <w:tcW w:type="dxa" w:w="2100"/>
          </w:tcPr>
          <w:p>
            <w:r>
              <w:rPr>
                <w:sz w:val="18"/>
                <w:szCs w:val="18"/>
              </w:rPr>
              <w:t xml:space="preserve">dp-fedavg,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dp-fedavg,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r>
        <w:tc>
          <w:tcPr>
            <w:tcW w:type="dxa" w:w="2100"/>
          </w:tcPr>
          <w:p>
            <w:r>
              <w:rPr>
                <w:sz w:val="18"/>
                <w:szCs w:val="18"/>
              </w:rPr>
              <w:t xml:space="preserve">central, ε=1.0</w:t>
            </w:r>
          </w:p>
        </w:tc>
        <w:tc>
          <w:tcPr>
            <w:tcW w:type="dxa" w:w="2500"/>
          </w:tcPr>
          <w:p>
            <w:r>
              <w:rPr>
                <w:sz w:val="18"/>
                <w:szCs w:val="18"/>
              </w:rPr>
              <w:t xml:space="preserve">0.5005 (σ=0.0012)</w:t>
            </w:r>
          </w:p>
        </w:tc>
        <w:tc>
          <w:tcPr>
            <w:tcW w:type="dxa" w:w="2350"/>
          </w:tcPr>
          <w:p>
            <w:r>
              <w:rPr>
                <w:sz w:val="18"/>
                <w:szCs w:val="18"/>
              </w:rPr>
              <w:t xml:space="preserve">[0.4996, 0.5014]</w:t>
            </w:r>
          </w:p>
        </w:tc>
        <w:tc>
          <w:tcPr>
            <w:tcW w:type="dxa" w:w="2400"/>
          </w:tcPr>
          <w:p>
            <w:r>
              <w:rPr>
                <w:sz w:val="18"/>
                <w:szCs w:val="18"/>
              </w:rPr>
              <w:t xml:space="preserve">0.3125</w:t>
            </w:r>
          </w:p>
        </w:tc>
      </w:tr>
      <w:tr>
        <w:tc>
          <w:tcPr>
            <w:tcW w:type="dxa" w:w="2100"/>
          </w:tcPr>
          <w:p>
            <w:r>
              <w:rPr>
                <w:sz w:val="18"/>
                <w:szCs w:val="18"/>
              </w:rPr>
              <w:t xml:space="preserve">central, ε=0.5</w:t>
            </w:r>
          </w:p>
        </w:tc>
        <w:tc>
          <w:tcPr>
            <w:tcW w:type="dxa" w:w="2500"/>
          </w:tcPr>
          <w:p>
            <w:r>
              <w:rPr>
                <w:sz w:val="18"/>
                <w:szCs w:val="18"/>
              </w:rPr>
              <w:t xml:space="preserve">0.4999 (σ=0.0009)</w:t>
            </w:r>
          </w:p>
        </w:tc>
        <w:tc>
          <w:tcPr>
            <w:tcW w:type="dxa" w:w="2350"/>
          </w:tcPr>
          <w:p>
            <w:r>
              <w:rPr>
                <w:sz w:val="18"/>
                <w:szCs w:val="18"/>
              </w:rPr>
              <w:t xml:space="preserve">[0.4992, 0.5006]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0.5005 (σ=0.0009)</w:t>
            </w:r>
          </w:p>
        </w:tc>
        <w:tc>
          <w:tcPr>
            <w:tcW w:type="dxa" w:w="2350"/>
          </w:tcPr>
          <w:p>
            <w:r>
              <w:rPr>
                <w:sz w:val="18"/>
                <w:szCs w:val="18"/>
              </w:rPr>
              <w:t xml:space="preserve">[0.4998, 0.5013]</w:t>
            </w:r>
          </w:p>
        </w:tc>
        <w:tc>
          <w:tcPr>
            <w:tcW w:type="dxa" w:w="2400"/>
          </w:tcPr>
          <w:p>
            <w:r>
              <w:rPr>
                <w:sz w:val="18"/>
                <w:szCs w:val="18"/>
              </w:rPr>
              <w:t xml:space="preserve">0.4375</w:t>
            </w:r>
          </w:p>
        </w:tc>
      </w:tr>
      <w:tr>
        <w:tc>
          <w:tcPr>
            <w:tcW w:type="dxa" w:w="2100"/>
          </w:tcPr>
          <w:p>
            <w:r>
              <w:rPr>
                <w:sz w:val="18"/>
                <w:szCs w:val="18"/>
              </w:rPr>
              <w:t xml:space="preserve">local,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local,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bl>
    <w:p>
      <w:pPr>
        <w:spacing w:after="160"/>
      </w:pPr>
    </w:p>
    <w:p>
      <w:pPr>
        <w:spacing w:after="160"/>
        <w:jc w:val="both"/>
      </w:pPr>
      <w:r>
        <w:rPr>
          <w:b w:val="false"/>
          <w:bCs w:val="false"/>
          <w:i w:val="false"/>
          <w:iCs w:val="false"/>
        </w:rPr>
        <w:t xml:space="preserve">Ognuno dei 10 intervalli di confidenza bootstrap al 95% delle configurazioni contiene 0.5, e nessuna media devia da 0.5 per più di 0.0005 in termini assoluti — un ordine di grandezza più stretto della soglia di controllo positivo di 0.60 usata nella verifica di sanità (§6).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0.5000 / 0.5015 / 0.5003 / 0.5012 (seed 123 / 456 / 789 / 1234, post-fix; più una baseline pre-fix con seed 42). local: AUC LiRA composto per seed 0.4993 / 0.5007 / 0.4991 / 0.5003 / 0.5007 (seed 42 / 123 / 456 / 789 / 1234), IC bootstrap 95% [0.4994, 0.5006] — contiene 0.5. Entrambi sono coerenti con i risultati della simulazione single-process sopra;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otto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