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02FF5" w14:textId="77777777" w:rsidR="0067562D" w:rsidRPr="00385AFC" w:rsidRDefault="0067562D" w:rsidP="0067562D">
      <w:pPr>
        <w:spacing w:after="300" w:line="240" w:lineRule="auto"/>
        <w:rPr>
          <w:color w:val="000000" w:themeColor="text1"/>
        </w:rPr>
      </w:pPr>
      <w:r w:rsidRPr="00385AFC">
        <w:rPr>
          <w:color w:val="000000" w:themeColor="text1"/>
        </w:rPr>
        <w:t xml:space="preserve">Poster Title: Patient-Reported Outcomes and Treatment Persistence with </w:t>
      </w:r>
      <w:proofErr w:type="spellStart"/>
      <w:r w:rsidRPr="00385AFC">
        <w:rPr>
          <w:color w:val="000000" w:themeColor="text1"/>
        </w:rPr>
        <w:t>Brenova</w:t>
      </w:r>
      <w:proofErr w:type="spellEnd"/>
      <w:r w:rsidRPr="00385AFC">
        <w:rPr>
          <w:color w:val="000000" w:themeColor="text1"/>
        </w:rPr>
        <w:t xml:space="preserve">-Based Therapy Under the </w:t>
      </w:r>
      <w:proofErr w:type="spellStart"/>
      <w:r w:rsidRPr="00385AFC">
        <w:rPr>
          <w:color w:val="000000" w:themeColor="text1"/>
        </w:rPr>
        <w:t>Brexiva</w:t>
      </w:r>
      <w:proofErr w:type="spellEnd"/>
      <w:r w:rsidRPr="00385AFC">
        <w:rPr>
          <w:color w:val="000000" w:themeColor="text1"/>
        </w:rPr>
        <w:t xml:space="preserve"> Brand in HR+/HER2- Metastatic Breast Cancer: A Global Observational Research Manuscript</w:t>
      </w:r>
    </w:p>
    <w:p w14:paraId="783CA809" w14:textId="77777777" w:rsidR="0067562D" w:rsidRPr="00385AFC" w:rsidRDefault="0067562D" w:rsidP="0067562D">
      <w:pPr>
        <w:spacing w:after="300" w:line="240" w:lineRule="auto"/>
        <w:rPr>
          <w:color w:val="000000" w:themeColor="text1"/>
        </w:rPr>
      </w:pPr>
      <w:r w:rsidRPr="00385AFC">
        <w:rPr>
          <w:color w:val="000000" w:themeColor="text1"/>
        </w:rPr>
        <w:t xml:space="preserve">Background: The treatment landscape for HR+/HER2- metastatic breast cancer continues to evolve, necessitating a comprehensive understanding of therapeutic options and patient management strategies. </w:t>
      </w:r>
      <w:proofErr w:type="spellStart"/>
      <w:r w:rsidRPr="00385AFC">
        <w:rPr>
          <w:color w:val="000000" w:themeColor="text1"/>
        </w:rPr>
        <w:t>Brenova</w:t>
      </w:r>
      <w:proofErr w:type="spellEnd"/>
      <w:r w:rsidRPr="00385AFC">
        <w:rPr>
          <w:color w:val="000000" w:themeColor="text1"/>
        </w:rPr>
        <w:t xml:space="preserve">, an investigational therapeutic concept associated with the </w:t>
      </w:r>
      <w:proofErr w:type="spellStart"/>
      <w:r w:rsidRPr="00385AFC">
        <w:rPr>
          <w:color w:val="000000" w:themeColor="text1"/>
        </w:rPr>
        <w:t>Brexiva</w:t>
      </w:r>
      <w:proofErr w:type="spellEnd"/>
      <w:r w:rsidRPr="00385AFC">
        <w:rPr>
          <w:color w:val="000000" w:themeColor="text1"/>
        </w:rPr>
        <w:t xml:space="preserve"> brand, is designed to address the complexities of this disease.</w:t>
      </w:r>
    </w:p>
    <w:p w14:paraId="4A075FE6" w14:textId="77777777" w:rsidR="0067562D" w:rsidRPr="00385AFC" w:rsidRDefault="0067562D" w:rsidP="0067562D">
      <w:pPr>
        <w:spacing w:after="300" w:line="240" w:lineRule="auto"/>
        <w:rPr>
          <w:color w:val="000000" w:themeColor="text1"/>
        </w:rPr>
      </w:pPr>
      <w:r w:rsidRPr="00385AFC">
        <w:rPr>
          <w:color w:val="000000" w:themeColor="text1"/>
        </w:rPr>
        <w:t xml:space="preserve">Objectives: This study aims to evaluate patient-reported outcomes and treatment persistence among adults with HR+/HER2- metastatic breast cancer who initiated </w:t>
      </w:r>
      <w:proofErr w:type="spellStart"/>
      <w:r w:rsidRPr="00385AFC">
        <w:rPr>
          <w:color w:val="000000" w:themeColor="text1"/>
        </w:rPr>
        <w:t>Brenova</w:t>
      </w:r>
      <w:proofErr w:type="spellEnd"/>
      <w:r w:rsidRPr="00385AFC">
        <w:rPr>
          <w:color w:val="000000" w:themeColor="text1"/>
        </w:rPr>
        <w:t>-based therapy after prior endocrine-based treatment.</w:t>
      </w:r>
    </w:p>
    <w:p w14:paraId="17F6D37F" w14:textId="77777777" w:rsidR="0067562D" w:rsidRPr="00385AFC" w:rsidRDefault="0067562D" w:rsidP="0067562D">
      <w:pPr>
        <w:spacing w:after="300" w:line="240" w:lineRule="auto"/>
        <w:rPr>
          <w:color w:val="000000" w:themeColor="text1"/>
        </w:rPr>
      </w:pPr>
      <w:r w:rsidRPr="00385AFC">
        <w:rPr>
          <w:color w:val="000000" w:themeColor="text1"/>
        </w:rPr>
        <w:t xml:space="preserve">Methods: The simulated cohort included adults with HR+/HER2- metastatic breast cancer who initiated </w:t>
      </w:r>
      <w:proofErr w:type="spellStart"/>
      <w:r w:rsidRPr="00385AFC">
        <w:rPr>
          <w:color w:val="000000" w:themeColor="text1"/>
        </w:rPr>
        <w:t>Brenova</w:t>
      </w:r>
      <w:proofErr w:type="spellEnd"/>
      <w:r w:rsidRPr="00385AFC">
        <w:rPr>
          <w:color w:val="000000" w:themeColor="text1"/>
        </w:rPr>
        <w:t>-based therapy after prior endocrine-based treatment. Patients represented a global oncology population across North America, Europe, Asia-Pacific, Latin America, and other participating regions. Eligible patients were required to have documented metastatic disease, an ECOG performance status of 0 to 2, and baseline completion of patient-reported outcome instruments. Patients with rapidly progressive disease requiring immediate cytotoxic chemotherapy were not included in the primary simulated cohort. Patients with stable treated central nervous system disease were permitted if symptoms were controlled and functional assessment could be completed reliably.</w:t>
      </w:r>
    </w:p>
    <w:p w14:paraId="731C79EA" w14:textId="77777777" w:rsidR="0067562D" w:rsidRPr="00385AFC" w:rsidRDefault="0067562D" w:rsidP="0067562D">
      <w:pPr>
        <w:spacing w:after="300" w:line="240" w:lineRule="auto"/>
        <w:rPr>
          <w:color w:val="000000" w:themeColor="text1"/>
        </w:rPr>
      </w:pPr>
      <w:r w:rsidRPr="00385AFC">
        <w:rPr>
          <w:color w:val="000000" w:themeColor="text1"/>
        </w:rPr>
        <w:t xml:space="preserve">Results: In the </w:t>
      </w:r>
      <w:proofErr w:type="spellStart"/>
      <w:r w:rsidRPr="00385AFC">
        <w:rPr>
          <w:color w:val="000000" w:themeColor="text1"/>
        </w:rPr>
        <w:t>Brenova</w:t>
      </w:r>
      <w:proofErr w:type="spellEnd"/>
      <w:r w:rsidRPr="00385AFC">
        <w:rPr>
          <w:color w:val="000000" w:themeColor="text1"/>
        </w:rPr>
        <w:t>-Based Therapy Cohort, 34.3% of patients were in the third-line metastatic setting, while 27.6% were in the fourth or later metastatic setting. Additionally, 52.8% of patients had endocrine-sensitive disease, and 47.2% had endocrine-resistant disease. The median age of patients in the cohort is 58 years, with a range of 31 to 81 years. Notably, 99.0% of patients are female, and 31.8% are aged 65 years or older. Safety considerations, including monitoring for hematologic toxicity, are vital in treatment planning. Complete blood count assessment should be considered before treatment initiation and periodically during therapy.</w:t>
      </w:r>
    </w:p>
    <w:p w14:paraId="267DEA7D" w14:textId="77777777" w:rsidR="0067562D" w:rsidRPr="00385AFC" w:rsidRDefault="0067562D" w:rsidP="0067562D">
      <w:pPr>
        <w:spacing w:after="300" w:line="240" w:lineRule="auto"/>
        <w:rPr>
          <w:color w:val="000000" w:themeColor="text1"/>
        </w:rPr>
      </w:pPr>
      <w:r w:rsidRPr="00385AFC">
        <w:rPr>
          <w:color w:val="000000" w:themeColor="text1"/>
        </w:rPr>
        <w:t xml:space="preserve">Key Result Highlight: Understanding the latest evidence and treatment rationale is crucial for effective patient management. Patient selection criteria are essential for optimizing treatment outcomes with </w:t>
      </w:r>
      <w:proofErr w:type="spellStart"/>
      <w:r w:rsidRPr="00385AFC">
        <w:rPr>
          <w:color w:val="000000" w:themeColor="text1"/>
        </w:rPr>
        <w:t>Brexiva</w:t>
      </w:r>
      <w:proofErr w:type="spellEnd"/>
      <w:r w:rsidRPr="00385AFC">
        <w:rPr>
          <w:color w:val="000000" w:themeColor="text1"/>
        </w:rPr>
        <w:t>.</w:t>
      </w:r>
    </w:p>
    <w:p w14:paraId="47998737" w14:textId="77777777" w:rsidR="0067562D" w:rsidRPr="00385AFC" w:rsidRDefault="0067562D" w:rsidP="0067562D">
      <w:pPr>
        <w:spacing w:after="300" w:line="240" w:lineRule="auto"/>
        <w:rPr>
          <w:color w:val="000000" w:themeColor="text1"/>
        </w:rPr>
      </w:pPr>
      <w:r w:rsidRPr="00385AFC">
        <w:rPr>
          <w:color w:val="000000" w:themeColor="text1"/>
        </w:rPr>
        <w:t>BOXED WARNING:</w:t>
      </w:r>
    </w:p>
    <w:p w14:paraId="67E51F98" w14:textId="77777777" w:rsidR="0067562D" w:rsidRPr="00385AFC" w:rsidRDefault="0067562D" w:rsidP="0067562D">
      <w:pPr>
        <w:numPr>
          <w:ilvl w:val="0"/>
          <w:numId w:val="13"/>
        </w:numPr>
        <w:spacing w:after="300" w:line="240" w:lineRule="auto"/>
        <w:rPr>
          <w:color w:val="000000" w:themeColor="text1"/>
        </w:rPr>
      </w:pPr>
      <w:r w:rsidRPr="00385AFC">
        <w:rPr>
          <w:color w:val="000000" w:themeColor="text1"/>
        </w:rPr>
        <w:t>Risk: Hematologic toxicity, including neutropenia, anemia, and thrombocytopenia.</w:t>
      </w:r>
    </w:p>
    <w:p w14:paraId="5BFA0985" w14:textId="77777777" w:rsidR="0067562D" w:rsidRPr="00385AFC" w:rsidRDefault="0067562D" w:rsidP="0067562D">
      <w:pPr>
        <w:numPr>
          <w:ilvl w:val="0"/>
          <w:numId w:val="14"/>
        </w:numPr>
        <w:spacing w:after="300" w:line="240" w:lineRule="auto"/>
        <w:rPr>
          <w:color w:val="000000" w:themeColor="text1"/>
        </w:rPr>
      </w:pPr>
      <w:r w:rsidRPr="00385AFC">
        <w:rPr>
          <w:color w:val="000000" w:themeColor="text1"/>
        </w:rPr>
        <w:t xml:space="preserve">Trigger / Setting: Before and during </w:t>
      </w:r>
      <w:proofErr w:type="spellStart"/>
      <w:r w:rsidRPr="00385AFC">
        <w:rPr>
          <w:color w:val="000000" w:themeColor="text1"/>
        </w:rPr>
        <w:t>Brenova</w:t>
      </w:r>
      <w:proofErr w:type="spellEnd"/>
      <w:r w:rsidRPr="00385AFC">
        <w:rPr>
          <w:color w:val="000000" w:themeColor="text1"/>
        </w:rPr>
        <w:t xml:space="preserve"> treatment.</w:t>
      </w:r>
    </w:p>
    <w:p w14:paraId="224C2476" w14:textId="77777777" w:rsidR="0067562D" w:rsidRPr="00385AFC" w:rsidRDefault="0067562D" w:rsidP="0067562D">
      <w:pPr>
        <w:numPr>
          <w:ilvl w:val="0"/>
          <w:numId w:val="15"/>
        </w:numPr>
        <w:spacing w:after="300" w:line="240" w:lineRule="auto"/>
        <w:rPr>
          <w:color w:val="000000" w:themeColor="text1"/>
        </w:rPr>
      </w:pPr>
      <w:r w:rsidRPr="00385AFC">
        <w:rPr>
          <w:color w:val="000000" w:themeColor="text1"/>
        </w:rPr>
        <w:lastRenderedPageBreak/>
        <w:t>Action for HCP: Complete blood count assessment should be considered before treatment initiation and periodically during therapy.</w:t>
      </w:r>
    </w:p>
    <w:p w14:paraId="5E1F80FB" w14:textId="77777777" w:rsidR="0067562D" w:rsidRPr="00385AFC" w:rsidRDefault="0067562D" w:rsidP="0067562D">
      <w:pPr>
        <w:numPr>
          <w:ilvl w:val="0"/>
          <w:numId w:val="16"/>
        </w:numPr>
        <w:spacing w:after="300" w:line="240" w:lineRule="auto"/>
        <w:rPr>
          <w:color w:val="000000" w:themeColor="text1"/>
        </w:rPr>
      </w:pPr>
      <w:r w:rsidRPr="00385AFC">
        <w:rPr>
          <w:color w:val="000000" w:themeColor="text1"/>
        </w:rPr>
        <w:t>Monitoring: Signs/symptoms of hematologic toxicity or complications such as febrile neutropenia or bleeding risk.</w:t>
      </w:r>
    </w:p>
    <w:p w14:paraId="79A40D46" w14:textId="77777777" w:rsidR="0067562D" w:rsidRPr="00385AFC" w:rsidRDefault="0067562D" w:rsidP="0067562D">
      <w:pPr>
        <w:spacing w:after="300" w:line="240" w:lineRule="auto"/>
        <w:rPr>
          <w:color w:val="000000" w:themeColor="text1"/>
        </w:rPr>
      </w:pPr>
      <w:r w:rsidRPr="00385AFC">
        <w:rPr>
          <w:color w:val="000000" w:themeColor="text1"/>
        </w:rPr>
        <w:t>DATA REFERENCES:</w:t>
      </w:r>
    </w:p>
    <w:p w14:paraId="259E2C72" w14:textId="77777777" w:rsidR="0067562D" w:rsidRPr="00385AFC" w:rsidRDefault="0067562D" w:rsidP="0067562D">
      <w:pPr>
        <w:numPr>
          <w:ilvl w:val="0"/>
          <w:numId w:val="17"/>
        </w:numPr>
        <w:spacing w:after="300" w:line="240" w:lineRule="auto"/>
        <w:rPr>
          <w:color w:val="000000" w:themeColor="text1"/>
        </w:rPr>
      </w:pPr>
      <w:r w:rsidRPr="00385AFC">
        <w:rPr>
          <w:color w:val="000000" w:themeColor="text1"/>
        </w:rPr>
        <w:t>Indication: HR+/HER2- Metastatic Breast Cancer</w:t>
      </w:r>
    </w:p>
    <w:p w14:paraId="401BC830" w14:textId="77777777" w:rsidR="0067562D" w:rsidRPr="00385AFC" w:rsidRDefault="0067562D" w:rsidP="0067562D">
      <w:pPr>
        <w:numPr>
          <w:ilvl w:val="0"/>
          <w:numId w:val="18"/>
        </w:numPr>
        <w:spacing w:after="300" w:line="240" w:lineRule="auto"/>
        <w:rPr>
          <w:color w:val="000000" w:themeColor="text1"/>
        </w:rPr>
      </w:pPr>
      <w:r w:rsidRPr="00385AFC">
        <w:rPr>
          <w:color w:val="000000" w:themeColor="text1"/>
        </w:rPr>
        <w:t xml:space="preserve">Patient Population: Adults with HR+/HER2- metastatic breast cancer who initiated </w:t>
      </w:r>
      <w:proofErr w:type="spellStart"/>
      <w:r w:rsidRPr="00385AFC">
        <w:rPr>
          <w:color w:val="000000" w:themeColor="text1"/>
        </w:rPr>
        <w:t>Brenova</w:t>
      </w:r>
      <w:proofErr w:type="spellEnd"/>
      <w:r w:rsidRPr="00385AFC">
        <w:rPr>
          <w:color w:val="000000" w:themeColor="text1"/>
        </w:rPr>
        <w:t>-based therapy after prior endocrine-based treatment</w:t>
      </w:r>
    </w:p>
    <w:p w14:paraId="04DBAAD0" w14:textId="77777777" w:rsidR="0067562D" w:rsidRPr="00385AFC" w:rsidRDefault="0067562D" w:rsidP="0067562D">
      <w:pPr>
        <w:numPr>
          <w:ilvl w:val="0"/>
          <w:numId w:val="19"/>
        </w:numPr>
        <w:spacing w:after="300" w:line="240" w:lineRule="auto"/>
        <w:rPr>
          <w:color w:val="000000" w:themeColor="text1"/>
        </w:rPr>
      </w:pPr>
      <w:r w:rsidRPr="00385AFC">
        <w:rPr>
          <w:color w:val="000000" w:themeColor="text1"/>
        </w:rPr>
        <w:t>Median Age: 58 years</w:t>
      </w:r>
    </w:p>
    <w:p w14:paraId="7A34AB13" w14:textId="77777777" w:rsidR="0067562D" w:rsidRPr="00385AFC" w:rsidRDefault="0067562D" w:rsidP="0067562D">
      <w:pPr>
        <w:numPr>
          <w:ilvl w:val="0"/>
          <w:numId w:val="20"/>
        </w:numPr>
        <w:spacing w:after="300" w:line="240" w:lineRule="auto"/>
        <w:rPr>
          <w:color w:val="000000" w:themeColor="text1"/>
        </w:rPr>
      </w:pPr>
      <w:r w:rsidRPr="00385AFC">
        <w:rPr>
          <w:color w:val="000000" w:themeColor="text1"/>
        </w:rPr>
        <w:t>Percentage of Female Patients: 99.0%</w:t>
      </w:r>
    </w:p>
    <w:p w14:paraId="5193FCF9" w14:textId="77777777" w:rsidR="0067562D" w:rsidRPr="00385AFC" w:rsidRDefault="0067562D" w:rsidP="0067562D">
      <w:pPr>
        <w:numPr>
          <w:ilvl w:val="0"/>
          <w:numId w:val="21"/>
        </w:numPr>
        <w:spacing w:after="300" w:line="240" w:lineRule="auto"/>
        <w:rPr>
          <w:color w:val="000000" w:themeColor="text1"/>
        </w:rPr>
      </w:pPr>
      <w:r w:rsidRPr="00385AFC">
        <w:rPr>
          <w:color w:val="000000" w:themeColor="text1"/>
        </w:rPr>
        <w:t>Percentage of Patients in Third-Line Metastatic Setting: 34.3%</w:t>
      </w:r>
    </w:p>
    <w:p w14:paraId="355CCD13" w14:textId="77777777" w:rsidR="0067562D" w:rsidRPr="00385AFC" w:rsidRDefault="0067562D" w:rsidP="0067562D">
      <w:pPr>
        <w:numPr>
          <w:ilvl w:val="0"/>
          <w:numId w:val="22"/>
        </w:numPr>
        <w:spacing w:after="300" w:line="240" w:lineRule="auto"/>
        <w:rPr>
          <w:color w:val="000000" w:themeColor="text1"/>
        </w:rPr>
      </w:pPr>
      <w:r w:rsidRPr="00385AFC">
        <w:rPr>
          <w:color w:val="000000" w:themeColor="text1"/>
        </w:rPr>
        <w:t>Percentage of Patients in Fourth or Later Metastatic Setting: 27.6%</w:t>
      </w:r>
    </w:p>
    <w:p w14:paraId="44342BF7" w14:textId="77777777" w:rsidR="0067562D" w:rsidRPr="00385AFC" w:rsidRDefault="0067562D" w:rsidP="0067562D">
      <w:pPr>
        <w:numPr>
          <w:ilvl w:val="0"/>
          <w:numId w:val="23"/>
        </w:numPr>
        <w:spacing w:after="300" w:line="240" w:lineRule="auto"/>
        <w:rPr>
          <w:color w:val="000000" w:themeColor="text1"/>
        </w:rPr>
      </w:pPr>
      <w:r w:rsidRPr="00385AFC">
        <w:rPr>
          <w:color w:val="000000" w:themeColor="text1"/>
        </w:rPr>
        <w:t>Percentage of Patients with Endocrine-Sensitive Disease: 52.8%</w:t>
      </w:r>
    </w:p>
    <w:p w14:paraId="2087894F" w14:textId="77777777" w:rsidR="0067562D" w:rsidRPr="00385AFC" w:rsidRDefault="0067562D" w:rsidP="0067562D">
      <w:pPr>
        <w:numPr>
          <w:ilvl w:val="0"/>
          <w:numId w:val="24"/>
        </w:numPr>
        <w:spacing w:after="300" w:line="240" w:lineRule="auto"/>
        <w:rPr>
          <w:color w:val="000000" w:themeColor="text1"/>
        </w:rPr>
      </w:pPr>
      <w:r w:rsidRPr="00385AFC">
        <w:rPr>
          <w:color w:val="000000" w:themeColor="text1"/>
        </w:rPr>
        <w:t>Percentage of Patients with Endocrine-Resistant Disease: 47.2%</w:t>
      </w:r>
    </w:p>
    <w:p w14:paraId="0AAB68BB" w14:textId="77777777" w:rsidR="0067562D" w:rsidRDefault="0067562D" w:rsidP="0067562D">
      <w:pPr>
        <w:numPr>
          <w:ilvl w:val="0"/>
          <w:numId w:val="25"/>
        </w:numPr>
        <w:spacing w:after="300" w:line="240" w:lineRule="auto"/>
        <w:rPr>
          <w:color w:val="000000" w:themeColor="text1"/>
        </w:rPr>
      </w:pPr>
      <w:r w:rsidRPr="00385AFC">
        <w:rPr>
          <w:color w:val="000000" w:themeColor="text1"/>
        </w:rPr>
        <w:t>Percentage of Patients Aged 65 Years or Older: 31.8%</w:t>
      </w:r>
    </w:p>
    <w:p w14:paraId="3079276A" w14:textId="77777777" w:rsidR="00950C04" w:rsidRDefault="00950C04"/>
    <w:sectPr w:rsidR="00950C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4478"/>
    <w:multiLevelType w:val="multilevel"/>
    <w:tmpl w:val="FD12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45DE5"/>
    <w:multiLevelType w:val="multilevel"/>
    <w:tmpl w:val="CD98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9F6FA2"/>
    <w:multiLevelType w:val="multilevel"/>
    <w:tmpl w:val="BDEE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7746AF"/>
    <w:multiLevelType w:val="multilevel"/>
    <w:tmpl w:val="B49E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526217">
    <w:abstractNumId w:val="0"/>
    <w:lvlOverride w:ilvl="0">
      <w:startOverride w:val="1"/>
    </w:lvlOverride>
  </w:num>
  <w:num w:numId="2" w16cid:durableId="162597607">
    <w:abstractNumId w:val="0"/>
    <w:lvlOverride w:ilvl="0">
      <w:startOverride w:val="2"/>
    </w:lvlOverride>
  </w:num>
  <w:num w:numId="3" w16cid:durableId="237371992">
    <w:abstractNumId w:val="0"/>
    <w:lvlOverride w:ilvl="0">
      <w:startOverride w:val="3"/>
    </w:lvlOverride>
  </w:num>
  <w:num w:numId="4" w16cid:durableId="990595746">
    <w:abstractNumId w:val="0"/>
    <w:lvlOverride w:ilvl="0">
      <w:startOverride w:val="4"/>
    </w:lvlOverride>
  </w:num>
  <w:num w:numId="5" w16cid:durableId="110982363">
    <w:abstractNumId w:val="3"/>
    <w:lvlOverride w:ilvl="0">
      <w:startOverride w:val="1"/>
    </w:lvlOverride>
  </w:num>
  <w:num w:numId="6" w16cid:durableId="1467162652">
    <w:abstractNumId w:val="3"/>
    <w:lvlOverride w:ilvl="0">
      <w:startOverride w:val="2"/>
    </w:lvlOverride>
  </w:num>
  <w:num w:numId="7" w16cid:durableId="1617911318">
    <w:abstractNumId w:val="3"/>
    <w:lvlOverride w:ilvl="0">
      <w:startOverride w:val="3"/>
    </w:lvlOverride>
  </w:num>
  <w:num w:numId="8" w16cid:durableId="1228569502">
    <w:abstractNumId w:val="3"/>
    <w:lvlOverride w:ilvl="0">
      <w:startOverride w:val="4"/>
    </w:lvlOverride>
  </w:num>
  <w:num w:numId="9" w16cid:durableId="844856439">
    <w:abstractNumId w:val="3"/>
    <w:lvlOverride w:ilvl="0">
      <w:startOverride w:val="5"/>
    </w:lvlOverride>
  </w:num>
  <w:num w:numId="10" w16cid:durableId="2138377503">
    <w:abstractNumId w:val="3"/>
    <w:lvlOverride w:ilvl="0">
      <w:startOverride w:val="6"/>
    </w:lvlOverride>
  </w:num>
  <w:num w:numId="11" w16cid:durableId="825978559">
    <w:abstractNumId w:val="3"/>
    <w:lvlOverride w:ilvl="0">
      <w:startOverride w:val="7"/>
    </w:lvlOverride>
  </w:num>
  <w:num w:numId="12" w16cid:durableId="1287201561">
    <w:abstractNumId w:val="3"/>
    <w:lvlOverride w:ilvl="0">
      <w:startOverride w:val="8"/>
    </w:lvlOverride>
  </w:num>
  <w:num w:numId="13" w16cid:durableId="543910948">
    <w:abstractNumId w:val="1"/>
    <w:lvlOverride w:ilvl="0">
      <w:startOverride w:val="1"/>
    </w:lvlOverride>
  </w:num>
  <w:num w:numId="14" w16cid:durableId="480002228">
    <w:abstractNumId w:val="1"/>
    <w:lvlOverride w:ilvl="0">
      <w:startOverride w:val="2"/>
    </w:lvlOverride>
  </w:num>
  <w:num w:numId="15" w16cid:durableId="1319920050">
    <w:abstractNumId w:val="1"/>
    <w:lvlOverride w:ilvl="0">
      <w:startOverride w:val="3"/>
    </w:lvlOverride>
  </w:num>
  <w:num w:numId="16" w16cid:durableId="235282742">
    <w:abstractNumId w:val="1"/>
    <w:lvlOverride w:ilvl="0">
      <w:startOverride w:val="4"/>
    </w:lvlOverride>
  </w:num>
  <w:num w:numId="17" w16cid:durableId="457333947">
    <w:abstractNumId w:val="2"/>
    <w:lvlOverride w:ilvl="0">
      <w:startOverride w:val="1"/>
    </w:lvlOverride>
  </w:num>
  <w:num w:numId="18" w16cid:durableId="1320229591">
    <w:abstractNumId w:val="2"/>
    <w:lvlOverride w:ilvl="0">
      <w:startOverride w:val="2"/>
    </w:lvlOverride>
  </w:num>
  <w:num w:numId="19" w16cid:durableId="1504005811">
    <w:abstractNumId w:val="2"/>
    <w:lvlOverride w:ilvl="0">
      <w:startOverride w:val="3"/>
    </w:lvlOverride>
  </w:num>
  <w:num w:numId="20" w16cid:durableId="1169179853">
    <w:abstractNumId w:val="2"/>
    <w:lvlOverride w:ilvl="0">
      <w:startOverride w:val="4"/>
    </w:lvlOverride>
  </w:num>
  <w:num w:numId="21" w16cid:durableId="1464344437">
    <w:abstractNumId w:val="2"/>
    <w:lvlOverride w:ilvl="0">
      <w:startOverride w:val="5"/>
    </w:lvlOverride>
  </w:num>
  <w:num w:numId="22" w16cid:durableId="1589340904">
    <w:abstractNumId w:val="2"/>
    <w:lvlOverride w:ilvl="0">
      <w:startOverride w:val="6"/>
    </w:lvlOverride>
  </w:num>
  <w:num w:numId="23" w16cid:durableId="1875848776">
    <w:abstractNumId w:val="2"/>
    <w:lvlOverride w:ilvl="0">
      <w:startOverride w:val="7"/>
    </w:lvlOverride>
  </w:num>
  <w:num w:numId="24" w16cid:durableId="350300378">
    <w:abstractNumId w:val="2"/>
    <w:lvlOverride w:ilvl="0">
      <w:startOverride w:val="8"/>
    </w:lvlOverride>
  </w:num>
  <w:num w:numId="25" w16cid:durableId="1805342589">
    <w:abstractNumId w:val="2"/>
    <w:lvlOverride w:ilvl="0">
      <w:startOverride w:val="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EBE"/>
    <w:rsid w:val="00021F92"/>
    <w:rsid w:val="001D45D9"/>
    <w:rsid w:val="0067562D"/>
    <w:rsid w:val="007D6240"/>
    <w:rsid w:val="00950C04"/>
    <w:rsid w:val="00C5684B"/>
    <w:rsid w:val="00C57AF2"/>
    <w:rsid w:val="00E94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6DC6"/>
  <w15:chartTrackingRefBased/>
  <w15:docId w15:val="{7BFC7F0D-5966-4F55-917C-ABB135971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62D"/>
  </w:style>
  <w:style w:type="paragraph" w:styleId="Heading1">
    <w:name w:val="heading 1"/>
    <w:basedOn w:val="Normal"/>
    <w:next w:val="Normal"/>
    <w:link w:val="Heading1Char"/>
    <w:uiPriority w:val="9"/>
    <w:qFormat/>
    <w:rsid w:val="00E94E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4E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4E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4E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4E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E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4E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4E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4E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4E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4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EBE"/>
    <w:rPr>
      <w:rFonts w:eastAsiaTheme="majorEastAsia" w:cstheme="majorBidi"/>
      <w:color w:val="272727" w:themeColor="text1" w:themeTint="D8"/>
    </w:rPr>
  </w:style>
  <w:style w:type="paragraph" w:styleId="Title">
    <w:name w:val="Title"/>
    <w:basedOn w:val="Normal"/>
    <w:next w:val="Normal"/>
    <w:link w:val="TitleChar"/>
    <w:uiPriority w:val="10"/>
    <w:qFormat/>
    <w:rsid w:val="00E94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E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E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E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EBE"/>
    <w:pPr>
      <w:spacing w:before="160"/>
      <w:jc w:val="center"/>
    </w:pPr>
    <w:rPr>
      <w:i/>
      <w:iCs/>
      <w:color w:val="404040" w:themeColor="text1" w:themeTint="BF"/>
    </w:rPr>
  </w:style>
  <w:style w:type="character" w:customStyle="1" w:styleId="QuoteChar">
    <w:name w:val="Quote Char"/>
    <w:basedOn w:val="DefaultParagraphFont"/>
    <w:link w:val="Quote"/>
    <w:uiPriority w:val="29"/>
    <w:rsid w:val="00E94EBE"/>
    <w:rPr>
      <w:i/>
      <w:iCs/>
      <w:color w:val="404040" w:themeColor="text1" w:themeTint="BF"/>
    </w:rPr>
  </w:style>
  <w:style w:type="paragraph" w:styleId="ListParagraph">
    <w:name w:val="List Paragraph"/>
    <w:basedOn w:val="Normal"/>
    <w:uiPriority w:val="34"/>
    <w:qFormat/>
    <w:rsid w:val="00E94EBE"/>
    <w:pPr>
      <w:ind w:left="720"/>
      <w:contextualSpacing/>
    </w:pPr>
  </w:style>
  <w:style w:type="character" w:styleId="IntenseEmphasis">
    <w:name w:val="Intense Emphasis"/>
    <w:basedOn w:val="DefaultParagraphFont"/>
    <w:uiPriority w:val="21"/>
    <w:qFormat/>
    <w:rsid w:val="00E94EBE"/>
    <w:rPr>
      <w:i/>
      <w:iCs/>
      <w:color w:val="0F4761" w:themeColor="accent1" w:themeShade="BF"/>
    </w:rPr>
  </w:style>
  <w:style w:type="paragraph" w:styleId="IntenseQuote">
    <w:name w:val="Intense Quote"/>
    <w:basedOn w:val="Normal"/>
    <w:next w:val="Normal"/>
    <w:link w:val="IntenseQuoteChar"/>
    <w:uiPriority w:val="30"/>
    <w:qFormat/>
    <w:rsid w:val="00E94E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EBE"/>
    <w:rPr>
      <w:i/>
      <w:iCs/>
      <w:color w:val="0F4761" w:themeColor="accent1" w:themeShade="BF"/>
    </w:rPr>
  </w:style>
  <w:style w:type="character" w:styleId="IntenseReference">
    <w:name w:val="Intense Reference"/>
    <w:basedOn w:val="DefaultParagraphFont"/>
    <w:uiPriority w:val="32"/>
    <w:qFormat/>
    <w:rsid w:val="00E94E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2948</Characters>
  <Application>Microsoft Office Word</Application>
  <DocSecurity>0</DocSecurity>
  <Lines>68</Lines>
  <Paragraphs>39</Paragraphs>
  <ScaleCrop>false</ScaleCrop>
  <Company/>
  <LinksUpToDate>false</LinksUpToDate>
  <CharactersWithSpaces>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Goutam Sahu</dc:creator>
  <cp:keywords/>
  <dc:description/>
  <cp:lastModifiedBy>Goutam Sahu</cp:lastModifiedBy>
  <cp:revision>3</cp:revision>
  <dcterms:created xsi:type="dcterms:W3CDTF">2026-06-11T06:33:00Z</dcterms:created>
  <dcterms:modified xsi:type="dcterms:W3CDTF">2026-06-12T10:06:00Z</dcterms:modified>
</cp:coreProperties>
</file>