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B62D" w14:textId="77777777" w:rsidR="00C61AFB" w:rsidRPr="00C3246A" w:rsidRDefault="00C61AFB" w:rsidP="00C61AFB">
      <w:r w:rsidRPr="00C3246A">
        <w:t>Patient Leaflet Title Placeholder</w:t>
      </w:r>
      <w:r w:rsidRPr="00C3246A">
        <w:br/>
      </w:r>
      <w:proofErr w:type="spellStart"/>
      <w:r w:rsidRPr="00C3246A">
        <w:t>Brexiva</w:t>
      </w:r>
      <w:proofErr w:type="spellEnd"/>
      <w:r w:rsidRPr="00C3246A">
        <w:t>®: Your Partner in Managing HR+/HER2- Metastatic Breast Cancer</w:t>
      </w:r>
    </w:p>
    <w:p w14:paraId="4252BD61" w14:textId="77777777" w:rsidR="00C61AFB" w:rsidRPr="00C3246A" w:rsidRDefault="00C61AFB" w:rsidP="00C61AFB">
      <w:r w:rsidRPr="00C3246A">
        <w:t xml:space="preserve">Welcome to this patient information leaflet about </w:t>
      </w:r>
      <w:proofErr w:type="spellStart"/>
      <w:r w:rsidRPr="00C3246A">
        <w:t>Brexiva</w:t>
      </w:r>
      <w:proofErr w:type="spellEnd"/>
      <w:r w:rsidRPr="00C3246A">
        <w:t xml:space="preserve">®. Here, you will find important information about your treatment, including what </w:t>
      </w:r>
      <w:proofErr w:type="spellStart"/>
      <w:r w:rsidRPr="00C3246A">
        <w:t>Brexiva</w:t>
      </w:r>
      <w:proofErr w:type="spellEnd"/>
      <w:r w:rsidRPr="00C3246A">
        <w:t>® is, how it works, and what to expect during your therapy. Our goal is to help you understand your treatment options and support you on your journey.</w:t>
      </w:r>
    </w:p>
    <w:p w14:paraId="7B3814B1" w14:textId="77777777" w:rsidR="00C61AFB" w:rsidRPr="00C3246A" w:rsidRDefault="00C61AFB" w:rsidP="00C61AFB">
      <w:proofErr w:type="spellStart"/>
      <w:r w:rsidRPr="00C3246A">
        <w:t>Brexiva</w:t>
      </w:r>
      <w:proofErr w:type="spellEnd"/>
      <w:r w:rsidRPr="00C3246A">
        <w:t>® is indicated for the treatment of HR+/HER2- metastatic breast cancer. This means it is specifically designed to help manage a type of breast cancer that is hormone receptor-positive and does not have excess HER2 protein. Understanding patient selection criteria is crucial for effective treatment management, as it ensures that the right patients receive the right therapy.</w:t>
      </w:r>
    </w:p>
    <w:p w14:paraId="317EBE11" w14:textId="77777777" w:rsidR="00C61AFB" w:rsidRPr="00C3246A" w:rsidRDefault="00C61AFB" w:rsidP="00C61AFB">
      <w:r w:rsidRPr="00C3246A">
        <w:t xml:space="preserve">In the </w:t>
      </w:r>
      <w:proofErr w:type="spellStart"/>
      <w:r w:rsidRPr="00C3246A">
        <w:t>Brenova</w:t>
      </w:r>
      <w:proofErr w:type="spellEnd"/>
      <w:r w:rsidRPr="00C3246A">
        <w:t xml:space="preserve">-Based Therapy Cohort, 34.3% of patients were in the third-line metastatic setting, and 27.6% were in the fourth or later metastatic setting. This shows that </w:t>
      </w:r>
      <w:proofErr w:type="spellStart"/>
      <w:r w:rsidRPr="00C3246A">
        <w:t>Brexiva</w:t>
      </w:r>
      <w:proofErr w:type="spellEnd"/>
      <w:r w:rsidRPr="00C3246A">
        <w:t xml:space="preserve">® can be an option for patients who have already tried other treatments. Additionally, 52.8% of patients had endocrine-sensitive disease, while 47.2% had endocrine-resistant disease, highlighting the diverse patient population that </w:t>
      </w:r>
      <w:proofErr w:type="spellStart"/>
      <w:r w:rsidRPr="00C3246A">
        <w:t>Brexiva</w:t>
      </w:r>
      <w:proofErr w:type="spellEnd"/>
      <w:r w:rsidRPr="00C3246A">
        <w:t>® can support.</w:t>
      </w:r>
    </w:p>
    <w:p w14:paraId="664E5E13" w14:textId="77777777" w:rsidR="00C61AFB" w:rsidRPr="00C3246A" w:rsidRDefault="00C61AFB" w:rsidP="00C61AFB">
      <w:r w:rsidRPr="00C3246A">
        <w:t xml:space="preserve">As you begin your treatment with </w:t>
      </w:r>
      <w:proofErr w:type="spellStart"/>
      <w:r w:rsidRPr="00C3246A">
        <w:t>Brexiva</w:t>
      </w:r>
      <w:proofErr w:type="spellEnd"/>
      <w:r w:rsidRPr="00C3246A">
        <w:t xml:space="preserve">®, it’s important to follow safety guidelines. Monitoring for hematologic toxicity is essential, as </w:t>
      </w:r>
      <w:proofErr w:type="spellStart"/>
      <w:r w:rsidRPr="00C3246A">
        <w:t>Brenova</w:t>
      </w:r>
      <w:proofErr w:type="spellEnd"/>
      <w:r w:rsidRPr="00C3246A">
        <w:t xml:space="preserve"> may be associated with blood count abnormalities. Complete blood count assessment should be considered before treatment initiation and periodically during therapy. This helps ensure your safety and the effectiveness of your treatment.</w:t>
      </w:r>
    </w:p>
    <w:p w14:paraId="677BFF2D" w14:textId="77777777" w:rsidR="00C61AFB" w:rsidRPr="00C3246A" w:rsidRDefault="00C61AFB" w:rsidP="00C61AFB">
      <w:r w:rsidRPr="00C3246A">
        <w:t>Oncology specialists play a vital role in educating patients about their treatment options. They will discuss the goals of therapy, expected monitoring, possible adverse events, and reasons for treatment modification. It’s important to communicate openly with your healthcare team about any concerns or questions you may have.</w:t>
      </w:r>
    </w:p>
    <w:p w14:paraId="1AF9605B" w14:textId="77777777" w:rsidR="00C61AFB" w:rsidRPr="00C3246A" w:rsidRDefault="00C61AFB" w:rsidP="00C61AFB">
      <w:r w:rsidRPr="00C3246A">
        <w:t>BOXED WARNING:</w:t>
      </w:r>
    </w:p>
    <w:p w14:paraId="6BF231F6" w14:textId="77777777" w:rsidR="00C61AFB" w:rsidRPr="00C3246A" w:rsidRDefault="00C61AFB" w:rsidP="00C61AFB">
      <w:pPr>
        <w:numPr>
          <w:ilvl w:val="0"/>
          <w:numId w:val="1"/>
        </w:numPr>
      </w:pPr>
      <w:r w:rsidRPr="00C3246A">
        <w:t>Risk: Hematologic toxicity, including neutropenia, anemia, and thrombocytopenia.</w:t>
      </w:r>
    </w:p>
    <w:p w14:paraId="45739F55" w14:textId="77777777" w:rsidR="00C61AFB" w:rsidRPr="00C3246A" w:rsidRDefault="00C61AFB" w:rsidP="00C61AFB">
      <w:pPr>
        <w:numPr>
          <w:ilvl w:val="0"/>
          <w:numId w:val="2"/>
        </w:numPr>
      </w:pPr>
      <w:r w:rsidRPr="00C3246A">
        <w:t xml:space="preserve">Trigger / Setting: Before and during </w:t>
      </w:r>
      <w:proofErr w:type="spellStart"/>
      <w:r w:rsidRPr="00C3246A">
        <w:t>Brenova</w:t>
      </w:r>
      <w:proofErr w:type="spellEnd"/>
      <w:r w:rsidRPr="00C3246A">
        <w:t xml:space="preserve"> treatment.</w:t>
      </w:r>
    </w:p>
    <w:p w14:paraId="7FB4482E" w14:textId="77777777" w:rsidR="00C61AFB" w:rsidRPr="00C3246A" w:rsidRDefault="00C61AFB" w:rsidP="00C61AFB">
      <w:pPr>
        <w:numPr>
          <w:ilvl w:val="0"/>
          <w:numId w:val="3"/>
        </w:numPr>
      </w:pPr>
      <w:r w:rsidRPr="00C3246A">
        <w:t>Action for HCP: Complete blood count assessment should be considered.</w:t>
      </w:r>
    </w:p>
    <w:p w14:paraId="424217C7" w14:textId="77777777" w:rsidR="00C61AFB" w:rsidRPr="00C3246A" w:rsidRDefault="00C61AFB" w:rsidP="00C61AFB">
      <w:pPr>
        <w:numPr>
          <w:ilvl w:val="0"/>
          <w:numId w:val="4"/>
        </w:numPr>
      </w:pPr>
      <w:r w:rsidRPr="00C3246A">
        <w:t>Monitoring: Watch for signs of hematologic toxicity.</w:t>
      </w:r>
    </w:p>
    <w:p w14:paraId="7C970BED" w14:textId="77777777" w:rsidR="00C61AFB" w:rsidRPr="00C3246A" w:rsidRDefault="00C61AFB" w:rsidP="00C61AFB">
      <w:r w:rsidRPr="00C3246A">
        <w:t>DATA REFERENCES:</w:t>
      </w:r>
    </w:p>
    <w:p w14:paraId="49B16CBF" w14:textId="77777777" w:rsidR="00C61AFB" w:rsidRPr="00C3246A" w:rsidRDefault="00C61AFB" w:rsidP="00C61AFB">
      <w:pPr>
        <w:numPr>
          <w:ilvl w:val="0"/>
          <w:numId w:val="5"/>
        </w:numPr>
      </w:pPr>
      <w:r w:rsidRPr="00C3246A">
        <w:t>Annual Bleeding Rate Reduction: 34.3%</w:t>
      </w:r>
    </w:p>
    <w:p w14:paraId="36A5B9B9" w14:textId="77777777" w:rsidR="00C61AFB" w:rsidRPr="00C3246A" w:rsidRDefault="00C61AFB" w:rsidP="00C61AFB">
      <w:pPr>
        <w:numPr>
          <w:ilvl w:val="0"/>
          <w:numId w:val="6"/>
        </w:numPr>
      </w:pPr>
      <w:r w:rsidRPr="00C3246A">
        <w:lastRenderedPageBreak/>
        <w:t>Median Age: 58 years</w:t>
      </w:r>
    </w:p>
    <w:p w14:paraId="0ED2BBFC" w14:textId="77777777" w:rsidR="00C61AFB" w:rsidRPr="00C3246A" w:rsidRDefault="00C61AFB" w:rsidP="00C61AFB">
      <w:pPr>
        <w:numPr>
          <w:ilvl w:val="0"/>
          <w:numId w:val="7"/>
        </w:numPr>
      </w:pPr>
      <w:r w:rsidRPr="00C3246A">
        <w:t>Patient Population (n): 286</w:t>
      </w:r>
    </w:p>
    <w:p w14:paraId="45827ADA" w14:textId="77777777" w:rsidR="00C61AFB" w:rsidRPr="00C3246A" w:rsidRDefault="00C61AFB" w:rsidP="00C61AFB">
      <w:pPr>
        <w:numPr>
          <w:ilvl w:val="0"/>
          <w:numId w:val="8"/>
        </w:numPr>
      </w:pPr>
      <w:r w:rsidRPr="00C3246A">
        <w:t>Endocrine-Sensitive Disease: 52.8%</w:t>
      </w:r>
    </w:p>
    <w:p w14:paraId="39AFE1E6" w14:textId="77777777" w:rsidR="00C61AFB" w:rsidRDefault="00C61AFB" w:rsidP="00C61AFB">
      <w:pPr>
        <w:numPr>
          <w:ilvl w:val="0"/>
          <w:numId w:val="9"/>
        </w:numPr>
      </w:pPr>
      <w:r w:rsidRPr="00C3246A">
        <w:t>Endocrine-Resistant Disease: 47.2%</w:t>
      </w:r>
    </w:p>
    <w:p w14:paraId="23B90ED5" w14:textId="77777777" w:rsidR="00950C04" w:rsidRDefault="00950C04"/>
    <w:sectPr w:rsidR="00950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E2F"/>
    <w:multiLevelType w:val="multilevel"/>
    <w:tmpl w:val="841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E1720"/>
    <w:multiLevelType w:val="multilevel"/>
    <w:tmpl w:val="D79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18266">
    <w:abstractNumId w:val="1"/>
    <w:lvlOverride w:ilvl="0">
      <w:startOverride w:val="1"/>
    </w:lvlOverride>
  </w:num>
  <w:num w:numId="2" w16cid:durableId="620764053">
    <w:abstractNumId w:val="1"/>
    <w:lvlOverride w:ilvl="0">
      <w:startOverride w:val="2"/>
    </w:lvlOverride>
  </w:num>
  <w:num w:numId="3" w16cid:durableId="2067144925">
    <w:abstractNumId w:val="1"/>
    <w:lvlOverride w:ilvl="0">
      <w:startOverride w:val="3"/>
    </w:lvlOverride>
  </w:num>
  <w:num w:numId="4" w16cid:durableId="1484394858">
    <w:abstractNumId w:val="1"/>
    <w:lvlOverride w:ilvl="0">
      <w:startOverride w:val="4"/>
    </w:lvlOverride>
  </w:num>
  <w:num w:numId="5" w16cid:durableId="62991140">
    <w:abstractNumId w:val="0"/>
    <w:lvlOverride w:ilvl="0">
      <w:startOverride w:val="1"/>
    </w:lvlOverride>
  </w:num>
  <w:num w:numId="6" w16cid:durableId="327053469">
    <w:abstractNumId w:val="0"/>
    <w:lvlOverride w:ilvl="0">
      <w:startOverride w:val="2"/>
    </w:lvlOverride>
  </w:num>
  <w:num w:numId="7" w16cid:durableId="1975524270">
    <w:abstractNumId w:val="0"/>
    <w:lvlOverride w:ilvl="0">
      <w:startOverride w:val="3"/>
    </w:lvlOverride>
  </w:num>
  <w:num w:numId="8" w16cid:durableId="750664340">
    <w:abstractNumId w:val="0"/>
    <w:lvlOverride w:ilvl="0">
      <w:startOverride w:val="4"/>
    </w:lvlOverride>
  </w:num>
  <w:num w:numId="9" w16cid:durableId="1930307317">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A5B"/>
    <w:rsid w:val="00021F92"/>
    <w:rsid w:val="007A3A5B"/>
    <w:rsid w:val="00950C04"/>
    <w:rsid w:val="00C5684B"/>
    <w:rsid w:val="00C61AFB"/>
    <w:rsid w:val="00CF5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485D2E-3C7E-4C1C-80D9-B81F4A5E2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AFB"/>
  </w:style>
  <w:style w:type="paragraph" w:styleId="Heading1">
    <w:name w:val="heading 1"/>
    <w:basedOn w:val="Normal"/>
    <w:next w:val="Normal"/>
    <w:link w:val="Heading1Char"/>
    <w:uiPriority w:val="9"/>
    <w:qFormat/>
    <w:rsid w:val="007A3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A5B"/>
    <w:rPr>
      <w:rFonts w:eastAsiaTheme="majorEastAsia" w:cstheme="majorBidi"/>
      <w:color w:val="272727" w:themeColor="text1" w:themeTint="D8"/>
    </w:rPr>
  </w:style>
  <w:style w:type="paragraph" w:styleId="Title">
    <w:name w:val="Title"/>
    <w:basedOn w:val="Normal"/>
    <w:next w:val="Normal"/>
    <w:link w:val="TitleChar"/>
    <w:uiPriority w:val="10"/>
    <w:qFormat/>
    <w:rsid w:val="007A3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A5B"/>
    <w:pPr>
      <w:spacing w:before="160"/>
      <w:jc w:val="center"/>
    </w:pPr>
    <w:rPr>
      <w:i/>
      <w:iCs/>
      <w:color w:val="404040" w:themeColor="text1" w:themeTint="BF"/>
    </w:rPr>
  </w:style>
  <w:style w:type="character" w:customStyle="1" w:styleId="QuoteChar">
    <w:name w:val="Quote Char"/>
    <w:basedOn w:val="DefaultParagraphFont"/>
    <w:link w:val="Quote"/>
    <w:uiPriority w:val="29"/>
    <w:rsid w:val="007A3A5B"/>
    <w:rPr>
      <w:i/>
      <w:iCs/>
      <w:color w:val="404040" w:themeColor="text1" w:themeTint="BF"/>
    </w:rPr>
  </w:style>
  <w:style w:type="paragraph" w:styleId="ListParagraph">
    <w:name w:val="List Paragraph"/>
    <w:basedOn w:val="Normal"/>
    <w:uiPriority w:val="34"/>
    <w:qFormat/>
    <w:rsid w:val="007A3A5B"/>
    <w:pPr>
      <w:ind w:left="720"/>
      <w:contextualSpacing/>
    </w:pPr>
  </w:style>
  <w:style w:type="character" w:styleId="IntenseEmphasis">
    <w:name w:val="Intense Emphasis"/>
    <w:basedOn w:val="DefaultParagraphFont"/>
    <w:uiPriority w:val="21"/>
    <w:qFormat/>
    <w:rsid w:val="007A3A5B"/>
    <w:rPr>
      <w:i/>
      <w:iCs/>
      <w:color w:val="0F4761" w:themeColor="accent1" w:themeShade="BF"/>
    </w:rPr>
  </w:style>
  <w:style w:type="paragraph" w:styleId="IntenseQuote">
    <w:name w:val="Intense Quote"/>
    <w:basedOn w:val="Normal"/>
    <w:next w:val="Normal"/>
    <w:link w:val="IntenseQuoteChar"/>
    <w:uiPriority w:val="30"/>
    <w:qFormat/>
    <w:rsid w:val="007A3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A5B"/>
    <w:rPr>
      <w:i/>
      <w:iCs/>
      <w:color w:val="0F4761" w:themeColor="accent1" w:themeShade="BF"/>
    </w:rPr>
  </w:style>
  <w:style w:type="character" w:styleId="IntenseReference">
    <w:name w:val="Intense Reference"/>
    <w:basedOn w:val="DefaultParagraphFont"/>
    <w:uiPriority w:val="32"/>
    <w:qFormat/>
    <w:rsid w:val="007A3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2081</Characters>
  <Application>Microsoft Office Word</Application>
  <DocSecurity>0</DocSecurity>
  <Lines>48</Lines>
  <Paragraphs>27</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Goutam Sahu</dc:creator>
  <cp:keywords/>
  <dc:description/>
  <cp:lastModifiedBy>Goutam Sahu</cp:lastModifiedBy>
  <cp:revision>2</cp:revision>
  <dcterms:created xsi:type="dcterms:W3CDTF">2026-06-12T07:26:00Z</dcterms:created>
  <dcterms:modified xsi:type="dcterms:W3CDTF">2026-06-12T07:27:00Z</dcterms:modified>
</cp:coreProperties>
</file>