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549C7" w14:textId="77777777" w:rsidR="00AC0873" w:rsidRPr="00AC0873" w:rsidRDefault="00AC0873" w:rsidP="00AC0873">
      <w:r w:rsidRPr="00AC0873">
        <w:t>Oncoryva® is a treatment designed for adults with HR+/HER2- metastatic breast cancer who have already tried at least one other treatment. This medication aims to help improve your health and manage symptoms effectively.</w:t>
      </w:r>
    </w:p>
    <w:p w14:paraId="107BFEB5" w14:textId="77777777" w:rsidR="00AC0873" w:rsidRPr="00AC0873" w:rsidRDefault="00AC0873" w:rsidP="00AC0873">
      <w:r w:rsidRPr="00AC0873">
        <w:t>In a study of 210 patients, the median age was 62 years, and most had already received at least two prior systemic regimens for their metastatic disease. Many patients reported moderate symptom burden, with fatigue and pain being the most common issues they faced. This highlights the importance of addressing these symptoms to improve quality of life.</w:t>
      </w:r>
    </w:p>
    <w:p w14:paraId="7FE72E0E" w14:textId="77777777" w:rsidR="00AC0873" w:rsidRPr="00AC0873" w:rsidRDefault="00AC0873" w:rsidP="00AC0873">
      <w:r w:rsidRPr="00AC0873">
        <w:t>Oncoryva® offers a clinically validated treatment pathway for patients with HR+/HER2- metastatic breast cancer. Patient-reported outcomes indicate significant improvements in symptom burden for patients treated with Oncoryva®. In the treated population, the mean baseline global health status was 61.4, and the mean baseline physical functioning score was 68.7. These scores suggest that while patients may start with some challenges, Oncoryva® can help enhance their overall well-being.</w:t>
      </w:r>
    </w:p>
    <w:p w14:paraId="62DEDA27" w14:textId="77777777" w:rsidR="00AC0873" w:rsidRPr="00AC0873" w:rsidRDefault="00AC0873" w:rsidP="00AC0873">
      <w:r w:rsidRPr="00AC0873">
        <w:t>Safety is a top priority when using Oncoryva®. Healthcare professionals will conduct a thorough review of your medical history, including:</w:t>
      </w:r>
    </w:p>
    <w:p w14:paraId="1A63E8CE" w14:textId="77777777" w:rsidR="00AC0873" w:rsidRPr="00AC0873" w:rsidRDefault="00AC0873" w:rsidP="00AC0873">
      <w:pPr>
        <w:numPr>
          <w:ilvl w:val="0"/>
          <w:numId w:val="1"/>
        </w:numPr>
      </w:pPr>
      <w:r w:rsidRPr="00AC0873">
        <w:t>Review of hypersensitivity history.</w:t>
      </w:r>
    </w:p>
    <w:p w14:paraId="05E6EA20" w14:textId="77777777" w:rsidR="00AC0873" w:rsidRPr="00AC0873" w:rsidRDefault="00AC0873" w:rsidP="00AC0873">
      <w:pPr>
        <w:numPr>
          <w:ilvl w:val="0"/>
          <w:numId w:val="2"/>
        </w:numPr>
      </w:pPr>
      <w:r w:rsidRPr="00AC0873">
        <w:t>Baseline clinical assessment.</w:t>
      </w:r>
    </w:p>
    <w:p w14:paraId="06B08573" w14:textId="77777777" w:rsidR="00AC0873" w:rsidRPr="00AC0873" w:rsidRDefault="00AC0873" w:rsidP="00AC0873">
      <w:pPr>
        <w:numPr>
          <w:ilvl w:val="0"/>
          <w:numId w:val="3"/>
        </w:numPr>
      </w:pPr>
      <w:r w:rsidRPr="00AC0873">
        <w:t>Concomitant medication review.</w:t>
      </w:r>
    </w:p>
    <w:p w14:paraId="3CFC4C9E" w14:textId="77777777" w:rsidR="00AC0873" w:rsidRPr="00AC0873" w:rsidRDefault="00AC0873" w:rsidP="00AC0873">
      <w:pPr>
        <w:numPr>
          <w:ilvl w:val="0"/>
          <w:numId w:val="4"/>
        </w:numPr>
      </w:pPr>
      <w:r w:rsidRPr="00AC0873">
        <w:t>Complete blood count monitoring.</w:t>
      </w:r>
    </w:p>
    <w:p w14:paraId="361419F3" w14:textId="77777777" w:rsidR="00AC0873" w:rsidRPr="00AC0873" w:rsidRDefault="00AC0873" w:rsidP="00AC0873">
      <w:pPr>
        <w:numPr>
          <w:ilvl w:val="0"/>
          <w:numId w:val="5"/>
        </w:numPr>
      </w:pPr>
      <w:r w:rsidRPr="00AC0873">
        <w:t>Liver function test monitoring.</w:t>
      </w:r>
    </w:p>
    <w:p w14:paraId="3C343CDE" w14:textId="77777777" w:rsidR="00AC0873" w:rsidRPr="00AC0873" w:rsidRDefault="00AC0873" w:rsidP="00AC0873">
      <w:pPr>
        <w:numPr>
          <w:ilvl w:val="0"/>
          <w:numId w:val="6"/>
        </w:numPr>
      </w:pPr>
      <w:r w:rsidRPr="00AC0873">
        <w:t>Pregnancy status assessment when applicable.</w:t>
      </w:r>
    </w:p>
    <w:p w14:paraId="3B0FF654" w14:textId="77777777" w:rsidR="00AC0873" w:rsidRPr="00AC0873" w:rsidRDefault="00AC0873" w:rsidP="00AC0873">
      <w:pPr>
        <w:numPr>
          <w:ilvl w:val="0"/>
          <w:numId w:val="7"/>
        </w:numPr>
      </w:pPr>
      <w:r w:rsidRPr="00AC0873">
        <w:t>Infection screening and symptom monitoring.</w:t>
      </w:r>
    </w:p>
    <w:p w14:paraId="6E69BAA5" w14:textId="77777777" w:rsidR="00AC0873" w:rsidRPr="00AC0873" w:rsidRDefault="00AC0873" w:rsidP="00AC0873">
      <w:r w:rsidRPr="00AC0873">
        <w:t>These steps are crucial to ensure that you receive the best care possible while on treatment.</w:t>
      </w:r>
    </w:p>
    <w:p w14:paraId="692A4CBE" w14:textId="77777777" w:rsidR="00AC0873" w:rsidRPr="00AC0873" w:rsidRDefault="00AC0873" w:rsidP="00AC0873">
      <w:r w:rsidRPr="00AC0873">
        <w:t>If you have any questions or concerns about Oncoryva®, please talk to your healthcare provider. They are there to support you and help you understand your treatment options better.</w:t>
      </w:r>
    </w:p>
    <w:p w14:paraId="16CEF828" w14:textId="77777777" w:rsidR="00AC0873" w:rsidRPr="00AC0873" w:rsidRDefault="00AC0873" w:rsidP="00AC0873">
      <w:r w:rsidRPr="00AC0873">
        <w:t>BOXED WARNING:</w:t>
      </w:r>
    </w:p>
    <w:p w14:paraId="1D12D5EC" w14:textId="77777777" w:rsidR="00AC0873" w:rsidRPr="00AC0873" w:rsidRDefault="00AC0873" w:rsidP="00AC0873">
      <w:pPr>
        <w:numPr>
          <w:ilvl w:val="0"/>
          <w:numId w:val="8"/>
        </w:numPr>
      </w:pPr>
      <w:r w:rsidRPr="00AC0873">
        <w:t>Risk: Thrombotic microangiopathy (TMA) and thromboembolic events when used with aPCC ≥100 U/kg/24h</w:t>
      </w:r>
    </w:p>
    <w:p w14:paraId="76A58BD5" w14:textId="77777777" w:rsidR="00AC0873" w:rsidRPr="00AC0873" w:rsidRDefault="00AC0873" w:rsidP="00AC0873">
      <w:pPr>
        <w:numPr>
          <w:ilvl w:val="0"/>
          <w:numId w:val="9"/>
        </w:numPr>
      </w:pPr>
      <w:r w:rsidRPr="00AC0873">
        <w:lastRenderedPageBreak/>
        <w:t>Trigger / Setting: Concomitant aPCC dosing for breakthrough bleed management</w:t>
      </w:r>
    </w:p>
    <w:p w14:paraId="47F2670F" w14:textId="77777777" w:rsidR="00AC0873" w:rsidRPr="00AC0873" w:rsidRDefault="00AC0873" w:rsidP="00AC0873">
      <w:pPr>
        <w:numPr>
          <w:ilvl w:val="0"/>
          <w:numId w:val="10"/>
        </w:numPr>
      </w:pPr>
      <w:r w:rsidRPr="00AC0873">
        <w:t>Action for HCP: Discontinue aPCC and assess for TMA / thromboembolism</w:t>
      </w:r>
    </w:p>
    <w:p w14:paraId="39688DE1" w14:textId="77777777" w:rsidR="00AC0873" w:rsidRPr="00AC0873" w:rsidRDefault="00AC0873" w:rsidP="00AC0873">
      <w:pPr>
        <w:numPr>
          <w:ilvl w:val="0"/>
          <w:numId w:val="11"/>
        </w:numPr>
      </w:pPr>
      <w:r w:rsidRPr="00AC0873">
        <w:t>Monitoring: Signs/symptoms of TMA, thrombosis, or DIC</w:t>
      </w:r>
    </w:p>
    <w:p w14:paraId="7B17CBFF" w14:textId="77777777" w:rsidR="00AC0873" w:rsidRPr="00AC0873" w:rsidRDefault="00AC0873" w:rsidP="00AC0873">
      <w:r w:rsidRPr="00AC0873">
        <w:t>DATA REFERENCES:</w:t>
      </w:r>
    </w:p>
    <w:p w14:paraId="5AF9FEFB" w14:textId="77777777" w:rsidR="00AC0873" w:rsidRPr="00AC0873" w:rsidRDefault="00AC0873" w:rsidP="00AC0873">
      <w:pPr>
        <w:numPr>
          <w:ilvl w:val="0"/>
          <w:numId w:val="12"/>
        </w:numPr>
      </w:pPr>
      <w:r w:rsidRPr="00AC0873">
        <w:t>Median Age: 62 years</w:t>
      </w:r>
    </w:p>
    <w:p w14:paraId="43B7BB13" w14:textId="77777777" w:rsidR="00AC0873" w:rsidRPr="00AC0873" w:rsidRDefault="00AC0873" w:rsidP="00AC0873">
      <w:pPr>
        <w:numPr>
          <w:ilvl w:val="0"/>
          <w:numId w:val="13"/>
        </w:numPr>
      </w:pPr>
      <w:r w:rsidRPr="00AC0873">
        <w:t>Prior Systemic Regimens: 2 or more</w:t>
      </w:r>
    </w:p>
    <w:p w14:paraId="7A90A436" w14:textId="77777777" w:rsidR="00AC0873" w:rsidRPr="00AC0873" w:rsidRDefault="00AC0873" w:rsidP="00AC0873">
      <w:pPr>
        <w:numPr>
          <w:ilvl w:val="0"/>
          <w:numId w:val="14"/>
        </w:numPr>
      </w:pPr>
      <w:r w:rsidRPr="00AC0873">
        <w:t>Mean Baseline Global Health Status: 61.4</w:t>
      </w:r>
    </w:p>
    <w:p w14:paraId="19F8A36E" w14:textId="77777777" w:rsidR="00AC0873" w:rsidRPr="00AC0873" w:rsidRDefault="00AC0873" w:rsidP="00AC0873">
      <w:pPr>
        <w:numPr>
          <w:ilvl w:val="0"/>
          <w:numId w:val="15"/>
        </w:numPr>
      </w:pPr>
      <w:r w:rsidRPr="00AC0873">
        <w:t>Mean Baseline Physical Functioning: 68.7</w:t>
      </w:r>
    </w:p>
    <w:p w14:paraId="72A27784" w14:textId="77777777" w:rsidR="00AC0873" w:rsidRPr="00AC0873" w:rsidRDefault="00AC0873" w:rsidP="00AC0873">
      <w:pPr>
        <w:numPr>
          <w:ilvl w:val="0"/>
          <w:numId w:val="16"/>
        </w:numPr>
      </w:pPr>
      <w:r w:rsidRPr="00AC0873">
        <w:t>Prominent Symptoms: Fatigue and pain</w:t>
      </w:r>
    </w:p>
    <w:p w14:paraId="72781E82" w14:textId="77777777" w:rsidR="00950C04" w:rsidRDefault="00950C04"/>
    <w:sectPr w:rsidR="00950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65A00"/>
    <w:multiLevelType w:val="multilevel"/>
    <w:tmpl w:val="D5D4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8441B5"/>
    <w:multiLevelType w:val="multilevel"/>
    <w:tmpl w:val="07BC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D1721A"/>
    <w:multiLevelType w:val="multilevel"/>
    <w:tmpl w:val="465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12392">
    <w:abstractNumId w:val="2"/>
    <w:lvlOverride w:ilvl="0">
      <w:startOverride w:val="1"/>
    </w:lvlOverride>
  </w:num>
  <w:num w:numId="2" w16cid:durableId="255796988">
    <w:abstractNumId w:val="2"/>
    <w:lvlOverride w:ilvl="0">
      <w:startOverride w:val="2"/>
    </w:lvlOverride>
  </w:num>
  <w:num w:numId="3" w16cid:durableId="1911185737">
    <w:abstractNumId w:val="2"/>
    <w:lvlOverride w:ilvl="0">
      <w:startOverride w:val="3"/>
    </w:lvlOverride>
  </w:num>
  <w:num w:numId="4" w16cid:durableId="872965800">
    <w:abstractNumId w:val="2"/>
    <w:lvlOverride w:ilvl="0">
      <w:startOverride w:val="4"/>
    </w:lvlOverride>
  </w:num>
  <w:num w:numId="5" w16cid:durableId="634987537">
    <w:abstractNumId w:val="2"/>
    <w:lvlOverride w:ilvl="0">
      <w:startOverride w:val="5"/>
    </w:lvlOverride>
  </w:num>
  <w:num w:numId="6" w16cid:durableId="382292908">
    <w:abstractNumId w:val="2"/>
    <w:lvlOverride w:ilvl="0">
      <w:startOverride w:val="6"/>
    </w:lvlOverride>
  </w:num>
  <w:num w:numId="7" w16cid:durableId="709916014">
    <w:abstractNumId w:val="2"/>
    <w:lvlOverride w:ilvl="0">
      <w:startOverride w:val="7"/>
    </w:lvlOverride>
  </w:num>
  <w:num w:numId="8" w16cid:durableId="1057314176">
    <w:abstractNumId w:val="1"/>
    <w:lvlOverride w:ilvl="0">
      <w:startOverride w:val="1"/>
    </w:lvlOverride>
  </w:num>
  <w:num w:numId="9" w16cid:durableId="1972520406">
    <w:abstractNumId w:val="1"/>
    <w:lvlOverride w:ilvl="0">
      <w:startOverride w:val="2"/>
    </w:lvlOverride>
  </w:num>
  <w:num w:numId="10" w16cid:durableId="1217886811">
    <w:abstractNumId w:val="1"/>
    <w:lvlOverride w:ilvl="0">
      <w:startOverride w:val="3"/>
    </w:lvlOverride>
  </w:num>
  <w:num w:numId="11" w16cid:durableId="783891604">
    <w:abstractNumId w:val="1"/>
    <w:lvlOverride w:ilvl="0">
      <w:startOverride w:val="4"/>
    </w:lvlOverride>
  </w:num>
  <w:num w:numId="12" w16cid:durableId="1199514713">
    <w:abstractNumId w:val="0"/>
    <w:lvlOverride w:ilvl="0">
      <w:startOverride w:val="1"/>
    </w:lvlOverride>
  </w:num>
  <w:num w:numId="13" w16cid:durableId="1883126023">
    <w:abstractNumId w:val="0"/>
    <w:lvlOverride w:ilvl="0">
      <w:startOverride w:val="2"/>
    </w:lvlOverride>
  </w:num>
  <w:num w:numId="14" w16cid:durableId="1889338051">
    <w:abstractNumId w:val="0"/>
    <w:lvlOverride w:ilvl="0">
      <w:startOverride w:val="3"/>
    </w:lvlOverride>
  </w:num>
  <w:num w:numId="15" w16cid:durableId="1107046161">
    <w:abstractNumId w:val="0"/>
    <w:lvlOverride w:ilvl="0">
      <w:startOverride w:val="4"/>
    </w:lvlOverride>
  </w:num>
  <w:num w:numId="16" w16cid:durableId="505244354">
    <w:abstractNumId w:val="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902"/>
    <w:rsid w:val="00021F92"/>
    <w:rsid w:val="00373902"/>
    <w:rsid w:val="00950C04"/>
    <w:rsid w:val="00AC0873"/>
    <w:rsid w:val="00BB1311"/>
    <w:rsid w:val="00C56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F79438-57A2-42E2-8467-C51F2D34A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902"/>
    <w:rPr>
      <w:rFonts w:eastAsiaTheme="majorEastAsia" w:cstheme="majorBidi"/>
      <w:color w:val="272727" w:themeColor="text1" w:themeTint="D8"/>
    </w:rPr>
  </w:style>
  <w:style w:type="paragraph" w:styleId="Title">
    <w:name w:val="Title"/>
    <w:basedOn w:val="Normal"/>
    <w:next w:val="Normal"/>
    <w:link w:val="TitleChar"/>
    <w:uiPriority w:val="10"/>
    <w:qFormat/>
    <w:rsid w:val="00373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902"/>
    <w:pPr>
      <w:spacing w:before="160"/>
      <w:jc w:val="center"/>
    </w:pPr>
    <w:rPr>
      <w:i/>
      <w:iCs/>
      <w:color w:val="404040" w:themeColor="text1" w:themeTint="BF"/>
    </w:rPr>
  </w:style>
  <w:style w:type="character" w:customStyle="1" w:styleId="QuoteChar">
    <w:name w:val="Quote Char"/>
    <w:basedOn w:val="DefaultParagraphFont"/>
    <w:link w:val="Quote"/>
    <w:uiPriority w:val="29"/>
    <w:rsid w:val="00373902"/>
    <w:rPr>
      <w:i/>
      <w:iCs/>
      <w:color w:val="404040" w:themeColor="text1" w:themeTint="BF"/>
    </w:rPr>
  </w:style>
  <w:style w:type="paragraph" w:styleId="ListParagraph">
    <w:name w:val="List Paragraph"/>
    <w:basedOn w:val="Normal"/>
    <w:uiPriority w:val="34"/>
    <w:qFormat/>
    <w:rsid w:val="00373902"/>
    <w:pPr>
      <w:ind w:left="720"/>
      <w:contextualSpacing/>
    </w:pPr>
  </w:style>
  <w:style w:type="character" w:styleId="IntenseEmphasis">
    <w:name w:val="Intense Emphasis"/>
    <w:basedOn w:val="DefaultParagraphFont"/>
    <w:uiPriority w:val="21"/>
    <w:qFormat/>
    <w:rsid w:val="00373902"/>
    <w:rPr>
      <w:i/>
      <w:iCs/>
      <w:color w:val="0F4761" w:themeColor="accent1" w:themeShade="BF"/>
    </w:rPr>
  </w:style>
  <w:style w:type="paragraph" w:styleId="IntenseQuote">
    <w:name w:val="Intense Quote"/>
    <w:basedOn w:val="Normal"/>
    <w:next w:val="Normal"/>
    <w:link w:val="IntenseQuoteChar"/>
    <w:uiPriority w:val="30"/>
    <w:qFormat/>
    <w:rsid w:val="00373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902"/>
    <w:rPr>
      <w:i/>
      <w:iCs/>
      <w:color w:val="0F4761" w:themeColor="accent1" w:themeShade="BF"/>
    </w:rPr>
  </w:style>
  <w:style w:type="character" w:styleId="IntenseReference">
    <w:name w:val="Intense Reference"/>
    <w:basedOn w:val="DefaultParagraphFont"/>
    <w:uiPriority w:val="32"/>
    <w:qFormat/>
    <w:rsid w:val="00373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333</Words>
  <Characters>1901</Characters>
  <Application>Microsoft Office Word</Application>
  <DocSecurity>0</DocSecurity>
  <Lines>15</Lines>
  <Paragraphs>4</Paragraphs>
  <ScaleCrop>false</ScaleCrop>
  <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Goutam Sahu</dc:creator>
  <cp:keywords/>
  <dc:description/>
  <cp:lastModifiedBy>Goutam Sahu</cp:lastModifiedBy>
  <cp:revision>2</cp:revision>
  <dcterms:created xsi:type="dcterms:W3CDTF">2026-06-11T09:24:00Z</dcterms:created>
  <dcterms:modified xsi:type="dcterms:W3CDTF">2026-06-11T09:24:00Z</dcterms:modified>
</cp:coreProperties>
</file>