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ACAD" w14:textId="77777777" w:rsidR="00BF6A9C" w:rsidRPr="00BF6A9C" w:rsidRDefault="00BF6A9C" w:rsidP="00BF6A9C">
      <w:proofErr w:type="spellStart"/>
      <w:r w:rsidRPr="00BF6A9C">
        <w:t>Zefranova</w:t>
      </w:r>
      <w:proofErr w:type="spellEnd"/>
      <w:r w:rsidRPr="00BF6A9C">
        <w:t xml:space="preserve"> 60 mg once daily has demonstrated significant efficacy in reducing monthly migraine days. In a simulated randomized controlled trial, </w:t>
      </w:r>
      <w:proofErr w:type="spellStart"/>
      <w:r w:rsidRPr="00BF6A9C">
        <w:t>Zefranova</w:t>
      </w:r>
      <w:proofErr w:type="spellEnd"/>
      <w:r w:rsidRPr="00BF6A9C">
        <w:t xml:space="preserve"> reduced monthly migraine days by an average of 5.9 days compared to a 3.4-day reduction with placebo, resulting in a simulated between-group difference of 2.5 days. Additionally, </w:t>
      </w:r>
      <w:proofErr w:type="spellStart"/>
      <w:r w:rsidRPr="00BF6A9C">
        <w:t>Zefranova</w:t>
      </w:r>
      <w:proofErr w:type="spellEnd"/>
      <w:r w:rsidRPr="00BF6A9C">
        <w:t xml:space="preserve"> reduced monthly headache days by an average of 6.8 days, while placebo resulted in a 4.1-day reduction, yielding a difference of 2.7 days. The treatment also led to a ≥50% migraine-day responder rate of 44.2%, compared to 27.7% for placebo, indicating a substantial improvement in patient outcomes.</w:t>
      </w:r>
    </w:p>
    <w:p w14:paraId="784D4EF9" w14:textId="77777777" w:rsidR="00BF6A9C" w:rsidRPr="00BF6A9C" w:rsidRDefault="00BF6A9C" w:rsidP="00BF6A9C">
      <w:r w:rsidRPr="00BF6A9C">
        <w:t xml:space="preserve">Safety and tolerability data suggest that most adverse events associated with </w:t>
      </w:r>
      <w:proofErr w:type="spellStart"/>
      <w:r w:rsidRPr="00BF6A9C">
        <w:t>Zefranova</w:t>
      </w:r>
      <w:proofErr w:type="spellEnd"/>
      <w:r w:rsidRPr="00BF6A9C">
        <w:t xml:space="preserve"> are mild or moderate. In a study of 206 patients, 57.8% of those taking </w:t>
      </w:r>
      <w:proofErr w:type="spellStart"/>
      <w:r w:rsidRPr="00BF6A9C">
        <w:t>Zefranova</w:t>
      </w:r>
      <w:proofErr w:type="spellEnd"/>
      <w:r w:rsidRPr="00BF6A9C">
        <w:t xml:space="preserve"> experienced any treatment-emergent adverse event, with 36.9% reporting mild adverse events and 18.9% reporting moderate adverse events. The most common adverse events included nausea (11.7%), fatigue (10.7%), and dizziness (7.3%). Importantly, only 1.5% of patients experienced serious adverse events, and 5.3% discontinued treatment due to adverse events.</w:t>
      </w:r>
    </w:p>
    <w:p w14:paraId="48DB9666" w14:textId="77777777" w:rsidR="00BF6A9C" w:rsidRPr="00BF6A9C" w:rsidRDefault="00BF6A9C" w:rsidP="00BF6A9C">
      <w:r w:rsidRPr="00BF6A9C">
        <w:t xml:space="preserve">As a healthcare professional, you should monitor for treatment-emergent adverse events such as nausea, fatigue, and dizziness. Patients should be counseled to seek medical attention if symptoms of hypersensitivity occur. </w:t>
      </w:r>
      <w:proofErr w:type="spellStart"/>
      <w:r w:rsidRPr="00BF6A9C">
        <w:t>Zefranova</w:t>
      </w:r>
      <w:proofErr w:type="spellEnd"/>
      <w:r w:rsidRPr="00BF6A9C">
        <w:t xml:space="preserve"> represents a viable treatment option for chronic migraine prevention, with evidence supporting its efficacy and a favorable safety profile.</w:t>
      </w:r>
    </w:p>
    <w:p w14:paraId="3CB3EB14" w14:textId="77777777" w:rsidR="00950C04" w:rsidRDefault="00950C04"/>
    <w:sectPr w:rsidR="00950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4C"/>
    <w:rsid w:val="00021F92"/>
    <w:rsid w:val="004D1A4C"/>
    <w:rsid w:val="00950C04"/>
    <w:rsid w:val="009B2299"/>
    <w:rsid w:val="00BF6A9C"/>
    <w:rsid w:val="00C5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56E57-0041-4749-9D82-34B7DC4C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Goutam Sahu</dc:creator>
  <cp:keywords/>
  <dc:description/>
  <cp:lastModifiedBy>Goutam Sahu</cp:lastModifiedBy>
  <cp:revision>2</cp:revision>
  <dcterms:created xsi:type="dcterms:W3CDTF">2026-06-11T07:36:00Z</dcterms:created>
  <dcterms:modified xsi:type="dcterms:W3CDTF">2026-06-11T07:36:00Z</dcterms:modified>
</cp:coreProperties>
</file>