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Knowledge Base Authoring Rules — v3</w:t>
      </w:r>
    </w:p>
    <w:p>
      <w:pPr>
        <w:spacing w:after="120"/>
      </w:pPr>
      <w:r>
        <w:rPr>
          <w:i/>
          <w:iCs/>
        </w:rPr>
        <w:t xml:space="preserve">Schema version: v3. These rules supersede all prior authoring guidance. Files authored under v2 must be migrated with scripts/migrate-knowledge-base-v3.py.</w:t>
      </w:r>
    </w:p>
    <w:p>
      <w:pPr>
        <w:pStyle w:val="Heading2"/>
      </w:pPr>
      <w:r>
        <w:t xml:space="preserve">1. Taxonomy</w:t>
      </w:r>
    </w:p>
    <w:p>
      <w:pPr>
        <w:spacing w:after="120"/>
      </w:pPr>
      <w:r>
        <w:t xml:space="preserve">A file represents exactly ONE Condition. A Condition contains one or more Classifications. Phases belong to each Classification. Symptoms, Red Flags, and Instructions are authored once per file and declare which Classifications they apply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960"/>
        <w:gridCol w:w="300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Condition Type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Example</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Trigger</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Phase Model</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episodic</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Cardiac Surgery (CABG, VALVE)</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surgery_date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linear</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chronic</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Hypertension, Diabetes</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diagnosis_date | enrollment_date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cyclical</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hybrid</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Heart Failure (HFrEF, HFmrEF, HFpEF)</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discharge_date | enrollment_date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cyclical</w:t>
            </w:r>
          </w:p>
        </w:tc>
      </w:tr>
    </w:tbl>
    <w:p>
      <w:pPr>
        <w:pStyle w:val="Heading2"/>
      </w:pPr>
      <w:r>
        <w:t xml:space="preserve">2. File-Level Invariants</w:t>
      </w:r>
    </w:p>
    <w:p>
      <w:pPr>
        <w:spacing w:after="120"/>
      </w:pPr>
      <w:r>
        <w:t xml:space="preserve">The following five columns must have the SAME value on every row of the "Condition &amp; Phases" sheet:</w:t>
      </w:r>
    </w:p>
    <w:p>
      <w:pPr>
        <w:pStyle w:val="ListParagraph"/>
        <w:numPr>
          <w:ilvl w:val="0"/>
          <w:numId w:val="2"/>
        </w:numPr>
      </w:pPr>
      <w:r>
        <w:t xml:space="preserve">Condition ID</w:t>
      </w:r>
    </w:p>
    <w:p>
      <w:pPr>
        <w:pStyle w:val="ListParagraph"/>
        <w:numPr>
          <w:ilvl w:val="0"/>
          <w:numId w:val="2"/>
        </w:numPr>
      </w:pPr>
      <w:r>
        <w:t xml:space="preserve">Condition Name</w:t>
      </w:r>
    </w:p>
    <w:p>
      <w:pPr>
        <w:pStyle w:val="ListParagraph"/>
        <w:numPr>
          <w:ilvl w:val="0"/>
          <w:numId w:val="2"/>
        </w:numPr>
      </w:pPr>
      <w:r>
        <w:t xml:space="preserve">Condition Type</w:t>
      </w:r>
    </w:p>
    <w:p>
      <w:pPr>
        <w:pStyle w:val="ListParagraph"/>
        <w:numPr>
          <w:ilvl w:val="0"/>
          <w:numId w:val="2"/>
        </w:numPr>
      </w:pPr>
      <w:r>
        <w:t xml:space="preserve">Trigger</w:t>
      </w:r>
    </w:p>
    <w:p>
      <w:pPr>
        <w:pStyle w:val="ListParagraph"/>
        <w:numPr>
          <w:ilvl w:val="0"/>
          <w:numId w:val="2"/>
        </w:numPr>
      </w:pPr>
      <w:r>
        <w:t xml:space="preserve">Phase Model</w:t>
      </w:r>
    </w:p>
    <w:p>
      <w:pPr>
        <w:spacing w:after="120"/>
      </w:pPr>
      <w:r>
        <w:t xml:space="preserve">The parser rejects the file if any of these diverge.</w:t>
      </w:r>
    </w:p>
    <w:p>
      <w:pPr>
        <w:pStyle w:val="Heading2"/>
      </w:pPr>
      <w:r>
        <w:t xml:space="preserve">3.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Kind</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Prefix</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Example</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Condition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COND_</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COND_CARDIAC_SURGERY</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Classification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CLS_</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CLS_CABG, CLS_VALVE, CLS_HFREF</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Phase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PHASE_</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PHASE_I, PHASE_II, PHASE_III</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Symptom</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SYM_</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SYM_001</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Red Flag</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RF_</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RF_001</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Instruction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INS_</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INS_001</w:t>
            </w:r>
          </w:p>
        </w:tc>
      </w:tr>
    </w:tbl>
    <w:p>
      <w:pPr>
        <w:pStyle w:val="Heading2"/>
      </w:pPr>
      <w:r>
        <w:t xml:space="preserve">4. Workbook Layout</w:t>
      </w:r>
    </w:p>
    <w:p>
      <w:pPr>
        <w:spacing w:after="120"/>
      </w:pPr>
      <w:r>
        <w:t xml:space="preserve">Every sheet uses row 4 as the header row. Rows 1–3 are reserved for human-readable titles and notes (ignored by the parser).</w:t>
      </w:r>
    </w:p>
    <w:p>
      <w:pPr>
        <w:pStyle w:val="Heading3"/>
      </w:pPr>
      <w:r>
        <w:t xml:space="preserve">4.1 Sheet: Condition &amp;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Column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Required</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Condition 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yes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COND_*; same on every row</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Condition Name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yes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human label; same on every row</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Condition Type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yes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episodic | chronic | hybrid; same on every row</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Trigger</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yes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surgery_date | discharge_date | enrollment_date | diagnosis_date. Multiple values pipe-separated, ordered by preference. Same on every row.</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Phase Model</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yes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linear | cyclical; same on every row</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Classification 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yes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CLS_*</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Classification Label</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yes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human label (CABG, VALVE, HFrEF, ...)</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Phase Key</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yes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PHASE_I, PHASE_II, ...</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Phase Name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yes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human label</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Day Range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yes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Format: "start–end" (e.g. 0–7), "start+" (e.g. 90+), or "ongoing"</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Focus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yes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short clinical focus</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Review</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no</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free text</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Instruction Sheet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no</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version tag</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Notes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no</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free text</w:t>
            </w:r>
          </w:p>
        </w:tc>
      </w:tr>
    </w:tbl>
    <w:p>
      <w:pPr>
        <w:pStyle w:val="Heading3"/>
      </w:pPr>
      <w:r>
        <w:t xml:space="preserve">4.2 Sheet: Symptoms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Column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Required</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Symptom 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yes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SYM_*</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Symptom Name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yes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Applicable Classifications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yes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ALL or comma-separated CLS_* ids</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Applicable Phases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yes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comma-separated PHASE_* keys that exist for the referenced classifications</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Base Severity</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yes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low | moderate | high</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Severity Score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yes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INTEGER 1–5 (2.0 accepted as 2; 2.5 rejected)</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Phase Override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no</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e.g. "PHASE_II: escalate sooner; PHASE_III: reassure"</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Assessment Questions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no</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structured block</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Notes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no</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
            </w:r>
          </w:p>
        </w:tc>
      </w:tr>
    </w:tbl>
    <w:p>
      <w:pPr>
        <w:pStyle w:val="Heading3"/>
      </w:pPr>
      <w:r>
        <w:t xml:space="preserve">4.3 Sheet: Red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Column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Required</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Red Flag 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yes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RF_*</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Symptom 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no</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SYM_* if linked</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Trigger</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yes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human-readable red-flag description</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Applicable Classifications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yes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ALL or comma-separated CLS_* ids</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Applicable Phases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yes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comma-separated</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Action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yes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what the nurse/caller should do</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Urgency</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yes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immediate | urgent | moderate</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Context Note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no</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Rationale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no</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
            </w:r>
          </w:p>
        </w:tc>
      </w:tr>
    </w:tbl>
    <w:p>
      <w:pPr>
        <w:pStyle w:val="Heading3"/>
      </w:pPr>
      <w:r>
        <w:t xml:space="preserve">4.4 Sheet: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Column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Required</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Instruction 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yes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INS_*</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Applicable Classifications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yes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ALL or comma-separated CLS_* ids</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Applicable Phases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yes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comma-separated</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Category</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yes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diet | activity | medication | monitoring | other</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Text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yes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instruction itself</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Issued At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no</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review label (e.g. "Review 1 (~Day 7)")</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Replaces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no</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INS_* id this one supersedes</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Notes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no</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
            </w:r>
          </w:p>
        </w:tc>
      </w:tr>
    </w:tbl>
    <w:p>
      <w:pPr>
        <w:pStyle w:val="Heading2"/>
      </w:pPr>
      <w:r>
        <w:t xml:space="preserve">5. Day Range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Meaning</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0–7</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Closed range: days 0 through 7 inclusive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90+</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Open-ended: day 90 onward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ongoing</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No day bounds (chronic management phase)</w:t>
            </w:r>
          </w:p>
        </w:tc>
      </w:tr>
    </w:tbl>
    <w:p>
      <w:pPr>
        <w:spacing w:after="120"/>
      </w:pPr>
      <w:r>
        <w:t xml:space="preserve">Use the en-dash (–), not a hyphen (-), for closed ranges. The parser accepts both, but the en-dash matches the authoring convention.</w:t>
      </w:r>
    </w:p>
    <w:p>
      <w:pPr>
        <w:pStyle w:val="Heading2"/>
      </w:pPr>
      <w:r>
        <w:t xml:space="preserve">6. Applicable Classifications</w:t>
      </w:r>
    </w:p>
    <w:p>
      <w:pPr>
        <w:spacing w:after="120"/>
      </w:pPr>
      <w:r>
        <w:t xml:space="preserve">Every Symptom, Red Flag, and Instruction must declare Applicable Classifications:</w:t>
      </w:r>
    </w:p>
    <w:p>
      <w:pPr>
        <w:pStyle w:val="ListParagraph"/>
        <w:numPr>
          <w:ilvl w:val="0"/>
          <w:numId w:val="2"/>
        </w:numPr>
      </w:pPr>
      <w:r>
        <w:t xml:space="preserve">"ALL" — applies to every classification declared in the file.</w:t>
      </w:r>
    </w:p>
    <w:p>
      <w:pPr>
        <w:pStyle w:val="ListParagraph"/>
        <w:numPr>
          <w:ilvl w:val="0"/>
          <w:numId w:val="2"/>
        </w:numPr>
      </w:pPr>
      <w:r>
        <w:t xml:space="preserve">Comma-separated CLS_* ids — applies only to those classifications (e.g. "CLS_HFREF, CLS_HFMREF").</w:t>
      </w:r>
    </w:p>
    <w:p>
      <w:pPr>
        <w:spacing w:after="120"/>
      </w:pPr>
      <w:r>
        <w:t xml:space="preserve">The parser validates that each CLS_* id exists in the Condition &amp; Phases sheet.</w:t>
      </w:r>
    </w:p>
    <w:p>
      <w:pPr>
        <w:pStyle w:val="Heading2"/>
      </w:pPr>
      <w:r>
        <w:t xml:space="preserve">7. Examples</w:t>
      </w:r>
    </w:p>
    <w:p>
      <w:pPr>
        <w:pStyle w:val="Heading3"/>
      </w:pPr>
      <w:r>
        <w:t xml:space="preserve">7.1 Episodic — Cardiac Surgery</w:t>
      </w:r>
    </w:p>
    <w:p>
      <w:pPr>
        <w:shd w:fill="F4F4F4" w:val="clear"/>
        <w:spacing w:after="120" w:before="80"/>
      </w:pPr>
      <w:r>
        <w:rPr>
          <w:rFonts w:ascii="Consolas" w:cs="Consolas" w:eastAsia="Consolas" w:hAnsi="Consolas"/>
        </w:rPr>
        <w:t xml:space="preserve">Condition ID         : COND_CARDIAC_SURGERY</w:t>
      </w:r>
    </w:p>
    <w:p>
      <w:pPr>
        <w:shd w:fill="F4F4F4" w:val="clear"/>
        <w:spacing w:after="120" w:before="80"/>
      </w:pPr>
      <w:r>
        <w:rPr>
          <w:rFonts w:ascii="Consolas" w:cs="Consolas" w:eastAsia="Consolas" w:hAnsi="Consolas"/>
        </w:rPr>
        <w:t xml:space="preserve">Condition Type       : episodic</w:t>
      </w:r>
    </w:p>
    <w:p>
      <w:pPr>
        <w:shd w:fill="F4F4F4" w:val="clear"/>
        <w:spacing w:after="120" w:before="80"/>
      </w:pPr>
      <w:r>
        <w:rPr>
          <w:rFonts w:ascii="Consolas" w:cs="Consolas" w:eastAsia="Consolas" w:hAnsi="Consolas"/>
        </w:rPr>
        <w:t xml:space="preserve">Trigger              : surgery_date</w:t>
      </w:r>
    </w:p>
    <w:p>
      <w:pPr>
        <w:shd w:fill="F4F4F4" w:val="clear"/>
        <w:spacing w:after="120" w:before="80"/>
      </w:pPr>
      <w:r>
        <w:rPr>
          <w:rFonts w:ascii="Consolas" w:cs="Consolas" w:eastAsia="Consolas" w:hAnsi="Consolas"/>
        </w:rPr>
        <w:t xml:space="preserve">Phase Model          : linear</w:t>
      </w:r>
    </w:p>
    <w:p>
      <w:pPr>
        <w:shd w:fill="F4F4F4" w:val="clear"/>
        <w:spacing w:after="120" w:before="80"/>
      </w:pPr>
      <w:r>
        <w:rPr>
          <w:rFonts w:ascii="Consolas" w:cs="Consolas" w:eastAsia="Consolas" w:hAnsi="Consolas"/>
        </w:rPr>
        <w:t xml:space="preserve">Classifications      : CLS_CABG, CLS_VALVE</w:t>
      </w:r>
    </w:p>
    <w:p>
      <w:pPr>
        <w:shd w:fill="F4F4F4" w:val="clear"/>
        <w:spacing w:after="120" w:before="80"/>
      </w:pPr>
      <w:r>
        <w:rPr>
          <w:rFonts w:ascii="Consolas" w:cs="Consolas" w:eastAsia="Consolas" w:hAnsi="Consolas"/>
        </w:rPr>
        <w:t xml:space="preserve">Phases per Classif.  : PHASE_I (0–7), PHASE_II (7–30), PHASE_III (30+)</w:t>
      </w:r>
    </w:p>
    <w:p>
      <w:pPr>
        <w:pStyle w:val="Heading3"/>
      </w:pPr>
      <w:r>
        <w:t xml:space="preserve">7.2 Hybrid — Heart Failure</w:t>
      </w:r>
    </w:p>
    <w:p>
      <w:pPr>
        <w:shd w:fill="F4F4F4" w:val="clear"/>
        <w:spacing w:after="120" w:before="80"/>
      </w:pPr>
      <w:r>
        <w:rPr>
          <w:rFonts w:ascii="Consolas" w:cs="Consolas" w:eastAsia="Consolas" w:hAnsi="Consolas"/>
        </w:rPr>
        <w:t xml:space="preserve">Condition ID         : COND_HEART_FAILURE</w:t>
      </w:r>
    </w:p>
    <w:p>
      <w:pPr>
        <w:shd w:fill="F4F4F4" w:val="clear"/>
        <w:spacing w:after="120" w:before="80"/>
      </w:pPr>
      <w:r>
        <w:rPr>
          <w:rFonts w:ascii="Consolas" w:cs="Consolas" w:eastAsia="Consolas" w:hAnsi="Consolas"/>
        </w:rPr>
        <w:t xml:space="preserve">Condition Type       : hybrid</w:t>
      </w:r>
    </w:p>
    <w:p>
      <w:pPr>
        <w:shd w:fill="F4F4F4" w:val="clear"/>
        <w:spacing w:after="120" w:before="80"/>
      </w:pPr>
      <w:r>
        <w:rPr>
          <w:rFonts w:ascii="Consolas" w:cs="Consolas" w:eastAsia="Consolas" w:hAnsi="Consolas"/>
        </w:rPr>
        <w:t xml:space="preserve">Trigger              : discharge_date | enrollment_date</w:t>
      </w:r>
    </w:p>
    <w:p>
      <w:pPr>
        <w:shd w:fill="F4F4F4" w:val="clear"/>
        <w:spacing w:after="120" w:before="80"/>
      </w:pPr>
      <w:r>
        <w:rPr>
          <w:rFonts w:ascii="Consolas" w:cs="Consolas" w:eastAsia="Consolas" w:hAnsi="Consolas"/>
        </w:rPr>
        <w:t xml:space="preserve">Phase Model          : cyclical</w:t>
      </w:r>
    </w:p>
    <w:p>
      <w:pPr>
        <w:shd w:fill="F4F4F4" w:val="clear"/>
        <w:spacing w:after="120" w:before="80"/>
      </w:pPr>
      <w:r>
        <w:rPr>
          <w:rFonts w:ascii="Consolas" w:cs="Consolas" w:eastAsia="Consolas" w:hAnsi="Consolas"/>
        </w:rPr>
        <w:t xml:space="preserve">Classifications      : CLS_HFREF, CLS_HFMREF, CLS_HFPEF</w:t>
      </w:r>
    </w:p>
    <w:p>
      <w:pPr>
        <w:shd w:fill="F4F4F4" w:val="clear"/>
        <w:spacing w:after="120" w:before="80"/>
      </w:pPr>
      <w:r>
        <w:rPr>
          <w:rFonts w:ascii="Consolas" w:cs="Consolas" w:eastAsia="Consolas" w:hAnsi="Consolas"/>
        </w:rPr>
        <w:t xml:space="preserve">Phases per Classif.  : PHASE_I (0–14), PHASE_II (15–45), PHASE_III (46–90), PHASE_IV (90+ ongoing)</w:t>
      </w:r>
    </w:p>
    <w:p>
      <w:pPr>
        <w:pStyle w:val="Heading2"/>
      </w:pPr>
      <w:r>
        <w:t xml:space="preserve">8. Authoring Workflow</w:t>
      </w:r>
    </w:p>
    <w:p>
      <w:pPr>
        <w:pStyle w:val="ListParagraph"/>
        <w:numPr>
          <w:ilvl w:val="0"/>
          <w:numId w:val="2"/>
        </w:numPr>
      </w:pPr>
      <w:r>
        <w:t xml:space="preserve">Start from the template in knowledge-base/v3/.</w:t>
      </w:r>
    </w:p>
    <w:p>
      <w:pPr>
        <w:pStyle w:val="ListParagraph"/>
        <w:numPr>
          <w:ilvl w:val="0"/>
          <w:numId w:val="2"/>
        </w:numPr>
      </w:pPr>
      <w:r>
        <w:t xml:space="preserve">Fill Condition &amp; Phases first; confirm invariants are identical on every row.</w:t>
      </w:r>
    </w:p>
    <w:p>
      <w:pPr>
        <w:pStyle w:val="ListParagraph"/>
        <w:numPr>
          <w:ilvl w:val="0"/>
          <w:numId w:val="2"/>
        </w:numPr>
      </w:pPr>
      <w:r>
        <w:t xml:space="preserve">Author Symptoms, Red Flags, and Instructions, declaring Applicable Classifications explicitly.</w:t>
      </w:r>
    </w:p>
    <w:p>
      <w:pPr>
        <w:pStyle w:val="ListParagraph"/>
        <w:numPr>
          <w:ilvl w:val="0"/>
          <w:numId w:val="2"/>
        </w:numPr>
      </w:pPr>
      <w:r>
        <w:t xml:space="preserve">Run the parser locally: `python scripts/generate-knowledge-graph.py &lt;file.xlsx&gt;`.</w:t>
      </w:r>
    </w:p>
    <w:p>
      <w:pPr>
        <w:pStyle w:val="ListParagraph"/>
        <w:numPr>
          <w:ilvl w:val="0"/>
          <w:numId w:val="2"/>
        </w:numPr>
      </w:pPr>
      <w:r>
        <w:t xml:space="preserve">The parser must report `valid: true` and `error_count: 0`.</w:t>
      </w:r>
    </w:p>
    <w:p>
      <w:pPr>
        <w:pStyle w:val="Heading2"/>
      </w:pPr>
      <w:r>
        <w:t xml:space="preserve">9. Migration from Legacy Files</w:t>
      </w:r>
    </w:p>
    <w:p>
      <w:pPr>
        <w:spacing w:after="120"/>
      </w:pPr>
      <w:r>
        <w:t xml:space="preserve">Use scripts/migrate-knowledge-base-v3.py with a named plan (e.g. cardiac_surgery, heart_failure). The migrator maps old COND_* ids to new CLS_* ids, sets file-level invariants, and renames columns to v3.</w:t>
      </w:r>
    </w:p>
    <w:p>
      <w:pPr>
        <w:shd w:fill="F4F4F4" w:val="clear"/>
        <w:spacing w:after="120" w:before="80"/>
      </w:pPr>
      <w:r>
        <w:rPr>
          <w:rFonts w:ascii="Consolas" w:cs="Consolas" w:eastAsia="Consolas" w:hAnsi="Consolas"/>
        </w:rPr>
        <w:t xml:space="preserve">python scripts/migrate-knowledge-base-v3.py &lt;in.xlsx&gt; &lt;out.xlsx&gt; &lt;plan_name&gt;</w:t>
      </w:r>
    </w:p>
    <w:p>
      <w:pPr>
        <w:pStyle w:val="Heading2"/>
      </w:pPr>
      <w:r>
        <w:t xml:space="preserve">10. Parser Output Reference</w:t>
      </w:r>
    </w:p>
    <w:p>
      <w:pPr>
        <w:spacing w:after="120"/>
      </w:pPr>
      <w:r>
        <w:t xml:space="preserve">See docs/knowledge-base/PARSER_SPEC_V3.md for the full JSON output schema, runtime filtering rules, and validation semantics.</w:t>
      </w:r>
    </w:p>
    <w:p>
      <w:pPr>
        <w:pStyle w:val="Heading2"/>
      </w:pPr>
      <w:r>
        <w:t xml:space="preserve">11. v3.2 Additions: Track and Patient Action</w:t>
      </w:r>
    </w:p>
    <w:p>
      <w:pPr>
        <w:spacing w:after="120"/>
      </w:pPr>
      <w:r>
        <w:rPr>
          <w:i/>
          <w:iCs/>
        </w:rPr>
        <w:t xml:space="preserve">Schema v3.2 adds two new columns. Existing v3.1 files remain valid and continue to parse without modification. New KBs should be authored in v3.2. Files for hybrid conditions (Heart Failure, Glaucoma) must use v3.2.</w:t>
      </w:r>
    </w:p>
    <w:p>
      <w:pPr>
        <w:pStyle w:val="Heading2"/>
      </w:pPr>
      <w:r>
        <w:t xml:space="preserve">12. Track Column (v3.2) — Episodic, Chronic, and Hybrid Conditions</w:t>
      </w:r>
    </w:p>
    <w:p>
      <w:pPr>
        <w:spacing w:after="120"/>
      </w:pPr>
      <w:r>
        <w:t xml:space="preserve">The Track column addresses a fundamental clinical reality: the same condition may be managed differently depending on how the patient entered care. A heart failure patient discharged from hospital needs daily weight monitoring and urgent 7-day follow-up. A stable outpatient enrolled ambulatorily needs monthly calls and chronic self-management education. Both share the same physiology and the same red flags — but their Phase I content is completely different.</w:t>
      </w:r>
    </w:p>
    <w:p>
      <w:pPr>
        <w:spacing w:after="120"/>
      </w:pPr>
      <w:r>
        <w:t xml:space="preserve">Track appears on Conditions &amp; Phases (Sheet 1) and Instructions (Sheet 5). Valid values mirror the Condition Type vocabulary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shd w:fill="2E75B6" w:val="clear"/>
        </w:trPr>
        <w:tc>
          <w:tcPr>
            <w:tcW w:type="dxa" w:w="1500"/>
            <w:shd w:fill="2E75B6" w:val="clear"/>
          </w:tcPr>
          <w:p>
            <w:r>
              <w:rPr>
                <w:b/>
                <w:color w:val="FFFFFF"/>
              </w:rPr>
              <w:t>Track value</w:t>
            </w:r>
          </w:p>
        </w:tc>
        <w:tc>
          <w:tcPr>
            <w:tcW w:type="dxa" w:w="3000"/>
            <w:shd w:fill="2E75B6" w:val="clear"/>
          </w:tcPr>
          <w:p>
            <w:r>
              <w:rPr>
                <w:b/>
                <w:color w:val="FFFFFF"/>
              </w:rPr>
              <w:t>Applies to</w:t>
            </w:r>
          </w:p>
        </w:tc>
        <w:tc>
          <w:tcPr>
            <w:tcW w:type="dxa" w:w="4860"/>
            <w:shd w:fill="2E75B6" w:val="clear"/>
          </w:tcPr>
          <w:p>
            <w:r>
              <w:rPr>
                <w:b/>
                <w:color w:val="FFFFFF"/>
              </w:rPr>
              <w:t>When to use on a row</w:t>
            </w:r>
          </w:p>
        </w:tc>
      </w:tr>
      <w:tr>
        <w:tc>
          <w:tcPr>
            <w:tcW w:type="dxa" w:w="1500"/>
          </w:tcPr>
          <w:p>
            <w:r>
              <w:rPr>
                <w:rFonts w:ascii="Consolas" w:hAnsi="Consolas"/>
              </w:rPr>
              <w:t>episodic</w:t>
            </w:r>
          </w:p>
        </w:tc>
        <w:tc>
          <w:tcPr>
            <w:tcW w:type="dxa" w:w="3000"/>
          </w:tcPr>
          <w:p>
            <w:r>
              <w:t xml:space="preserve">Event-triggered patients (surgery, discharge date)</w:t>
            </w:r>
          </w:p>
        </w:tc>
        <w:tc>
          <w:tcPr>
            <w:tcW w:type="dxa" w:w="4860"/>
          </w:tcPr>
          <w:p>
            <w:r>
              <w:t xml:space="preserve">Phases specific to post-discharge or post-surgical recovery. All rows in purely episodic conditions (Cardiac Surgery, Keratoplasty).</w:t>
            </w:r>
          </w:p>
        </w:tc>
      </w:tr>
      <w:tr>
        <w:tc>
          <w:tcPr>
            <w:tcW w:type="dxa" w:w="1500"/>
          </w:tcPr>
          <w:p>
            <w:r>
              <w:rPr>
                <w:rFonts w:ascii="Consolas" w:hAnsi="Consolas"/>
              </w:rPr>
              <w:t>chronic</w:t>
            </w:r>
          </w:p>
        </w:tc>
        <w:tc>
          <w:tcPr>
            <w:tcW w:type="dxa" w:w="3000"/>
          </w:tcPr>
          <w:p>
            <w:r>
              <w:t xml:space="preserve">Ambulatory-enrolled patients (enrollment, diagnosis date)</w:t>
            </w:r>
          </w:p>
        </w:tc>
        <w:tc>
          <w:tcPr>
            <w:tcW w:type="dxa" w:w="4860"/>
          </w:tcPr>
          <w:p>
            <w:r>
              <w:t xml:space="preserve">Onboarding and stabilisation phases for patients never hospitalised for this condition. All rows in purely chronic conditions (Diabetes, Hypertension).</w:t>
            </w:r>
          </w:p>
        </w:tc>
      </w:tr>
      <w:tr>
        <w:tc>
          <w:tcPr>
            <w:tcW w:type="dxa" w:w="1500"/>
          </w:tcPr>
          <w:p>
            <w:r>
              <w:rPr>
                <w:rFonts w:ascii="Consolas" w:hAnsi="Consolas"/>
              </w:rPr>
              <w:t>hybrid</w:t>
            </w:r>
          </w:p>
        </w:tc>
        <w:tc>
          <w:tcPr>
            <w:tcW w:type="dxa" w:w="3000"/>
          </w:tcPr>
          <w:p>
            <w:r>
              <w:t>All patients regardless of entry path</w:t>
            </w:r>
          </w:p>
        </w:tc>
        <w:tc>
          <w:tcPr>
            <w:tcW w:type="dxa" w:w="4860"/>
          </w:tcPr>
          <w:p>
            <w:r>
              <w:t xml:space="preserve">Converged phases where content is identical for both episodic and chronic patients (e.g. HF Phase III onward — chronic maintenance is the same regardless of how the patient entered). Avoids duplicating rows with identical content.</w:t>
            </w:r>
          </w:p>
        </w:tc>
      </w:tr>
    </w:tbl>
    <w:p>
      <w:pPr>
        <w:spacing w:after="120" w:before="160"/>
      </w:pPr>
      <w:r>
        <w:t xml:space="preserve">Symptoms, Assessment Questions, Red Flags, and Scoring Logic carry no Track column — clinical physiology and triage logic are identical regardless of entry path.</w:t>
      </w:r>
    </w:p>
    <w:p>
      <w:pPr>
        <w:pStyle w:val="Heading2"/>
      </w:pPr>
      <w:r>
        <w:t xml:space="preserve">13. Patient Action Column (v3.2) — Decisive Routing</w:t>
      </w:r>
    </w:p>
    <w:p>
      <w:pPr>
        <w:spacing w:after="120"/>
      </w:pPr>
      <w:r>
        <w:t xml:space="preserve">In LMIC contexts, patients cannot casually call or message a doctor. Any instruction saying “contact your clinical team” or “tell your doctor” is heard as “go to the facility” — which may be a day’s travel. Patient Action eliminates this ambiguity by requiring every action-triggering row to commit to exactly one of four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000"/>
        <w:gridCol w:w="2560"/>
      </w:tblGrid>
      <w:tr>
        <w:trPr>
          <w:tblHeader/>
          <w:shd w:fill="2E75B6" w:val="clear"/>
        </w:trPr>
        <w:tc>
          <w:tcPr>
            <w:tcW w:type="dxa" w:w="1800"/>
            <w:shd w:fill="2E75B6" w:val="clear"/>
          </w:tcPr>
          <w:p>
            <w:r>
              <w:rPr>
                <w:b/>
                <w:color w:val="FFFFFF"/>
              </w:rPr>
              <w:t>Value</w:t>
            </w:r>
          </w:p>
        </w:tc>
        <w:tc>
          <w:tcPr>
            <w:tcW w:type="dxa" w:w="3000"/>
            <w:shd w:fill="2E75B6" w:val="clear"/>
          </w:tcPr>
          <w:p>
            <w:r>
              <w:rPr>
                <w:b/>
                <w:color w:val="FFFFFF"/>
              </w:rPr>
              <w:t>Patient hears</w:t>
            </w:r>
          </w:p>
        </w:tc>
        <w:tc>
          <w:tcPr>
            <w:tcW w:type="dxa" w:w="2000"/>
            <w:shd w:fill="2E75B6" w:val="clear"/>
          </w:tcPr>
          <w:p>
            <w:r>
              <w:rPr>
                <w:b/>
                <w:color w:val="FFFFFF"/>
              </w:rPr>
              <w:t>Nurse/ops action</w:t>
            </w:r>
          </w:p>
        </w:tc>
        <w:tc>
          <w:tcPr>
            <w:tcW w:type="dxa" w:w="2560"/>
            <w:shd w:fill="2E75B6" w:val="clear"/>
          </w:tcPr>
          <w:p>
            <w:r>
              <w:rPr>
                <w:b/>
                <w:color w:val="FFFFFF"/>
              </w:rPr>
              <w:t>Valid on sheets</w:t>
            </w:r>
          </w:p>
        </w:tc>
      </w:tr>
      <w:tr>
        <w:tc>
          <w:tcPr>
            <w:tcW w:type="dxa" w:w="1800"/>
          </w:tcPr>
          <w:p>
            <w:r>
              <w:rPr>
                <w:rFonts w:ascii="Consolas" w:hAnsi="Consolas"/>
              </w:rPr>
              <w:t>ER_NOW</w:t>
            </w:r>
          </w:p>
        </w:tc>
        <w:tc>
          <w:tcPr>
            <w:tcW w:type="dxa" w:w="3000"/>
          </w:tcPr>
          <w:p>
            <w:r>
              <w:t>“Go to the emergency room right now. Do not wait.”</w:t>
            </w:r>
          </w:p>
        </w:tc>
        <w:tc>
          <w:tcPr>
            <w:tcW w:type="dxa" w:w="2000"/>
          </w:tcPr>
          <w:p>
            <w:r>
              <w:t>Immediate alert</w:t>
            </w:r>
          </w:p>
        </w:tc>
        <w:tc>
          <w:tcPr>
            <w:tcW w:type="dxa" w:w="2560"/>
          </w:tcPr>
          <w:p>
            <w:r>
              <w:t xml:space="preserve">Red Flags, Questions (Escalate=Yes)</w:t>
            </w:r>
          </w:p>
        </w:tc>
      </w:tr>
      <w:tr>
        <w:tc>
          <w:tcPr>
            <w:tcW w:type="dxa" w:w="1800"/>
          </w:tcPr>
          <w:p>
            <w:r>
              <w:rPr>
                <w:rFonts w:ascii="Consolas" w:hAnsi="Consolas"/>
              </w:rPr>
              <w:t>FACILITY_TODAY</w:t>
            </w:r>
          </w:p>
        </w:tc>
        <w:tc>
          <w:tcPr>
            <w:tcW w:type="dxa" w:w="3000"/>
          </w:tcPr>
          <w:p>
            <w:r>
              <w:t>“You need to visit the clinic or hospital today.”</w:t>
            </w:r>
          </w:p>
        </w:tc>
        <w:tc>
          <w:tcPr>
            <w:tcW w:type="dxa" w:w="2000"/>
          </w:tcPr>
          <w:p>
            <w:r>
              <w:t>Urgent alert</w:t>
            </w:r>
          </w:p>
        </w:tc>
        <w:tc>
          <w:tcPr>
            <w:tcW w:type="dxa" w:w="2560"/>
          </w:tcPr>
          <w:p>
            <w:r>
              <w:t xml:space="preserve">Red Flags, Questions, Instructions</w:t>
            </w:r>
          </w:p>
        </w:tc>
      </w:tr>
      <w:tr>
        <w:tc>
          <w:tcPr>
            <w:tcW w:type="dxa" w:w="1800"/>
          </w:tcPr>
          <w:p>
            <w:r>
              <w:rPr>
                <w:rFonts w:ascii="Consolas" w:hAnsi="Consolas"/>
              </w:rPr>
              <w:t>NURSE_CALLBACK</w:t>
            </w:r>
          </w:p>
        </w:tc>
        <w:tc>
          <w:tcPr>
            <w:tcW w:type="dxa" w:w="3000"/>
          </w:tcPr>
          <w:p>
            <w:r>
              <w:t>“Record this. Your nurse will call within 24 hours. You do not need to travel.”</w:t>
            </w:r>
          </w:p>
        </w:tc>
        <w:tc>
          <w:tcPr>
            <w:tcW w:type="dxa" w:w="2000"/>
          </w:tcPr>
          <w:p>
            <w:r>
              <w:t xml:space="preserve">Queue nurse outreach within SLA</w:t>
            </w:r>
          </w:p>
        </w:tc>
        <w:tc>
          <w:tcPr>
            <w:tcW w:type="dxa" w:w="2560"/>
          </w:tcPr>
          <w:p>
            <w:r>
              <w:t xml:space="preserve">Red Flags, Questions, Instructions</w:t>
            </w:r>
          </w:p>
        </w:tc>
      </w:tr>
      <w:tr>
        <w:tc>
          <w:tcPr>
            <w:tcW w:type="dxa" w:w="1800"/>
          </w:tcPr>
          <w:p>
            <w:r>
              <w:rPr>
                <w:rFonts w:ascii="Consolas" w:hAnsi="Consolas"/>
              </w:rPr>
              <w:t>SELF_MONITOR</w:t>
            </w:r>
          </w:p>
        </w:tc>
        <w:tc>
          <w:tcPr>
            <w:tcW w:type="dxa" w:w="3000"/>
          </w:tcPr>
          <w:p>
            <w:r>
              <w:t>“This is expected. Keep tracking at home.”</w:t>
            </w:r>
          </w:p>
        </w:tc>
        <w:tc>
          <w:tcPr>
            <w:tcW w:type="dxa" w:w="2000"/>
          </w:tcPr>
          <w:p>
            <w:r>
              <w:t>No action</w:t>
            </w:r>
          </w:p>
        </w:tc>
        <w:tc>
          <w:tcPr>
            <w:tcW w:type="dxa" w:w="2560"/>
          </w:tcPr>
          <w:p>
            <w:r>
              <w:t xml:space="preserve">Questions, Instructions only. Not valid for Red Flags.</w:t>
            </w:r>
          </w:p>
        </w:tc>
      </w:tr>
    </w:tbl>
    <w:p>
      <w:pPr>
        <w:spacing w:after="120" w:before="160"/>
      </w:pPr>
      <w:r>
        <w:rPr>
          <w:b/>
        </w:rPr>
        <w:t xml:space="preserve">Banned phrasing in all patient-facing text (Instruction Text, Context Note): </w:t>
      </w:r>
      <w:r>
        <w:t xml:space="preserve">“Contact your clinical team”, “Tell your doctor”, “Inform your doctor”, “Seek medical attention”. These phrases are ambiguous in LMIC contexts. Replace with decisive language that commits to one of the four Patient Action values above.</w:t>
      </w:r>
    </w:p>
    <w:p>
      <w:pPr>
        <w:spacing w:after="120"/>
      </w:pPr>
      <w:r>
        <w:rPr>
          <w:b/>
        </w:rPr>
        <w:t xml:space="preserve">Operational assumption: </w:t>
      </w:r>
      <w:r>
        <w:t xml:space="preserve">a nurse reviews the daily log and proactively calls every patient tagged NURSE_CALLBACK, FACILITY_TODAY, or ER_NOW. The KB does not need to instruct NURSE_CALLBACK patients to initiate contact — the nurse reaches out.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sz w:val="34"/>
      <w:szCs w:val="34"/>
    </w:rPr>
  </w:style>
  <w:style w:type="paragraph" w:styleId="Heading2">
    <w:name w:val="Heading 2"/>
    <w:basedOn w:val="Normal"/>
    <w:next w:val="Normal"/>
    <w:qFormat/>
    <w:pPr>
      <w:spacing w:after="160" w:before="240"/>
      <w:outlineLvl w:val="1"/>
    </w:pPr>
    <w:rPr>
      <w:rFonts w:ascii="Arial" w:cs="Arial" w:eastAsia="Arial" w:hAnsi="Arial"/>
      <w:b/>
      <w:bCs/>
      <w:sz w:val="28"/>
      <w:szCs w:val="28"/>
    </w:rPr>
  </w:style>
  <w:style w:type="paragraph" w:styleId="Heading3">
    <w:name w:val="Heading 3"/>
    <w:basedOn w:val="Normal"/>
    <w:next w:val="Normal"/>
    <w:qFormat/>
    <w:pPr>
      <w:spacing w:after="12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 Base Authoring Rules — v3</dc:title>
  <dc:creator>REAN Foundation</dc:creator>
  <dc:description>Authoring rules for AI-Nurse knowledge base (v3 schema: Condition + Classification).</dc:description>
  <cp:lastModifiedBy>Un-named</cp:lastModifiedBy>
  <cp:revision>1</cp:revision>
  <dcterms:created xsi:type="dcterms:W3CDTF">2026-04-18T14:40:38.331Z</dcterms:created>
  <dcterms:modified xsi:type="dcterms:W3CDTF">2026-04-18T14:40:38.332Z</dcterms:modified>
</cp:coreProperties>
</file>

<file path=docProps/custom.xml><?xml version="1.0" encoding="utf-8"?>
<Properties xmlns="http://schemas.openxmlformats.org/officeDocument/2006/custom-properties" xmlns:vt="http://schemas.openxmlformats.org/officeDocument/2006/docPropsVTypes"/>
</file>