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E4E"/>
          <w:sz w:val="40"/>
          <w:szCs w:val="40"/>
        </w:rPr>
        <w:t xml:space="preserve">Your Voice Becomes the Standard</w:t>
      </w:r>
    </w:p>
    <w:p>
      <w:pPr>
        <w:spacing w:after="300"/>
      </w:pPr>
      <w:r>
        <w:rPr>
          <w:i/>
          <w:iCs/>
          <w:color w:val="6B6B6B"/>
          <w:sz w:val="24"/>
          <w:szCs w:val="24"/>
        </w:rPr>
        <w:t xml:space="preserve">How to record real check-in conversations</w:t>
      </w:r>
    </w:p>
    <w:p>
      <w:pPr>
        <w:pStyle w:val="Heading2"/>
        <w:spacing w:after="120" w:before="260"/>
      </w:pPr>
      <w:r>
        <w:rPr>
          <w:b/>
          <w:bCs/>
          <w:color w:val="2E5E4E"/>
          <w:sz w:val="24"/>
          <w:szCs w:val="24"/>
        </w:rPr>
        <w:t xml:space="preserve">Why we’re asking you this</w:t>
      </w:r>
    </w:p>
    <w:p>
      <w:pPr>
        <w:spacing w:after="160" w:line="300"/>
      </w:pPr>
      <w:r>
        <w:rPr>
          <w:sz w:val="22"/>
          <w:szCs w:val="22"/>
        </w:rPr>
        <w:t xml:space="preserve">On our last call, you looked at a list of situations and told us, in plain terms, which ones should raise the alarm and which ones shouldn’t. That was the hard part, and you made it look easy.</w:t>
      </w:r>
    </w:p>
    <w:p>
      <w:pPr>
        <w:spacing w:after="160" w:line="300"/>
      </w:pPr>
      <w:r>
        <w:rPr>
          <w:sz w:val="22"/>
          <w:szCs w:val="22"/>
        </w:rPr>
        <w:t xml:space="preserve">Now we want to hear those same situations the way they’d actually come up — a real back-and-forth with a patient, in your own words, not a spreadsheet row. That conversation becomes the permanent yardstick. Every future version of the system gets checked against exactly what you say should happen here. Your judgment, captured once, gets reused forever — instead of being re-argued every time someone tweaks the system.</w:t>
      </w:r>
    </w:p>
    <w:p>
      <w:pPr>
        <w:spacing w:after="160" w:line="300"/>
      </w:pPr>
      <w:r>
        <w:rPr>
          <w:sz w:val="22"/>
          <w:szCs w:val="22"/>
        </w:rPr>
        <w:t xml:space="preserve">It’s also genuinely quick. These aren’t case studies or essays — they’re the kind of exchange you have in your sleep. Most will take you well under a minute to think through.</w:t>
      </w:r>
    </w:p>
    <w:p>
      <w:pPr>
        <w:pStyle w:val="Heading2"/>
        <w:spacing w:after="120" w:before="260"/>
      </w:pPr>
      <w:r>
        <w:rPr>
          <w:b/>
          <w:bCs/>
          <w:color w:val="2E5E4E"/>
          <w:sz w:val="24"/>
          <w:szCs w:val="24"/>
        </w:rPr>
        <w:t xml:space="preserve">The one thing we want you to know before you start</w:t>
      </w:r>
    </w:p>
    <w:p>
      <w:pPr>
        <w:pBdr>
          <w:top w:val="single" w:color="2E5E4E" w:sz="4" w:space="8"/>
          <w:bottom w:val="single" w:color="2E5E4E" w:sz="4" w:space="8"/>
          <w:left w:val="single" w:color="2E5E4E" w:sz="18" w:space="8"/>
          <w:right w:val="single" w:color="2E5E4E" w:sz="4" w:space="8"/>
        </w:pBdr>
        <w:spacing w:after="240" w:before="120" w:line="300"/>
        <w:ind w:left="215" w:right="215"/>
      </w:pPr>
      <w:r>
        <w:rPr>
          <w:b/>
          <w:bCs/>
          <w:sz w:val="22"/>
          <w:szCs w:val="22"/>
        </w:rPr>
        <w:t xml:space="preserve">This doesn’t have to be perfect.</w:t>
      </w:r>
    </w:p>
    <w:p>
      <w:pPr>
        <w:spacing w:after="160" w:line="300"/>
      </w:pPr>
      <w:r>
        <w:rPr>
          <w:sz w:val="22"/>
          <w:szCs w:val="22"/>
        </w:rPr>
        <w:t xml:space="preserve">We are deliberately calling this a working set, not a finished one. If a scenario comes out slightly off, or you think of a better way to phrase it after the fact, that’s not a failure — that’s exactly how this is supposed to go. Getting something wrong here, on a practice conversation, is about as low-stakes as it gets. Getting it wrong on a real patient is the thing we’re trying to prevent, and this is how we prevent it.</w:t>
      </w:r>
    </w:p>
    <w:p>
      <w:pPr>
        <w:spacing w:after="160" w:line="300"/>
      </w:pPr>
      <w:r>
        <w:rPr>
          <w:sz w:val="22"/>
          <w:szCs w:val="22"/>
        </w:rPr>
        <w:t xml:space="preserve">We’ll come back to this together and sharpen it as we go. Nothing here is locked in.</w:t>
      </w:r>
    </w:p>
    <w:p>
      <w:pPr>
        <w:pStyle w:val="Heading2"/>
        <w:spacing w:after="120" w:before="260"/>
      </w:pPr>
      <w:r>
        <w:rPr>
          <w:b/>
          <w:bCs/>
          <w:color w:val="2E5E4E"/>
          <w:sz w:val="24"/>
          <w:szCs w:val="24"/>
        </w:rPr>
        <w:t xml:space="preserve">What “a conversation” means</w:t>
      </w:r>
    </w:p>
    <w:p>
      <w:pPr>
        <w:spacing w:after="160" w:line="300"/>
      </w:pPr>
      <w:r>
        <w:rPr>
          <w:sz w:val="22"/>
          <w:szCs w:val="22"/>
        </w:rPr>
        <w:t xml:space="preserve">It can be text or voice — whichever feels more natural to you — on the test WhatsApp channel we’ve provided. Keep it as close to a real-world exchange as possible.</w:t>
      </w:r>
    </w:p>
    <w:p>
      <w:pPr>
        <w:spacing w:after="160" w:line="300"/>
      </w:pPr>
      <w:r>
        <w:rPr>
          <w:sz w:val="22"/>
          <w:szCs w:val="22"/>
        </w:rPr>
        <w:t xml:space="preserve">A few things that make these more useful, not less:</w:t>
      </w:r>
    </w:p>
    <w:p>
      <w:pPr>
        <w:pStyle w:val="ListParagraph"/>
        <w:numPr>
          <w:ilvl w:val="0"/>
          <w:numId w:val="2"/>
        </w:numPr>
        <w:spacing w:after="100" w:line="290"/>
      </w:pPr>
      <w:r>
        <w:rPr>
          <w:b/>
          <w:bCs/>
          <w:sz w:val="22"/>
          <w:szCs w:val="22"/>
        </w:rPr>
        <w:t xml:space="preserve">Talk the way a real patient talks to you —</w:t>
      </w:r>
      <w:r>
        <w:rPr>
          <w:sz w:val="22"/>
          <w:szCs w:val="22"/>
        </w:rPr>
        <w:t xml:space="preserve"> a little hesitant, a little vague, maybe using the wrong word for something. That messiness is the point. A textbook-perfect description of a symptom is actually less useful to us than the slightly muddled real version, because muddled is what the system has to handle.</w:t>
      </w:r>
    </w:p>
    <w:p>
      <w:pPr>
        <w:pStyle w:val="ListParagraph"/>
        <w:numPr>
          <w:ilvl w:val="0"/>
          <w:numId w:val="2"/>
        </w:numPr>
        <w:spacing w:after="100" w:line="290"/>
      </w:pPr>
      <w:r>
        <w:rPr>
          <w:b/>
          <w:bCs/>
          <w:sz w:val="22"/>
          <w:szCs w:val="22"/>
        </w:rPr>
        <w:t xml:space="preserve">Keep it short.</w:t>
      </w:r>
      <w:r>
        <w:rPr>
          <w:sz w:val="22"/>
          <w:szCs w:val="22"/>
        </w:rPr>
        <w:t xml:space="preserve"> A handful of messages back and forth is plenty. You’re not writing a case report.</w:t>
      </w:r>
    </w:p>
    <w:p>
      <w:pPr>
        <w:pStyle w:val="ListParagraph"/>
        <w:numPr>
          <w:ilvl w:val="0"/>
          <w:numId w:val="2"/>
        </w:numPr>
        <w:spacing w:after="100" w:line="290"/>
      </w:pPr>
      <w:r>
        <w:rPr>
          <w:b/>
          <w:bCs/>
          <w:sz w:val="22"/>
          <w:szCs w:val="22"/>
        </w:rPr>
        <w:t xml:space="preserve">After each one, jot down one line: what should happen.</w:t>
      </w:r>
      <w:r>
        <w:rPr>
          <w:sz w:val="22"/>
          <w:szCs w:val="22"/>
        </w:rPr>
        <w:t xml:space="preserve"> Escalate now, tell them to come in today, just note it and move on, or nothing at all. That one line is the answer key — it’s the whole reason the conversation is worth having.</w:t>
      </w:r>
    </w:p>
    <w:p>
      <w:pPr>
        <w:pStyle w:val="Heading2"/>
        <w:spacing w:after="120" w:before="260"/>
      </w:pPr>
      <w:r>
        <w:rPr>
          <w:b/>
          <w:bCs/>
          <w:color w:val="2E5E4E"/>
          <w:sz w:val="24"/>
          <w:szCs w:val="24"/>
        </w:rPr>
        <w:t xml:space="preserve">What to cover</w:t>
      </w:r>
    </w:p>
    <w:p>
      <w:pPr>
        <w:spacing w:after="160" w:line="300"/>
      </w:pPr>
      <w:r>
        <w:rPr>
          <w:sz w:val="22"/>
          <w:szCs w:val="22"/>
        </w:rPr>
        <w:t xml:space="preserve">You’ll have a separate one-page menu for each condition, listing the situations we’d most like covered. For every one of them, we’d love two versions of the conversation:</w:t>
      </w:r>
    </w:p>
    <w:p>
      <w:pPr>
        <w:pStyle w:val="ListParagraph"/>
        <w:numPr>
          <w:ilvl w:val="0"/>
          <w:numId w:val="2"/>
        </w:numPr>
        <w:spacing w:after="100" w:line="290"/>
      </w:pPr>
      <w:r>
        <w:rPr>
          <w:b/>
          <w:bCs/>
          <w:sz w:val="22"/>
          <w:szCs w:val="22"/>
        </w:rPr>
        <w:t xml:space="preserve">One where it should clearly escalate.</w:t>
      </w:r>
    </w:p>
    <w:p>
      <w:pPr>
        <w:pStyle w:val="ListParagraph"/>
        <w:numPr>
          <w:ilvl w:val="0"/>
          <w:numId w:val="2"/>
        </w:numPr>
        <w:spacing w:after="100" w:line="290"/>
      </w:pPr>
      <w:r>
        <w:rPr>
          <w:b/>
          <w:bCs/>
          <w:sz w:val="22"/>
          <w:szCs w:val="22"/>
        </w:rPr>
        <w:t xml:space="preserve">One where it shouldn’t —</w:t>
      </w:r>
      <w:r>
        <w:rPr>
          <w:sz w:val="22"/>
          <w:szCs w:val="22"/>
        </w:rPr>
        <w:t xml:space="preserve"> and if you can make that one a near-miss rather than an obviously-unrelated case, even better. The near-misses are where a system like this is most likely to get it wrong, and where your judgment is worth the most.</w:t>
      </w:r>
    </w:p>
    <w:p>
      <w:pPr>
        <w:spacing w:after="160" w:line="300"/>
      </w:pPr>
      <w:r>
        <w:rPr>
          <w:sz w:val="22"/>
          <w:szCs w:val="22"/>
        </w:rPr>
        <w:t xml:space="preserve">Some menus flag a situation that has no automatic rule behind it yet. For those, the system is relying entirely on judgment — reading your words and deciding — so a real conversation there matters more, not less.</w:t>
      </w:r>
    </w:p>
    <w:p>
      <w:pPr>
        <w:spacing w:after="160" w:line="300"/>
      </w:pPr>
      <w:r>
        <w:rPr>
          <w:sz w:val="22"/>
          <w:szCs w:val="22"/>
        </w:rPr>
        <w:t xml:space="preserve">If you have five extra minutes: one “everything is fine, routine check-in” conversation and one “two things going wrong at once” conversation are both genuinely useful and won’t appear on any menu.</w:t>
      </w:r>
    </w:p>
    <w:p>
      <w:pPr>
        <w:pStyle w:val="Heading2"/>
        <w:spacing w:after="120" w:before="260"/>
      </w:pPr>
      <w:r>
        <w:rPr>
          <w:b/>
          <w:bCs/>
          <w:color w:val="2E5E4E"/>
          <w:sz w:val="24"/>
          <w:szCs w:val="24"/>
        </w:rPr>
        <w:t xml:space="preserve">What happens with what you give us</w:t>
      </w:r>
    </w:p>
    <w:p>
      <w:pPr>
        <w:spacing w:after="160" w:line="300"/>
      </w:pPr>
      <w:r>
        <w:rPr>
          <w:sz w:val="22"/>
          <w:szCs w:val="22"/>
        </w:rPr>
        <w:t xml:space="preserve">These conversations become the set we test every future version of the system against — including versions built specifically in response to feedback from calls like this one. You’ll get to see, later, how the system actually performs against the exact scenarios you gave it. That’s the loop: your judgment sets the bar, and we show our work against it.</w:t>
      </w:r>
    </w:p>
    <w:p>
      <w:pPr>
        <w:spacing w:after="160" w:line="300"/>
      </w:pPr>
      <w:r>
        <w:rPr>
          <w:sz w:val="22"/>
          <w:szCs w:val="22"/>
        </w:rPr>
        <w:t xml:space="preserve">Thank you — genuinely. This is the part of the process that’s hardest to fake and easiest to get wrong without someone like you in the room.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2026-07-19T17:02:17.342Z</dcterms:created>
  <dcterms:modified xsi:type="dcterms:W3CDTF">2026-07-19T17:02:17.343Z</dcterms:modified>
</cp:coreProperties>
</file>

<file path=docProps/custom.xml><?xml version="1.0" encoding="utf-8"?>
<Properties xmlns="http://schemas.openxmlformats.org/officeDocument/2006/custom-properties" xmlns:vt="http://schemas.openxmlformats.org/officeDocument/2006/docPropsVTypes"/>
</file>