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785E" w14:textId="4CBDED13" w:rsidR="00230D03" w:rsidRPr="00452D04" w:rsidRDefault="00452D04">
      <w:r w:rsidRPr="00452D04">
        <w:t xml:space="preserve">The </w:t>
      </w:r>
      <w:hyperlink r:id="rId5" w:tgtFrame="_blank" w:history="1">
        <w:r w:rsidRPr="00452D04">
          <w:rPr>
            <w:rStyle w:val="Hyperlink"/>
            <w:u w:val="none"/>
          </w:rPr>
          <w:t>Cyber Security Byelaw, 2077 (2020)</w:t>
        </w:r>
      </w:hyperlink>
      <w:r w:rsidRPr="00452D04">
        <w:t xml:space="preserve"> is a mandatory regulatory framework enforced by the </w:t>
      </w:r>
      <w:hyperlink r:id="rId6" w:tgtFrame="_blank" w:history="1">
        <w:r w:rsidRPr="00452D04">
          <w:rPr>
            <w:rStyle w:val="Hyperlink"/>
            <w:u w:val="none"/>
          </w:rPr>
          <w:t>Nepal Telecommunications Authority (NTA)</w:t>
        </w:r>
      </w:hyperlink>
      <w:r w:rsidRPr="00452D04">
        <w:t>. It requires all licensed Internet Service Providers (ISPs) and Telecommunication Service Providers (TSPs) to establish, maintain, and audit robust ICT security systems to protect critical infrastructure against malicious threats</w:t>
      </w:r>
      <w:r w:rsidRPr="00452D04">
        <w:t>.</w:t>
      </w:r>
    </w:p>
    <w:p w14:paraId="601A44DE" w14:textId="77777777" w:rsidR="00452D04" w:rsidRPr="00452D04" w:rsidRDefault="00452D04" w:rsidP="00452D04">
      <w:pPr>
        <w:rPr>
          <w:b/>
          <w:bCs/>
        </w:rPr>
      </w:pPr>
      <w:r w:rsidRPr="00452D04">
        <w:rPr>
          <w:b/>
          <w:bCs/>
        </w:rPr>
        <w:t>Key Obligations for Licensees</w:t>
      </w:r>
    </w:p>
    <w:p w14:paraId="6AD0F3C1" w14:textId="6FD8F0A3" w:rsidR="00452D04" w:rsidRDefault="00452D04" w:rsidP="00452D04">
      <w:pPr>
        <w:numPr>
          <w:ilvl w:val="0"/>
          <w:numId w:val="1"/>
        </w:numPr>
      </w:pPr>
      <w:r w:rsidRPr="00452D04">
        <w:rPr>
          <w:b/>
          <w:bCs/>
        </w:rPr>
        <w:t>Security Audits:</w:t>
      </w:r>
      <w:r w:rsidRPr="00452D04">
        <w:t xml:space="preserve"> Licensees are mandated to undergo an Information Systems (IS) Audit and Cloud Security Audit. These audits must be conducted every three months, and compliance reports must be submitted to the NTA every six months</w:t>
      </w:r>
      <w:r>
        <w:t>.</w:t>
      </w:r>
    </w:p>
    <w:p w14:paraId="0E489C24" w14:textId="7F2CAAFD" w:rsidR="00452D04" w:rsidRPr="00816220" w:rsidRDefault="00452D04" w:rsidP="00452D04">
      <w:pPr>
        <w:numPr>
          <w:ilvl w:val="0"/>
          <w:numId w:val="1"/>
        </w:numPr>
      </w:pPr>
      <w:r w:rsidRPr="00452D04">
        <w:rPr>
          <w:b/>
          <w:bCs/>
        </w:rPr>
        <w:t>Authorized Auditors:</w:t>
      </w:r>
      <w:r w:rsidRPr="00452D04">
        <w:t xml:space="preserve"> Audits must be performed by consulting/audit firms listed on the NTA’s approved roster of </w:t>
      </w:r>
      <w:hyperlink r:id="rId7" w:tgtFrame="_blank" w:history="1">
        <w:r w:rsidRPr="00816220">
          <w:rPr>
            <w:rStyle w:val="Hyperlink"/>
            <w:u w:val="none"/>
          </w:rPr>
          <w:t>IS Auditors/Cloud Auditors</w:t>
        </w:r>
      </w:hyperlink>
      <w:r w:rsidRPr="00816220">
        <w:t xml:space="preserve">. </w:t>
      </w:r>
    </w:p>
    <w:p w14:paraId="12F06C36" w14:textId="6ED9E5F7" w:rsidR="00452D04" w:rsidRDefault="00452D04" w:rsidP="00452D04">
      <w:pPr>
        <w:numPr>
          <w:ilvl w:val="0"/>
          <w:numId w:val="1"/>
        </w:numPr>
      </w:pPr>
      <w:r w:rsidRPr="00452D04">
        <w:rPr>
          <w:b/>
          <w:bCs/>
        </w:rPr>
        <w:t>ICT Security Policies:</w:t>
      </w:r>
      <w:r w:rsidRPr="00452D04">
        <w:t xml:space="preserve"> Operators must formulate, implement, and periodically update comprehensive ICT Security Policies, Business Continuity Plans (BCP), and Disaster Recovery (DR) plans.</w:t>
      </w:r>
    </w:p>
    <w:p w14:paraId="271C72CD" w14:textId="2BF8534B" w:rsidR="00452D04" w:rsidRDefault="00452D04" w:rsidP="00452D04">
      <w:pPr>
        <w:numPr>
          <w:ilvl w:val="0"/>
          <w:numId w:val="1"/>
        </w:numPr>
      </w:pPr>
      <w:r w:rsidRPr="00452D04">
        <w:rPr>
          <w:b/>
          <w:bCs/>
        </w:rPr>
        <w:t>Access Control:</w:t>
      </w:r>
      <w:r w:rsidRPr="00452D04">
        <w:t xml:space="preserve"> Strict logical and physical access controls must be established, including strong password protocols, multi-factor authentication, and the systematic use of VPNs for remote management</w:t>
      </w:r>
      <w:r>
        <w:t>.</w:t>
      </w:r>
    </w:p>
    <w:p w14:paraId="4B9AC4C5" w14:textId="5398BEC4" w:rsidR="00452D04" w:rsidRDefault="00452D04" w:rsidP="00452D04">
      <w:pPr>
        <w:numPr>
          <w:ilvl w:val="0"/>
          <w:numId w:val="1"/>
        </w:numPr>
      </w:pPr>
      <w:r w:rsidRPr="00452D04">
        <w:rPr>
          <w:b/>
          <w:bCs/>
        </w:rPr>
        <w:t>Data and Software Security:</w:t>
      </w:r>
      <w:r w:rsidRPr="00452D04">
        <w:t xml:space="preserve"> Licensees must utilize only licensed software, enforce regular software updates, and ensure data privacy through data encryption and signed non-disclosure agreements</w:t>
      </w:r>
      <w:r>
        <w:t>.</w:t>
      </w:r>
    </w:p>
    <w:p w14:paraId="677E759F" w14:textId="1EBF31CB" w:rsidR="00452D04" w:rsidRDefault="00452D04" w:rsidP="00452D04">
      <w:pPr>
        <w:numPr>
          <w:ilvl w:val="0"/>
          <w:numId w:val="1"/>
        </w:numPr>
      </w:pPr>
      <w:r w:rsidRPr="00452D04">
        <w:rPr>
          <w:b/>
          <w:bCs/>
        </w:rPr>
        <w:t>Vulnerability Assessments:</w:t>
      </w:r>
      <w:r w:rsidRPr="00452D04">
        <w:t xml:space="preserve"> All mobile applications and software systems must undergo a comprehensive vulnerability assessment and penetration testing (VAPT) prior to launch.</w:t>
      </w:r>
    </w:p>
    <w:p w14:paraId="64082149" w14:textId="203B5F23" w:rsidR="00452D04" w:rsidRDefault="00452D04" w:rsidP="00452D04">
      <w:pPr>
        <w:numPr>
          <w:ilvl w:val="0"/>
          <w:numId w:val="1"/>
        </w:numPr>
      </w:pPr>
      <w:r w:rsidRPr="00452D04">
        <w:rPr>
          <w:b/>
          <w:bCs/>
        </w:rPr>
        <w:t>Incident Response &amp; Awareness:</w:t>
      </w:r>
      <w:r w:rsidRPr="00452D04">
        <w:t xml:space="preserve"> Operators are required to form an Incident Response Team (IRT) to handle cyber emergencies and implement continuous employee awareness and capability-building training programs</w:t>
      </w:r>
      <w:r>
        <w:t>.</w:t>
      </w:r>
    </w:p>
    <w:sectPr w:rsidR="00452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856F2"/>
    <w:multiLevelType w:val="multilevel"/>
    <w:tmpl w:val="7722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05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04"/>
    <w:rsid w:val="001B2207"/>
    <w:rsid w:val="00230D03"/>
    <w:rsid w:val="00452D04"/>
    <w:rsid w:val="00816220"/>
    <w:rsid w:val="00D064C4"/>
    <w:rsid w:val="00EA2E1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9147"/>
  <w15:chartTrackingRefBased/>
  <w15:docId w15:val="{FD076263-E0EE-4F00-8123-E4813240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D04"/>
    <w:rPr>
      <w:rFonts w:eastAsiaTheme="majorEastAsia" w:cstheme="majorBidi"/>
      <w:color w:val="272727" w:themeColor="text1" w:themeTint="D8"/>
    </w:rPr>
  </w:style>
  <w:style w:type="paragraph" w:styleId="Title">
    <w:name w:val="Title"/>
    <w:basedOn w:val="Normal"/>
    <w:next w:val="Normal"/>
    <w:link w:val="TitleChar"/>
    <w:uiPriority w:val="10"/>
    <w:qFormat/>
    <w:rsid w:val="00452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D04"/>
    <w:pPr>
      <w:spacing w:before="160"/>
      <w:jc w:val="center"/>
    </w:pPr>
    <w:rPr>
      <w:i/>
      <w:iCs/>
      <w:color w:val="404040" w:themeColor="text1" w:themeTint="BF"/>
    </w:rPr>
  </w:style>
  <w:style w:type="character" w:customStyle="1" w:styleId="QuoteChar">
    <w:name w:val="Quote Char"/>
    <w:basedOn w:val="DefaultParagraphFont"/>
    <w:link w:val="Quote"/>
    <w:uiPriority w:val="29"/>
    <w:rsid w:val="00452D04"/>
    <w:rPr>
      <w:i/>
      <w:iCs/>
      <w:color w:val="404040" w:themeColor="text1" w:themeTint="BF"/>
    </w:rPr>
  </w:style>
  <w:style w:type="paragraph" w:styleId="ListParagraph">
    <w:name w:val="List Paragraph"/>
    <w:basedOn w:val="Normal"/>
    <w:uiPriority w:val="34"/>
    <w:qFormat/>
    <w:rsid w:val="00452D04"/>
    <w:pPr>
      <w:ind w:left="720"/>
      <w:contextualSpacing/>
    </w:pPr>
  </w:style>
  <w:style w:type="character" w:styleId="IntenseEmphasis">
    <w:name w:val="Intense Emphasis"/>
    <w:basedOn w:val="DefaultParagraphFont"/>
    <w:uiPriority w:val="21"/>
    <w:qFormat/>
    <w:rsid w:val="00452D04"/>
    <w:rPr>
      <w:i/>
      <w:iCs/>
      <w:color w:val="2F5496" w:themeColor="accent1" w:themeShade="BF"/>
    </w:rPr>
  </w:style>
  <w:style w:type="paragraph" w:styleId="IntenseQuote">
    <w:name w:val="Intense Quote"/>
    <w:basedOn w:val="Normal"/>
    <w:next w:val="Normal"/>
    <w:link w:val="IntenseQuoteChar"/>
    <w:uiPriority w:val="30"/>
    <w:qFormat/>
    <w:rsid w:val="00452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D04"/>
    <w:rPr>
      <w:i/>
      <w:iCs/>
      <w:color w:val="2F5496" w:themeColor="accent1" w:themeShade="BF"/>
    </w:rPr>
  </w:style>
  <w:style w:type="character" w:styleId="IntenseReference">
    <w:name w:val="Intense Reference"/>
    <w:basedOn w:val="DefaultParagraphFont"/>
    <w:uiPriority w:val="32"/>
    <w:qFormat/>
    <w:rsid w:val="00452D04"/>
    <w:rPr>
      <w:b/>
      <w:bCs/>
      <w:smallCaps/>
      <w:color w:val="2F5496" w:themeColor="accent1" w:themeShade="BF"/>
      <w:spacing w:val="5"/>
    </w:rPr>
  </w:style>
  <w:style w:type="character" w:styleId="Hyperlink">
    <w:name w:val="Hyperlink"/>
    <w:basedOn w:val="DefaultParagraphFont"/>
    <w:uiPriority w:val="99"/>
    <w:unhideWhenUsed/>
    <w:rsid w:val="00452D04"/>
    <w:rPr>
      <w:color w:val="0563C1" w:themeColor="hyperlink"/>
      <w:u w:val="single"/>
    </w:rPr>
  </w:style>
  <w:style w:type="character" w:styleId="UnresolvedMention">
    <w:name w:val="Unresolved Mention"/>
    <w:basedOn w:val="DefaultParagraphFont"/>
    <w:uiPriority w:val="99"/>
    <w:semiHidden/>
    <w:unhideWhenUsed/>
    <w:rsid w:val="00452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ta.gov.np/uploads/contents/Public%20Notice%20for%20IS%20and%20Cloud%20Auditor%20828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ta.gov.np/" TargetMode="External"/><Relationship Id="rId5" Type="http://schemas.openxmlformats.org/officeDocument/2006/relationships/hyperlink" Target="https://nta.gov.np/uploads/contents/Cyber-Security-Bylaw-2077-202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binod sapkota</dc:creator>
  <cp:keywords/>
  <dc:description/>
  <cp:lastModifiedBy>binod sapkota</cp:lastModifiedBy>
  <cp:revision>2</cp:revision>
  <dcterms:created xsi:type="dcterms:W3CDTF">2026-06-23T03:29:00Z</dcterms:created>
  <dcterms:modified xsi:type="dcterms:W3CDTF">2026-06-23T03:33:00Z</dcterms:modified>
</cp:coreProperties>
</file>