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DA69" w14:textId="77777777" w:rsidR="00A56EAB" w:rsidRDefault="00A56EAB" w:rsidP="00A56EAB">
      <w:pPr>
        <w:jc w:val="left"/>
        <w:rPr>
          <w:rFonts w:ascii="Daytona" w:hAnsi="Daytona" w:cs="Calibri"/>
          <w:iCs/>
        </w:rPr>
      </w:pPr>
    </w:p>
    <w:p w14:paraId="6C6CEDD2" w14:textId="77777777" w:rsidR="00A56EAB" w:rsidRDefault="00A56EAB" w:rsidP="00A56EAB">
      <w:pPr>
        <w:rPr>
          <w:rFonts w:ascii="Daytona" w:eastAsia="Consolas" w:hAnsi="Daytona" w:cs="Calibri"/>
          <w:iCs/>
        </w:rPr>
      </w:pPr>
      <w:proofErr w:type="gramStart"/>
      <w:r>
        <w:rPr>
          <w:rFonts w:ascii="Daytona" w:eastAsia="Consolas" w:hAnsi="Daytona" w:cs="Calibri"/>
          <w:b/>
          <w:bCs/>
          <w:iCs/>
        </w:rPr>
        <w:t>Sub :</w:t>
      </w:r>
      <w:proofErr w:type="gramEnd"/>
      <w:r>
        <w:rPr>
          <w:rFonts w:ascii="Daytona" w:eastAsia="Consolas" w:hAnsi="Daytona" w:cs="Calibri"/>
          <w:iCs/>
        </w:rPr>
        <w:t xml:space="preserve"> Approval of the scheme for procurement of slip-ring induction motor based drive assemblies for 2 nos gyratory crushers at phase-1 CHP of Dudhichua project.</w:t>
      </w:r>
    </w:p>
    <w:p w14:paraId="29EC7EE9" w14:textId="77777777" w:rsidR="00A56EAB" w:rsidRDefault="00A56EAB" w:rsidP="00A56EAB">
      <w:pPr>
        <w:rPr>
          <w:rFonts w:ascii="Daytona" w:eastAsia="Consolas" w:hAnsi="Daytona" w:cs="Calibri"/>
          <w:iCs/>
        </w:rPr>
      </w:pPr>
    </w:p>
    <w:p w14:paraId="70CD8097" w14:textId="77777777" w:rsidR="00A56EAB" w:rsidRDefault="00A56EAB" w:rsidP="00A56EAB">
      <w:pPr>
        <w:rPr>
          <w:rFonts w:ascii="Daytona" w:eastAsia="Consolas" w:hAnsi="Daytona" w:cs="Calibri"/>
          <w:b/>
          <w:bCs/>
          <w:iCs/>
        </w:rPr>
      </w:pPr>
      <w:r>
        <w:rPr>
          <w:rFonts w:ascii="Daytona" w:eastAsia="Consolas" w:hAnsi="Daytona" w:cs="Calibri"/>
          <w:b/>
          <w:bCs/>
          <w:iCs/>
        </w:rPr>
        <w:t>1.  Introduction to the scheme</w:t>
      </w:r>
    </w:p>
    <w:p w14:paraId="16CB19CB" w14:textId="77777777" w:rsidR="00A56EAB" w:rsidRDefault="00A56EAB" w:rsidP="00A56EAB">
      <w:pPr>
        <w:jc w:val="left"/>
        <w:rPr>
          <w:rFonts w:ascii="Daytona" w:hAnsi="Daytona" w:cs="Calibri"/>
          <w:iCs/>
        </w:rPr>
      </w:pPr>
    </w:p>
    <w:p w14:paraId="08A93AD2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  <w:r>
        <w:rPr>
          <w:rFonts w:ascii="Daytona" w:eastAsia="Consolas" w:hAnsi="Daytona" w:cs="Calibri"/>
          <w:iCs/>
        </w:rPr>
        <w:t>Dudhichua CHP with a design capacity of 10 MTPA dispatched 11.6 MT of coal last year. Present year target is even more ambitious at 13 MT.</w:t>
      </w:r>
    </w:p>
    <w:p w14:paraId="5F4234FF" w14:textId="77777777" w:rsidR="00A56EAB" w:rsidRDefault="00A56EAB" w:rsidP="00A56EAB">
      <w:pPr>
        <w:ind w:left="720"/>
        <w:rPr>
          <w:rFonts w:ascii="Daytona" w:eastAsia="Consolas" w:hAnsi="Daytona" w:cs="Calibri"/>
          <w:iCs/>
          <w:lang w:val="en-IN"/>
        </w:rPr>
      </w:pPr>
    </w:p>
    <w:p w14:paraId="09F80902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  <w:r>
        <w:rPr>
          <w:rFonts w:ascii="Daytona" w:eastAsia="Consolas" w:hAnsi="Daytona" w:cs="Calibri"/>
          <w:iCs/>
        </w:rPr>
        <w:t xml:space="preserve">Dudhichua CHP has three gyratory crushers of 1500 TPH each.  Two units at phase-1 commissioned in the year 1992 and one unit at phase-2 commissioned in the year 2005. </w:t>
      </w:r>
    </w:p>
    <w:p w14:paraId="0B7E5A8F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</w:p>
    <w:p w14:paraId="0964E8B5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  <w:r>
        <w:rPr>
          <w:rFonts w:ascii="Daytona" w:eastAsia="Consolas" w:hAnsi="Daytona" w:cs="Calibri"/>
          <w:iCs/>
        </w:rPr>
        <w:t>Two older units at phase-1 are giving frequent starting troubles due to wear and tear and aging of critical structures. These starting troubles are eating up valuable operating hours.</w:t>
      </w:r>
    </w:p>
    <w:p w14:paraId="7F40298A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</w:p>
    <w:p w14:paraId="5B867F67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  <w:r>
        <w:rPr>
          <w:rFonts w:ascii="Daytona" w:eastAsia="Consolas" w:hAnsi="Daytona" w:cs="Calibri"/>
          <w:iCs/>
        </w:rPr>
        <w:t xml:space="preserve">To </w:t>
      </w:r>
      <w:proofErr w:type="gramStart"/>
      <w:r>
        <w:rPr>
          <w:rFonts w:ascii="Daytona" w:eastAsia="Consolas" w:hAnsi="Daytona" w:cs="Calibri"/>
          <w:iCs/>
        </w:rPr>
        <w:t>eliminate</w:t>
      </w:r>
      <w:proofErr w:type="gramEnd"/>
      <w:r>
        <w:rPr>
          <w:rFonts w:ascii="Daytona" w:eastAsia="Consolas" w:hAnsi="Daytona" w:cs="Calibri"/>
          <w:iCs/>
        </w:rPr>
        <w:t xml:space="preserve"> this problem, drive </w:t>
      </w:r>
      <w:proofErr w:type="spellStart"/>
      <w:r>
        <w:rPr>
          <w:rFonts w:ascii="Daytona" w:eastAsia="Consolas" w:hAnsi="Daytona" w:cs="Calibri"/>
          <w:iCs/>
        </w:rPr>
        <w:t>asseymblies</w:t>
      </w:r>
      <w:proofErr w:type="spellEnd"/>
      <w:r>
        <w:rPr>
          <w:rFonts w:ascii="Daytona" w:eastAsia="Consolas" w:hAnsi="Daytona" w:cs="Calibri"/>
          <w:iCs/>
        </w:rPr>
        <w:t xml:space="preserve"> of these two crushers need critical upgradation. </w:t>
      </w:r>
      <w:proofErr w:type="spellStart"/>
      <w:r>
        <w:rPr>
          <w:rFonts w:ascii="Daytona" w:eastAsia="Consolas" w:hAnsi="Daytona" w:cs="Calibri"/>
          <w:iCs/>
        </w:rPr>
        <w:t>Presenty</w:t>
      </w:r>
      <w:proofErr w:type="spellEnd"/>
      <w:r>
        <w:rPr>
          <w:rFonts w:ascii="Daytona" w:eastAsia="Consolas" w:hAnsi="Daytona" w:cs="Calibri"/>
          <w:iCs/>
        </w:rPr>
        <w:t xml:space="preserve"> installed drive </w:t>
      </w:r>
      <w:proofErr w:type="spellStart"/>
      <w:r>
        <w:rPr>
          <w:rFonts w:ascii="Daytona" w:eastAsia="Consolas" w:hAnsi="Daytona" w:cs="Calibri"/>
          <w:iCs/>
        </w:rPr>
        <w:t>asseymblies</w:t>
      </w:r>
      <w:proofErr w:type="spellEnd"/>
      <w:r>
        <w:rPr>
          <w:rFonts w:ascii="Daytona" w:eastAsia="Consolas" w:hAnsi="Daytona" w:cs="Calibri"/>
          <w:iCs/>
        </w:rPr>
        <w:t xml:space="preserve"> having 400kW squirrel cage induction motor (SQIM) need to be upgraded with a </w:t>
      </w:r>
      <w:proofErr w:type="gramStart"/>
      <w:r>
        <w:rPr>
          <w:rFonts w:ascii="Daytona" w:eastAsia="Consolas" w:hAnsi="Daytona" w:cs="Calibri"/>
          <w:iCs/>
        </w:rPr>
        <w:t>higher capacity drive assemblies</w:t>
      </w:r>
      <w:proofErr w:type="gramEnd"/>
      <w:r>
        <w:rPr>
          <w:rFonts w:ascii="Daytona" w:eastAsia="Consolas" w:hAnsi="Daytona" w:cs="Calibri"/>
          <w:iCs/>
        </w:rPr>
        <w:t xml:space="preserve"> having 480kW slip ring induction motor (SRIM). </w:t>
      </w:r>
    </w:p>
    <w:p w14:paraId="51D27E64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</w:p>
    <w:p w14:paraId="1347925B" w14:textId="77777777" w:rsidR="00A56EAB" w:rsidRDefault="00A56EAB" w:rsidP="00A56EAB">
      <w:pPr>
        <w:rPr>
          <w:rFonts w:ascii="Daytona" w:eastAsia="Consolas" w:hAnsi="Daytona" w:cs="Calibri"/>
          <w:b/>
          <w:bCs/>
          <w:iCs/>
        </w:rPr>
      </w:pPr>
      <w:r>
        <w:rPr>
          <w:rFonts w:ascii="Daytona" w:eastAsia="Consolas" w:hAnsi="Daytona" w:cs="Calibri"/>
          <w:b/>
          <w:bCs/>
          <w:iCs/>
        </w:rPr>
        <w:t>2. Need for the scheme</w:t>
      </w:r>
    </w:p>
    <w:p w14:paraId="3BC6603C" w14:textId="77777777" w:rsidR="00A56EAB" w:rsidRDefault="00A56EAB" w:rsidP="00A56EAB">
      <w:pPr>
        <w:rPr>
          <w:rFonts w:ascii="Daytona" w:eastAsia="Consolas" w:hAnsi="Daytona" w:cs="Calibri"/>
          <w:iCs/>
        </w:rPr>
      </w:pPr>
    </w:p>
    <w:p w14:paraId="4466B9F5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  <w:r>
        <w:rPr>
          <w:rFonts w:ascii="Daytona" w:eastAsia="Consolas" w:hAnsi="Daytona" w:cs="Calibri"/>
          <w:iCs/>
        </w:rPr>
        <w:t xml:space="preserve">The main identified reason behind the starting troubles are under-matched driving power (400 kW) and further power loss along the drive train at fluid coupling. </w:t>
      </w:r>
    </w:p>
    <w:p w14:paraId="33F8D5E1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</w:p>
    <w:p w14:paraId="6C31E576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  <w:r>
        <w:rPr>
          <w:rFonts w:ascii="Daytona" w:eastAsia="Consolas" w:hAnsi="Daytona" w:cs="Calibri"/>
          <w:iCs/>
        </w:rPr>
        <w:t xml:space="preserve">It has been noted that for the same capacity crusher (1500 TPH) at phase-2, a higher capacity drive assembly having 480kW slip-ring induction motor has been provided and it is running </w:t>
      </w:r>
      <w:proofErr w:type="spellStart"/>
      <w:r>
        <w:rPr>
          <w:rFonts w:ascii="Daytona" w:eastAsia="Consolas" w:hAnsi="Daytona" w:cs="Calibri"/>
          <w:iCs/>
        </w:rPr>
        <w:t>somoothly</w:t>
      </w:r>
      <w:proofErr w:type="spellEnd"/>
      <w:r>
        <w:rPr>
          <w:rFonts w:ascii="Daytona" w:eastAsia="Consolas" w:hAnsi="Daytona" w:cs="Calibri"/>
          <w:iCs/>
        </w:rPr>
        <w:t xml:space="preserve"> without any of starting troubles.</w:t>
      </w:r>
    </w:p>
    <w:p w14:paraId="513CE012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</w:p>
    <w:p w14:paraId="276CE44A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  <w:r>
        <w:rPr>
          <w:rFonts w:ascii="Daytona" w:eastAsia="Consolas" w:hAnsi="Daytona" w:cs="Calibri"/>
          <w:iCs/>
        </w:rPr>
        <w:t xml:space="preserve">This </w:t>
      </w:r>
      <w:proofErr w:type="spellStart"/>
      <w:r>
        <w:rPr>
          <w:rFonts w:ascii="Daytona" w:eastAsia="Consolas" w:hAnsi="Daytona" w:cs="Calibri"/>
          <w:iCs/>
        </w:rPr>
        <w:t>sceme</w:t>
      </w:r>
      <w:proofErr w:type="spellEnd"/>
      <w:r>
        <w:rPr>
          <w:rFonts w:ascii="Daytona" w:eastAsia="Consolas" w:hAnsi="Daytona" w:cs="Calibri"/>
          <w:iCs/>
        </w:rPr>
        <w:t xml:space="preserve"> is for replicating the phase-2 drive configuration for phase-1 as well. Which </w:t>
      </w:r>
      <w:proofErr w:type="spellStart"/>
      <w:r>
        <w:rPr>
          <w:rFonts w:ascii="Daytona" w:eastAsia="Consolas" w:hAnsi="Daytona" w:cs="Calibri"/>
          <w:iCs/>
        </w:rPr>
        <w:t>invlolves</w:t>
      </w:r>
      <w:proofErr w:type="spellEnd"/>
      <w:r>
        <w:rPr>
          <w:rFonts w:ascii="Daytona" w:eastAsia="Consolas" w:hAnsi="Daytona" w:cs="Calibri"/>
          <w:iCs/>
        </w:rPr>
        <w:t xml:space="preserve"> procurement </w:t>
      </w:r>
      <w:proofErr w:type="gramStart"/>
      <w:r>
        <w:rPr>
          <w:rFonts w:ascii="Daytona" w:eastAsia="Consolas" w:hAnsi="Daytona" w:cs="Calibri"/>
          <w:iCs/>
        </w:rPr>
        <w:t>of  2</w:t>
      </w:r>
      <w:proofErr w:type="gramEnd"/>
      <w:r>
        <w:rPr>
          <w:rFonts w:ascii="Daytona" w:eastAsia="Consolas" w:hAnsi="Daytona" w:cs="Calibri"/>
          <w:iCs/>
        </w:rPr>
        <w:t xml:space="preserve"> set of 480kW slip-ring  motor based drive </w:t>
      </w:r>
      <w:proofErr w:type="spellStart"/>
      <w:r>
        <w:rPr>
          <w:rFonts w:ascii="Daytona" w:eastAsia="Consolas" w:hAnsi="Daytona" w:cs="Calibri"/>
          <w:iCs/>
        </w:rPr>
        <w:t>asseymblies</w:t>
      </w:r>
      <w:proofErr w:type="spellEnd"/>
      <w:r>
        <w:rPr>
          <w:rFonts w:ascii="Daytona" w:eastAsia="Consolas" w:hAnsi="Daytona" w:cs="Calibri"/>
          <w:iCs/>
        </w:rPr>
        <w:t xml:space="preserve"> with its electrical control panels and essential spares.</w:t>
      </w:r>
    </w:p>
    <w:p w14:paraId="177EA4E1" w14:textId="77777777" w:rsidR="00A56EAB" w:rsidRDefault="00A56EAB" w:rsidP="00A56EAB">
      <w:pPr>
        <w:rPr>
          <w:rFonts w:ascii="Daytona" w:eastAsia="Consolas" w:hAnsi="Daytona" w:cs="Calibri"/>
          <w:iCs/>
        </w:rPr>
      </w:pPr>
    </w:p>
    <w:p w14:paraId="708815D7" w14:textId="77777777" w:rsidR="00A56EAB" w:rsidRDefault="00A56EAB" w:rsidP="00A56EAB">
      <w:pPr>
        <w:jc w:val="left"/>
        <w:rPr>
          <w:rFonts w:ascii="Daytona" w:eastAsia="Consolas" w:hAnsi="Daytona" w:cs="Calibri"/>
          <w:b/>
          <w:bCs/>
          <w:iCs/>
        </w:rPr>
      </w:pPr>
      <w:r>
        <w:rPr>
          <w:rFonts w:ascii="Daytona" w:eastAsia="Consolas" w:hAnsi="Daytona" w:cs="Calibri"/>
          <w:b/>
          <w:bCs/>
          <w:iCs/>
        </w:rPr>
        <w:t>3. Justification of the scheme</w:t>
      </w:r>
    </w:p>
    <w:p w14:paraId="2FBACB99" w14:textId="77777777" w:rsidR="00A56EAB" w:rsidRDefault="00A56EAB" w:rsidP="00A56EAB">
      <w:pPr>
        <w:jc w:val="left"/>
        <w:rPr>
          <w:rFonts w:ascii="Daytona" w:eastAsia="Consolas" w:hAnsi="Daytona" w:cs="Calibri"/>
          <w:iCs/>
        </w:rPr>
      </w:pPr>
    </w:p>
    <w:p w14:paraId="2C21750A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  <w:proofErr w:type="spellStart"/>
      <w:r>
        <w:rPr>
          <w:rFonts w:ascii="Daytona" w:eastAsia="Consolas" w:hAnsi="Daytona" w:cs="Calibri"/>
          <w:iCs/>
        </w:rPr>
        <w:t>Presenty</w:t>
      </w:r>
      <w:proofErr w:type="spellEnd"/>
      <w:r>
        <w:rPr>
          <w:rFonts w:ascii="Daytona" w:eastAsia="Consolas" w:hAnsi="Daytona" w:cs="Calibri"/>
          <w:iCs/>
        </w:rPr>
        <w:t xml:space="preserve"> average running hours per day for both crushers at phase-1 are about 15-16 hrs. With the proposed upgradation, the average running hours can be improved up to 18-19 hrs. </w:t>
      </w:r>
    </w:p>
    <w:p w14:paraId="1A93CCEA" w14:textId="77777777" w:rsidR="00A56EAB" w:rsidRDefault="00A56EAB" w:rsidP="00A56EAB">
      <w:pPr>
        <w:jc w:val="left"/>
        <w:rPr>
          <w:rFonts w:ascii="Daytona" w:eastAsia="Consolas" w:hAnsi="Daytona" w:cs="Calibri"/>
          <w:iCs/>
        </w:rPr>
      </w:pPr>
    </w:p>
    <w:p w14:paraId="3328DD0A" w14:textId="77777777" w:rsidR="00A56EAB" w:rsidRDefault="00A56EAB" w:rsidP="00A56EAB">
      <w:pPr>
        <w:jc w:val="left"/>
        <w:rPr>
          <w:rFonts w:ascii="Daytona" w:eastAsia="Consolas" w:hAnsi="Daytona" w:cs="Calibri"/>
          <w:iCs/>
        </w:rPr>
      </w:pPr>
    </w:p>
    <w:p w14:paraId="41B48CAB" w14:textId="77777777" w:rsidR="00A56EAB" w:rsidRDefault="00A56EAB" w:rsidP="00A56EAB">
      <w:pPr>
        <w:rPr>
          <w:rFonts w:ascii="Daytona" w:eastAsia="Consolas" w:hAnsi="Daytona" w:cs="Calibri"/>
          <w:b/>
          <w:bCs/>
          <w:iCs/>
        </w:rPr>
      </w:pPr>
      <w:r>
        <w:rPr>
          <w:rFonts w:ascii="Daytona" w:eastAsia="Consolas" w:hAnsi="Daytona" w:cs="Calibri"/>
          <w:b/>
          <w:bCs/>
          <w:iCs/>
        </w:rPr>
        <w:t>4. Description and feature</w:t>
      </w:r>
    </w:p>
    <w:p w14:paraId="46855343" w14:textId="77777777" w:rsidR="00A56EAB" w:rsidRDefault="00A56EAB" w:rsidP="00A56EAB">
      <w:pPr>
        <w:rPr>
          <w:rFonts w:ascii="Daytona" w:eastAsia="Consolas" w:hAnsi="Daytona" w:cs="Calibri"/>
          <w:b/>
          <w:bCs/>
          <w:iCs/>
        </w:rPr>
      </w:pPr>
    </w:p>
    <w:p w14:paraId="03D814B3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  <w:r>
        <w:rPr>
          <w:rFonts w:ascii="Daytona" w:eastAsia="Consolas" w:hAnsi="Daytona" w:cs="Calibri"/>
          <w:iCs/>
        </w:rPr>
        <w:t>The proposed drive configuration uses a 480kW slip-ring induction motor. The higher power and high starting torque of slip-ring motors will be able to quickly start the crusher with any starting trouble.</w:t>
      </w:r>
    </w:p>
    <w:p w14:paraId="139EC4F6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</w:p>
    <w:p w14:paraId="4CF6D21B" w14:textId="77777777" w:rsidR="00A56EAB" w:rsidRDefault="00A56EAB" w:rsidP="00A56EAB">
      <w:pPr>
        <w:ind w:left="720"/>
        <w:rPr>
          <w:rFonts w:ascii="Daytona" w:eastAsia="Consolas" w:hAnsi="Daytona" w:cs="Calibri"/>
          <w:iCs/>
        </w:rPr>
      </w:pPr>
      <w:r>
        <w:rPr>
          <w:rFonts w:ascii="Daytona" w:eastAsia="Consolas" w:hAnsi="Daytona" w:cs="Calibri"/>
          <w:iCs/>
        </w:rPr>
        <w:t>In addition to elimination of the starting troubles with the proposed upgradation, the newer drive configuration has fewer parts, therefore, reduces points of failure as well.</w:t>
      </w:r>
    </w:p>
    <w:p w14:paraId="33E72D40" w14:textId="77777777" w:rsidR="00A56EAB" w:rsidRDefault="00A56EAB" w:rsidP="00A56EAB">
      <w:pPr>
        <w:rPr>
          <w:rFonts w:ascii="Daytona" w:eastAsia="Consolas" w:hAnsi="Daytona" w:cs="Calibri"/>
          <w:iCs/>
        </w:rPr>
      </w:pPr>
    </w:p>
    <w:p w14:paraId="46BFC91D" w14:textId="77777777" w:rsidR="00A56EAB" w:rsidRDefault="00A56EAB" w:rsidP="00A56EAB">
      <w:pPr>
        <w:rPr>
          <w:rFonts w:ascii="Daytona" w:eastAsia="Consolas" w:hAnsi="Daytona" w:cs="Calibri"/>
          <w:iCs/>
        </w:rPr>
      </w:pPr>
    </w:p>
    <w:p w14:paraId="469347B5" w14:textId="77777777" w:rsidR="00A56EAB" w:rsidRDefault="00A56EAB" w:rsidP="00A56EAB">
      <w:pPr>
        <w:rPr>
          <w:rFonts w:ascii="Daytona" w:eastAsia="Consolas" w:hAnsi="Daytona" w:cs="Calibri"/>
          <w:b/>
          <w:bCs/>
          <w:iCs/>
        </w:rPr>
      </w:pPr>
      <w:r>
        <w:rPr>
          <w:rFonts w:ascii="Daytona" w:eastAsia="Consolas" w:hAnsi="Daytona" w:cs="Calibri"/>
          <w:b/>
          <w:bCs/>
          <w:iCs/>
        </w:rPr>
        <w:t>5. Capital investment</w:t>
      </w:r>
    </w:p>
    <w:p w14:paraId="1B32D35B" w14:textId="77777777" w:rsidR="00A56EAB" w:rsidRDefault="00A56EAB" w:rsidP="00A56EAB">
      <w:pPr>
        <w:rPr>
          <w:rFonts w:ascii="Daytona" w:eastAsia="Consolas" w:hAnsi="Daytona" w:cs="Calibri"/>
          <w:iCs/>
        </w:rPr>
      </w:pPr>
    </w:p>
    <w:tbl>
      <w:tblPr>
        <w:tblW w:w="7725" w:type="dxa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9"/>
        <w:gridCol w:w="1134"/>
        <w:gridCol w:w="1134"/>
        <w:gridCol w:w="1418"/>
      </w:tblGrid>
      <w:tr w:rsidR="00A56EAB" w14:paraId="41BD124B" w14:textId="77777777" w:rsidTr="00A56EAB"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136B" w14:textId="77777777" w:rsidR="00A56EAB" w:rsidRDefault="00A56EAB">
            <w:pPr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>Item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9CAE" w14:textId="77777777" w:rsidR="00A56EAB" w:rsidRDefault="00A56EAB">
            <w:pPr>
              <w:jc w:val="right"/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>Qty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8A84" w14:textId="77777777" w:rsidR="00A56EAB" w:rsidRDefault="00A56EAB">
            <w:pPr>
              <w:jc w:val="right"/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 xml:space="preserve">Rate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5B27B" w14:textId="77777777" w:rsidR="00A56EAB" w:rsidRDefault="00A56EAB">
            <w:pPr>
              <w:jc w:val="right"/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 xml:space="preserve">Amount </w:t>
            </w:r>
          </w:p>
        </w:tc>
      </w:tr>
      <w:tr w:rsidR="00A56EAB" w14:paraId="06B61BCE" w14:textId="77777777" w:rsidTr="00A56EAB"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9998" w14:textId="77777777" w:rsidR="00A56EAB" w:rsidRDefault="00A56EAB">
            <w:pPr>
              <w:jc w:val="left"/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 xml:space="preserve">Drive unit for gyrator crusher with 480kW SQIM, soft starter, electrical panels essential spares with complete installation, </w:t>
            </w:r>
            <w:proofErr w:type="gramStart"/>
            <w:r>
              <w:rPr>
                <w:rFonts w:ascii="Daytona" w:eastAsia="Consolas" w:hAnsi="Daytona" w:cs="Calibri"/>
                <w:iCs/>
              </w:rPr>
              <w:t>commissioning</w:t>
            </w:r>
            <w:proofErr w:type="gramEnd"/>
            <w:r>
              <w:rPr>
                <w:rFonts w:ascii="Daytona" w:eastAsia="Consolas" w:hAnsi="Daytona" w:cs="Calibri"/>
                <w:iCs/>
              </w:rPr>
              <w:t xml:space="preserve"> and testing.</w:t>
            </w:r>
          </w:p>
          <w:p w14:paraId="26D82799" w14:textId="77777777" w:rsidR="00A56EAB" w:rsidRDefault="00A56EAB">
            <w:pPr>
              <w:jc w:val="left"/>
              <w:rPr>
                <w:rFonts w:ascii="Daytona" w:eastAsia="Consolas" w:hAnsi="Daytona" w:cs="Calibri"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E815" w14:textId="77777777" w:rsidR="00A56EAB" w:rsidRDefault="00A56EAB">
            <w:pPr>
              <w:jc w:val="right"/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>2 nos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3CC0" w14:textId="77777777" w:rsidR="00A56EAB" w:rsidRDefault="00A56EAB">
            <w:pPr>
              <w:jc w:val="right"/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 xml:space="preserve">Rs. 2 </w:t>
            </w:r>
            <w:proofErr w:type="spellStart"/>
            <w:r>
              <w:rPr>
                <w:rFonts w:ascii="Daytona" w:eastAsia="Consolas" w:hAnsi="Daytona" w:cs="Calibri"/>
                <w:iCs/>
              </w:rPr>
              <w:t>cr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68AC2" w14:textId="77777777" w:rsidR="00A56EAB" w:rsidRDefault="00A56EAB">
            <w:pPr>
              <w:jc w:val="right"/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 xml:space="preserve">Rs. 4 </w:t>
            </w:r>
            <w:proofErr w:type="spellStart"/>
            <w:r>
              <w:rPr>
                <w:rFonts w:ascii="Daytona" w:eastAsia="Consolas" w:hAnsi="Daytona" w:cs="Calibri"/>
                <w:iCs/>
              </w:rPr>
              <w:t>cr</w:t>
            </w:r>
            <w:proofErr w:type="spellEnd"/>
          </w:p>
        </w:tc>
      </w:tr>
      <w:tr w:rsidR="00A56EAB" w14:paraId="1D562FAF" w14:textId="77777777" w:rsidTr="00A56EAB">
        <w:tc>
          <w:tcPr>
            <w:tcW w:w="6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73D2" w14:textId="77777777" w:rsidR="00A56EAB" w:rsidRDefault="00A56EAB">
            <w:pPr>
              <w:jc w:val="right"/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>Service Tax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90BCA" w14:textId="77777777" w:rsidR="00A56EAB" w:rsidRDefault="00A56EAB">
            <w:pPr>
              <w:jc w:val="right"/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 xml:space="preserve">Rs. 0.72 </w:t>
            </w:r>
            <w:proofErr w:type="spellStart"/>
            <w:r>
              <w:rPr>
                <w:rFonts w:ascii="Daytona" w:eastAsia="Consolas" w:hAnsi="Daytona" w:cs="Calibri"/>
                <w:iCs/>
              </w:rPr>
              <w:t>cr</w:t>
            </w:r>
            <w:proofErr w:type="spellEnd"/>
          </w:p>
        </w:tc>
      </w:tr>
      <w:tr w:rsidR="00A56EAB" w14:paraId="45E859F5" w14:textId="77777777" w:rsidTr="00A56EAB">
        <w:tc>
          <w:tcPr>
            <w:tcW w:w="6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0440" w14:textId="77777777" w:rsidR="00A56EAB" w:rsidRDefault="00A56EAB">
            <w:pPr>
              <w:jc w:val="right"/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BD26" w14:textId="77777777" w:rsidR="00A56EAB" w:rsidRDefault="00A56EAB">
            <w:pPr>
              <w:jc w:val="right"/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 xml:space="preserve">Rs. 4.72 </w:t>
            </w:r>
            <w:proofErr w:type="spellStart"/>
            <w:r>
              <w:rPr>
                <w:rFonts w:ascii="Daytona" w:eastAsia="Consolas" w:hAnsi="Daytona" w:cs="Calibri"/>
                <w:iCs/>
              </w:rPr>
              <w:t>cr</w:t>
            </w:r>
            <w:proofErr w:type="spellEnd"/>
          </w:p>
        </w:tc>
      </w:tr>
    </w:tbl>
    <w:p w14:paraId="7DCFEF48" w14:textId="77777777" w:rsidR="00A56EAB" w:rsidRDefault="00A56EAB" w:rsidP="00A56EAB">
      <w:pPr>
        <w:rPr>
          <w:rFonts w:ascii="Daytona" w:eastAsia="Consolas" w:hAnsi="Daytona" w:cs="Calibri"/>
          <w:iCs/>
        </w:rPr>
      </w:pPr>
    </w:p>
    <w:p w14:paraId="2D1B90D9" w14:textId="77777777" w:rsidR="00A56EAB" w:rsidRDefault="00A56EAB" w:rsidP="00A56EAB">
      <w:pPr>
        <w:rPr>
          <w:rFonts w:ascii="Daytona" w:eastAsia="Consolas" w:hAnsi="Daytona" w:cs="Calibri"/>
          <w:b/>
          <w:bCs/>
          <w:iCs/>
        </w:rPr>
      </w:pPr>
      <w:r>
        <w:rPr>
          <w:rFonts w:ascii="Daytona" w:eastAsia="Consolas" w:hAnsi="Daytona" w:cs="Calibri"/>
          <w:b/>
          <w:bCs/>
          <w:iCs/>
        </w:rPr>
        <w:t>6. Cost benefit analysis</w:t>
      </w:r>
    </w:p>
    <w:p w14:paraId="159099B2" w14:textId="77777777" w:rsidR="00A56EAB" w:rsidRDefault="00A56EAB" w:rsidP="00A56EAB">
      <w:pPr>
        <w:rPr>
          <w:rFonts w:ascii="Daytona" w:eastAsia="Consolas" w:hAnsi="Daytona" w:cs="Calibri"/>
          <w:iCs/>
        </w:rPr>
      </w:pPr>
    </w:p>
    <w:p w14:paraId="6764F25E" w14:textId="77777777" w:rsidR="00A56EAB" w:rsidRDefault="00A56EAB" w:rsidP="00A56EAB">
      <w:pPr>
        <w:rPr>
          <w:rFonts w:ascii="Daytona" w:eastAsia="Consolas" w:hAnsi="Daytona" w:cs="Calibri"/>
          <w:iCs/>
        </w:rPr>
      </w:pPr>
    </w:p>
    <w:p w14:paraId="26B2DC89" w14:textId="77777777" w:rsidR="00A56EAB" w:rsidRDefault="00A56EAB" w:rsidP="00A56EAB">
      <w:pPr>
        <w:rPr>
          <w:rFonts w:ascii="Daytona" w:eastAsia="Consolas" w:hAnsi="Daytona" w:cs="Calibri"/>
          <w:iCs/>
        </w:rPr>
      </w:pPr>
    </w:p>
    <w:p w14:paraId="36C34C30" w14:textId="77777777" w:rsidR="00A56EAB" w:rsidRDefault="00A56EAB" w:rsidP="00A56EAB">
      <w:pPr>
        <w:jc w:val="left"/>
        <w:rPr>
          <w:rFonts w:ascii="Daytona" w:hAnsi="Daytona" w:cs="Calibri"/>
          <w:iCs/>
        </w:rPr>
      </w:pPr>
    </w:p>
    <w:p w14:paraId="7CFEACFD" w14:textId="77777777" w:rsidR="000332CC" w:rsidRDefault="000332CC" w:rsidP="000332CC">
      <w:pPr>
        <w:jc w:val="left"/>
        <w:rPr>
          <w:rFonts w:ascii="Calibri" w:hAnsi="Calibri" w:cs="Calibri"/>
          <w:iCs/>
          <w:sz w:val="28"/>
          <w:szCs w:val="28"/>
        </w:rPr>
      </w:pPr>
    </w:p>
    <w:p w14:paraId="513F5866" w14:textId="77777777" w:rsidR="000332CC" w:rsidRDefault="000332CC" w:rsidP="000332CC">
      <w:pPr>
        <w:rPr>
          <w:rFonts w:ascii="Calibri" w:eastAsia="Consolas" w:hAnsi="Calibri" w:cs="Calibri"/>
          <w:iCs/>
          <w:sz w:val="28"/>
          <w:szCs w:val="28"/>
        </w:rPr>
      </w:pPr>
      <w:proofErr w:type="gramStart"/>
      <w:r w:rsidRPr="00896346">
        <w:rPr>
          <w:rFonts w:ascii="Calibri" w:eastAsia="Consolas" w:hAnsi="Calibri" w:cs="Calibri"/>
          <w:b/>
          <w:bCs/>
          <w:iCs/>
          <w:sz w:val="28"/>
          <w:szCs w:val="28"/>
        </w:rPr>
        <w:t>Sub</w:t>
      </w:r>
      <w:r>
        <w:rPr>
          <w:rFonts w:ascii="Calibri" w:eastAsia="Consolas" w:hAnsi="Calibri" w:cs="Calibri"/>
          <w:b/>
          <w:bCs/>
          <w:iCs/>
          <w:sz w:val="28"/>
          <w:szCs w:val="28"/>
        </w:rPr>
        <w:t xml:space="preserve"> </w:t>
      </w:r>
      <w:r w:rsidRPr="00896346">
        <w:rPr>
          <w:rFonts w:ascii="Calibri" w:eastAsia="Consolas" w:hAnsi="Calibri" w:cs="Calibri"/>
          <w:b/>
          <w:bCs/>
          <w:iCs/>
          <w:sz w:val="28"/>
          <w:szCs w:val="28"/>
        </w:rPr>
        <w:t>:</w:t>
      </w:r>
      <w:proofErr w:type="gramEnd"/>
      <w:r>
        <w:rPr>
          <w:rFonts w:ascii="Calibri" w:eastAsia="Consolas" w:hAnsi="Calibri" w:cs="Calibri"/>
          <w:iCs/>
          <w:sz w:val="28"/>
          <w:szCs w:val="28"/>
        </w:rPr>
        <w:t xml:space="preserve"> Approval of scheme for procurement of slip-ring motor based drive assemblies for 2 nos gyratory crushers at phase-1 CHP of Dudhichua project.</w:t>
      </w:r>
    </w:p>
    <w:p w14:paraId="062F2FE1" w14:textId="77777777" w:rsidR="000332CC" w:rsidRDefault="000332CC" w:rsidP="000332CC">
      <w:pPr>
        <w:rPr>
          <w:rFonts w:ascii="Calibri" w:eastAsia="Consolas" w:hAnsi="Calibri" w:cs="Calibri"/>
          <w:iCs/>
          <w:sz w:val="28"/>
          <w:szCs w:val="28"/>
        </w:rPr>
      </w:pPr>
    </w:p>
    <w:p w14:paraId="5B4C70A7" w14:textId="77777777" w:rsidR="000332CC" w:rsidRPr="00E2499C" w:rsidRDefault="000332CC" w:rsidP="000332CC">
      <w:pPr>
        <w:rPr>
          <w:rFonts w:ascii="Calibri" w:eastAsia="Consolas" w:hAnsi="Calibri" w:cs="Calibri"/>
          <w:b/>
          <w:bCs/>
          <w:iCs/>
          <w:sz w:val="28"/>
          <w:szCs w:val="28"/>
        </w:rPr>
      </w:pPr>
      <w:r w:rsidRPr="00E2499C">
        <w:rPr>
          <w:rFonts w:ascii="Calibri" w:eastAsia="Consolas" w:hAnsi="Calibri" w:cs="Calibri"/>
          <w:b/>
          <w:bCs/>
          <w:iCs/>
          <w:sz w:val="28"/>
          <w:szCs w:val="28"/>
        </w:rPr>
        <w:lastRenderedPageBreak/>
        <w:t>1.</w:t>
      </w:r>
      <w:r>
        <w:rPr>
          <w:rFonts w:ascii="Calibri" w:eastAsia="Consolas" w:hAnsi="Calibri" w:cs="Calibri"/>
          <w:b/>
          <w:bCs/>
          <w:iCs/>
          <w:sz w:val="28"/>
          <w:szCs w:val="28"/>
        </w:rPr>
        <w:t xml:space="preserve"> </w:t>
      </w:r>
      <w:r w:rsidRPr="00E2499C">
        <w:rPr>
          <w:rFonts w:ascii="Calibri" w:eastAsia="Consolas" w:hAnsi="Calibri" w:cs="Calibri"/>
          <w:b/>
          <w:bCs/>
          <w:iCs/>
          <w:sz w:val="28"/>
          <w:szCs w:val="28"/>
        </w:rPr>
        <w:t xml:space="preserve"> </w:t>
      </w:r>
      <w:r>
        <w:rPr>
          <w:rFonts w:ascii="Calibri" w:eastAsia="Consolas" w:hAnsi="Calibri" w:cs="Calibri"/>
          <w:b/>
          <w:bCs/>
          <w:iCs/>
          <w:sz w:val="28"/>
          <w:szCs w:val="28"/>
        </w:rPr>
        <w:t xml:space="preserve">Introduction to the </w:t>
      </w:r>
      <w:proofErr w:type="spellStart"/>
      <w:r>
        <w:rPr>
          <w:rFonts w:ascii="Calibri" w:eastAsia="Consolas" w:hAnsi="Calibri" w:cs="Calibri"/>
          <w:b/>
          <w:bCs/>
          <w:iCs/>
          <w:sz w:val="28"/>
          <w:szCs w:val="28"/>
        </w:rPr>
        <w:t>schem</w:t>
      </w:r>
      <w:proofErr w:type="spellEnd"/>
    </w:p>
    <w:p w14:paraId="1E8A8D10" w14:textId="77777777" w:rsidR="000332CC" w:rsidRDefault="000332CC" w:rsidP="000332CC">
      <w:pPr>
        <w:jc w:val="left"/>
        <w:rPr>
          <w:rFonts w:ascii="Calibri" w:hAnsi="Calibri" w:cs="Calibri"/>
          <w:iCs/>
          <w:sz w:val="28"/>
          <w:szCs w:val="28"/>
        </w:rPr>
      </w:pPr>
    </w:p>
    <w:p w14:paraId="445262D9" w14:textId="77777777" w:rsidR="000332C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</w:rPr>
      </w:pPr>
      <w:r>
        <w:rPr>
          <w:rFonts w:ascii="Calibri" w:eastAsia="Consolas" w:hAnsi="Calibri" w:cs="Calibri"/>
          <w:iCs/>
          <w:sz w:val="28"/>
          <w:szCs w:val="28"/>
        </w:rPr>
        <w:t xml:space="preserve">Dudhichua CHP last year dispatched 11.6 MT of coal with design capacity of only 10 MT. Present year, Dudhichua CHP has been entrusted </w:t>
      </w:r>
      <w:proofErr w:type="gramStart"/>
      <w:r>
        <w:rPr>
          <w:rFonts w:ascii="Calibri" w:eastAsia="Consolas" w:hAnsi="Calibri" w:cs="Calibri"/>
          <w:iCs/>
          <w:sz w:val="28"/>
          <w:szCs w:val="28"/>
        </w:rPr>
        <w:t>with  even</w:t>
      </w:r>
      <w:proofErr w:type="gramEnd"/>
      <w:r>
        <w:rPr>
          <w:rFonts w:ascii="Calibri" w:eastAsia="Consolas" w:hAnsi="Calibri" w:cs="Calibri"/>
          <w:iCs/>
          <w:sz w:val="28"/>
          <w:szCs w:val="28"/>
        </w:rPr>
        <w:t xml:space="preserve"> higher ambitious target of 13 MT. </w:t>
      </w:r>
    </w:p>
    <w:p w14:paraId="27A6F5FA" w14:textId="77777777" w:rsidR="000332CC" w:rsidRPr="00AE39B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  <w:lang w:val="en-IN"/>
        </w:rPr>
      </w:pPr>
    </w:p>
    <w:p w14:paraId="4B3734D0" w14:textId="77777777" w:rsidR="000332C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</w:rPr>
      </w:pPr>
      <w:proofErr w:type="gramStart"/>
      <w:r>
        <w:rPr>
          <w:rFonts w:ascii="Calibri" w:eastAsia="Consolas" w:hAnsi="Calibri" w:cs="Calibri"/>
          <w:iCs/>
          <w:sz w:val="28"/>
          <w:szCs w:val="28"/>
        </w:rPr>
        <w:t>In order to</w:t>
      </w:r>
      <w:proofErr w:type="gramEnd"/>
      <w:r>
        <w:rPr>
          <w:rFonts w:ascii="Calibri" w:eastAsia="Consolas" w:hAnsi="Calibri" w:cs="Calibri"/>
          <w:iCs/>
          <w:sz w:val="28"/>
          <w:szCs w:val="28"/>
        </w:rPr>
        <w:t xml:space="preserve"> fulfil this demand on Dudhichua CHP, 2 nos gyratory </w:t>
      </w:r>
      <w:proofErr w:type="spellStart"/>
      <w:r>
        <w:rPr>
          <w:rFonts w:ascii="Calibri" w:eastAsia="Consolas" w:hAnsi="Calibri" w:cs="Calibri"/>
          <w:iCs/>
          <w:sz w:val="28"/>
          <w:szCs w:val="28"/>
        </w:rPr>
        <w:t>crushesrs</w:t>
      </w:r>
      <w:proofErr w:type="spellEnd"/>
      <w:r>
        <w:rPr>
          <w:rFonts w:ascii="Calibri" w:eastAsia="Consolas" w:hAnsi="Calibri" w:cs="Calibri"/>
          <w:iCs/>
          <w:sz w:val="28"/>
          <w:szCs w:val="28"/>
        </w:rPr>
        <w:t xml:space="preserve"> at phase-1 of CHP needs critical upgradation.</w:t>
      </w:r>
    </w:p>
    <w:p w14:paraId="1FF1E3DC" w14:textId="77777777" w:rsidR="000332C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</w:rPr>
      </w:pPr>
    </w:p>
    <w:p w14:paraId="1DBF2FAA" w14:textId="77777777" w:rsidR="000332C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</w:rPr>
      </w:pPr>
      <w:proofErr w:type="spellStart"/>
      <w:r>
        <w:rPr>
          <w:rFonts w:ascii="Calibri" w:eastAsia="Consolas" w:hAnsi="Calibri" w:cs="Calibri"/>
          <w:iCs/>
          <w:sz w:val="28"/>
          <w:szCs w:val="28"/>
        </w:rPr>
        <w:t>Presenty</w:t>
      </w:r>
      <w:proofErr w:type="spellEnd"/>
      <w:r>
        <w:rPr>
          <w:rFonts w:ascii="Calibri" w:eastAsia="Consolas" w:hAnsi="Calibri" w:cs="Calibri"/>
          <w:iCs/>
          <w:sz w:val="28"/>
          <w:szCs w:val="28"/>
        </w:rPr>
        <w:t xml:space="preserve"> installed drive systems having 400kW squirrel-cage motor and fluid-coupling need to be upgraded with a higher </w:t>
      </w:r>
      <w:proofErr w:type="gramStart"/>
      <w:r>
        <w:rPr>
          <w:rFonts w:ascii="Calibri" w:eastAsia="Consolas" w:hAnsi="Calibri" w:cs="Calibri"/>
          <w:iCs/>
          <w:sz w:val="28"/>
          <w:szCs w:val="28"/>
        </w:rPr>
        <w:t>capacity</w:t>
      </w:r>
      <w:proofErr w:type="gramEnd"/>
      <w:r>
        <w:rPr>
          <w:rFonts w:ascii="Calibri" w:eastAsia="Consolas" w:hAnsi="Calibri" w:cs="Calibri"/>
          <w:iCs/>
          <w:sz w:val="28"/>
          <w:szCs w:val="28"/>
        </w:rPr>
        <w:t xml:space="preserve"> drive system having 480kW slip-ring motor without fluid-coupling.</w:t>
      </w:r>
    </w:p>
    <w:p w14:paraId="4A943DD6" w14:textId="77777777" w:rsidR="000332CC" w:rsidRDefault="000332CC" w:rsidP="000332CC">
      <w:pPr>
        <w:rPr>
          <w:rFonts w:ascii="Calibri" w:eastAsia="Consolas" w:hAnsi="Calibri" w:cs="Calibri"/>
          <w:iCs/>
          <w:sz w:val="28"/>
          <w:szCs w:val="28"/>
        </w:rPr>
      </w:pPr>
    </w:p>
    <w:p w14:paraId="3415139C" w14:textId="77777777" w:rsidR="000332CC" w:rsidRPr="00E2499C" w:rsidRDefault="000332CC" w:rsidP="000332CC">
      <w:pPr>
        <w:rPr>
          <w:rFonts w:ascii="Calibri" w:eastAsia="Consolas" w:hAnsi="Calibri" w:cs="Calibri"/>
          <w:b/>
          <w:bCs/>
          <w:iCs/>
          <w:sz w:val="28"/>
          <w:szCs w:val="28"/>
        </w:rPr>
      </w:pPr>
      <w:r w:rsidRPr="00E2499C">
        <w:rPr>
          <w:rFonts w:ascii="Calibri" w:eastAsia="Consolas" w:hAnsi="Calibri" w:cs="Calibri"/>
          <w:b/>
          <w:bCs/>
          <w:iCs/>
          <w:sz w:val="28"/>
          <w:szCs w:val="28"/>
        </w:rPr>
        <w:t xml:space="preserve">2. Need for </w:t>
      </w:r>
      <w:r>
        <w:rPr>
          <w:rFonts w:ascii="Calibri" w:eastAsia="Consolas" w:hAnsi="Calibri" w:cs="Calibri"/>
          <w:b/>
          <w:bCs/>
          <w:iCs/>
          <w:sz w:val="28"/>
          <w:szCs w:val="28"/>
        </w:rPr>
        <w:t>the s</w:t>
      </w:r>
      <w:r w:rsidRPr="00E2499C">
        <w:rPr>
          <w:rFonts w:ascii="Calibri" w:eastAsia="Consolas" w:hAnsi="Calibri" w:cs="Calibri"/>
          <w:b/>
          <w:bCs/>
          <w:iCs/>
          <w:sz w:val="28"/>
          <w:szCs w:val="28"/>
        </w:rPr>
        <w:t>cheme</w:t>
      </w:r>
    </w:p>
    <w:p w14:paraId="279E0B7C" w14:textId="77777777" w:rsidR="000332CC" w:rsidRDefault="000332CC" w:rsidP="000332CC">
      <w:pPr>
        <w:rPr>
          <w:rFonts w:ascii="Calibri" w:eastAsia="Consolas" w:hAnsi="Calibri" w:cs="Calibri"/>
          <w:iCs/>
          <w:sz w:val="28"/>
          <w:szCs w:val="28"/>
        </w:rPr>
      </w:pPr>
    </w:p>
    <w:p w14:paraId="752B5648" w14:textId="77777777" w:rsidR="000332C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</w:rPr>
      </w:pPr>
      <w:r>
        <w:rPr>
          <w:rFonts w:ascii="Calibri" w:eastAsia="Consolas" w:hAnsi="Calibri" w:cs="Calibri"/>
          <w:iCs/>
          <w:sz w:val="28"/>
          <w:szCs w:val="28"/>
        </w:rPr>
        <w:t xml:space="preserve">Dudhichua CHP phase-1 with 2 nos 1500 TPH gyratory crushers was commissioned in 1999. </w:t>
      </w:r>
      <w:proofErr w:type="spellStart"/>
      <w:r>
        <w:rPr>
          <w:rFonts w:ascii="Calibri" w:eastAsia="Consolas" w:hAnsi="Calibri" w:cs="Calibri"/>
          <w:iCs/>
          <w:sz w:val="28"/>
          <w:szCs w:val="28"/>
        </w:rPr>
        <w:t>Presenty</w:t>
      </w:r>
      <w:proofErr w:type="spellEnd"/>
      <w:r>
        <w:rPr>
          <w:rFonts w:ascii="Calibri" w:eastAsia="Consolas" w:hAnsi="Calibri" w:cs="Calibri"/>
          <w:iCs/>
          <w:sz w:val="28"/>
          <w:szCs w:val="28"/>
        </w:rPr>
        <w:t>, both gyratory crushers have started giving starting troubles due to wear and tear and aging of critical structures. These starting troubles are eating up valuable operating hours.</w:t>
      </w:r>
    </w:p>
    <w:p w14:paraId="1A99F7E0" w14:textId="77777777" w:rsidR="000332C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</w:rPr>
      </w:pPr>
    </w:p>
    <w:p w14:paraId="1FC71F9F" w14:textId="77777777" w:rsidR="000332C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</w:rPr>
      </w:pPr>
      <w:r>
        <w:rPr>
          <w:rFonts w:ascii="Calibri" w:eastAsia="Consolas" w:hAnsi="Calibri" w:cs="Calibri"/>
          <w:iCs/>
          <w:sz w:val="28"/>
          <w:szCs w:val="28"/>
        </w:rPr>
        <w:t>The main identified reason behind the starting trouble is under-matched driving power (400 kW) and further power loss along the drive train at fluid coupling.</w:t>
      </w:r>
    </w:p>
    <w:p w14:paraId="3514E909" w14:textId="77777777" w:rsidR="000332C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</w:rPr>
      </w:pPr>
    </w:p>
    <w:p w14:paraId="7E3CC2AD" w14:textId="77777777" w:rsidR="000332C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</w:rPr>
      </w:pPr>
      <w:r>
        <w:rPr>
          <w:rFonts w:ascii="Calibri" w:eastAsia="Consolas" w:hAnsi="Calibri" w:cs="Calibri"/>
          <w:iCs/>
          <w:sz w:val="28"/>
          <w:szCs w:val="28"/>
        </w:rPr>
        <w:t xml:space="preserve">It has been observed that for the same capacity crusher (1500 TPH) at phase-2, 480kW </w:t>
      </w:r>
      <w:proofErr w:type="gramStart"/>
      <w:r>
        <w:rPr>
          <w:rFonts w:ascii="Calibri" w:eastAsia="Consolas" w:hAnsi="Calibri" w:cs="Calibri"/>
          <w:iCs/>
          <w:sz w:val="28"/>
          <w:szCs w:val="28"/>
        </w:rPr>
        <w:t>slip-ring</w:t>
      </w:r>
      <w:proofErr w:type="gramEnd"/>
      <w:r>
        <w:rPr>
          <w:rFonts w:ascii="Calibri" w:eastAsia="Consolas" w:hAnsi="Calibri" w:cs="Calibri"/>
          <w:iCs/>
          <w:sz w:val="28"/>
          <w:szCs w:val="28"/>
        </w:rPr>
        <w:t xml:space="preserve"> </w:t>
      </w:r>
      <w:proofErr w:type="spellStart"/>
      <w:r>
        <w:rPr>
          <w:rFonts w:ascii="Calibri" w:eastAsia="Consolas" w:hAnsi="Calibri" w:cs="Calibri"/>
          <w:iCs/>
          <w:sz w:val="28"/>
          <w:szCs w:val="28"/>
        </w:rPr>
        <w:t>motro</w:t>
      </w:r>
      <w:proofErr w:type="spellEnd"/>
      <w:r>
        <w:rPr>
          <w:rFonts w:ascii="Calibri" w:eastAsia="Consolas" w:hAnsi="Calibri" w:cs="Calibri"/>
          <w:iCs/>
          <w:sz w:val="28"/>
          <w:szCs w:val="28"/>
        </w:rPr>
        <w:t xml:space="preserve"> drive without fluid-coupling has been provided.</w:t>
      </w:r>
    </w:p>
    <w:p w14:paraId="7C0560D4" w14:textId="77777777" w:rsidR="000332C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</w:rPr>
      </w:pPr>
    </w:p>
    <w:p w14:paraId="75609A20" w14:textId="77777777" w:rsidR="000332C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</w:rPr>
      </w:pPr>
      <w:r>
        <w:rPr>
          <w:rFonts w:ascii="Calibri" w:eastAsia="Consolas" w:hAnsi="Calibri" w:cs="Calibri"/>
          <w:iCs/>
          <w:sz w:val="28"/>
          <w:szCs w:val="28"/>
        </w:rPr>
        <w:t xml:space="preserve">The present </w:t>
      </w:r>
      <w:proofErr w:type="spellStart"/>
      <w:r>
        <w:rPr>
          <w:rFonts w:ascii="Calibri" w:eastAsia="Consolas" w:hAnsi="Calibri" w:cs="Calibri"/>
          <w:iCs/>
          <w:sz w:val="28"/>
          <w:szCs w:val="28"/>
        </w:rPr>
        <w:t>sheme</w:t>
      </w:r>
      <w:proofErr w:type="spellEnd"/>
      <w:r>
        <w:rPr>
          <w:rFonts w:ascii="Calibri" w:eastAsia="Consolas" w:hAnsi="Calibri" w:cs="Calibri"/>
          <w:iCs/>
          <w:sz w:val="28"/>
          <w:szCs w:val="28"/>
        </w:rPr>
        <w:t xml:space="preserve"> is for replicating the phase-2 drive configuration for phase-1 as well. Which </w:t>
      </w:r>
      <w:proofErr w:type="spellStart"/>
      <w:r>
        <w:rPr>
          <w:rFonts w:ascii="Calibri" w:eastAsia="Consolas" w:hAnsi="Calibri" w:cs="Calibri"/>
          <w:iCs/>
          <w:sz w:val="28"/>
          <w:szCs w:val="28"/>
        </w:rPr>
        <w:t>invlolves</w:t>
      </w:r>
      <w:proofErr w:type="spellEnd"/>
      <w:r>
        <w:rPr>
          <w:rFonts w:ascii="Calibri" w:eastAsia="Consolas" w:hAnsi="Calibri" w:cs="Calibri"/>
          <w:iCs/>
          <w:sz w:val="28"/>
          <w:szCs w:val="28"/>
        </w:rPr>
        <w:t xml:space="preserve"> procurement </w:t>
      </w:r>
      <w:proofErr w:type="gramStart"/>
      <w:r>
        <w:rPr>
          <w:rFonts w:ascii="Calibri" w:eastAsia="Consolas" w:hAnsi="Calibri" w:cs="Calibri"/>
          <w:iCs/>
          <w:sz w:val="28"/>
          <w:szCs w:val="28"/>
        </w:rPr>
        <w:t>of  2</w:t>
      </w:r>
      <w:proofErr w:type="gramEnd"/>
      <w:r>
        <w:rPr>
          <w:rFonts w:ascii="Calibri" w:eastAsia="Consolas" w:hAnsi="Calibri" w:cs="Calibri"/>
          <w:iCs/>
          <w:sz w:val="28"/>
          <w:szCs w:val="28"/>
        </w:rPr>
        <w:t xml:space="preserve"> set of 480kW slip-ring  motor based drive </w:t>
      </w:r>
      <w:proofErr w:type="spellStart"/>
      <w:r>
        <w:rPr>
          <w:rFonts w:ascii="Calibri" w:eastAsia="Consolas" w:hAnsi="Calibri" w:cs="Calibri"/>
          <w:iCs/>
          <w:sz w:val="28"/>
          <w:szCs w:val="28"/>
        </w:rPr>
        <w:t>asseymblies</w:t>
      </w:r>
      <w:proofErr w:type="spellEnd"/>
      <w:r>
        <w:rPr>
          <w:rFonts w:ascii="Calibri" w:eastAsia="Consolas" w:hAnsi="Calibri" w:cs="Calibri"/>
          <w:iCs/>
          <w:sz w:val="28"/>
          <w:szCs w:val="28"/>
        </w:rPr>
        <w:t xml:space="preserve"> with its electrical control panels and essential spares.</w:t>
      </w:r>
    </w:p>
    <w:p w14:paraId="1605BA3C" w14:textId="77777777" w:rsidR="000332CC" w:rsidRDefault="000332CC" w:rsidP="000332CC">
      <w:pPr>
        <w:rPr>
          <w:rFonts w:ascii="Calibri" w:eastAsia="Consolas" w:hAnsi="Calibri" w:cs="Calibri"/>
          <w:iCs/>
          <w:sz w:val="28"/>
          <w:szCs w:val="28"/>
        </w:rPr>
      </w:pPr>
    </w:p>
    <w:p w14:paraId="74C645F8" w14:textId="77777777" w:rsidR="000332CC" w:rsidRPr="00F36F9E" w:rsidRDefault="000332CC" w:rsidP="000332CC">
      <w:pPr>
        <w:jc w:val="left"/>
        <w:rPr>
          <w:rFonts w:ascii="Calibri" w:eastAsia="Consolas" w:hAnsi="Calibri" w:cs="Calibri"/>
          <w:b/>
          <w:bCs/>
          <w:iCs/>
          <w:sz w:val="28"/>
          <w:szCs w:val="28"/>
        </w:rPr>
      </w:pPr>
      <w:r w:rsidRPr="00F36F9E">
        <w:rPr>
          <w:rFonts w:ascii="Calibri" w:eastAsia="Consolas" w:hAnsi="Calibri" w:cs="Calibri"/>
          <w:b/>
          <w:bCs/>
          <w:iCs/>
          <w:sz w:val="28"/>
          <w:szCs w:val="28"/>
        </w:rPr>
        <w:t>3. Justification of the scheme</w:t>
      </w:r>
    </w:p>
    <w:p w14:paraId="75772171" w14:textId="77777777" w:rsidR="000332CC" w:rsidRDefault="000332CC" w:rsidP="000332CC">
      <w:pPr>
        <w:jc w:val="left"/>
        <w:rPr>
          <w:rFonts w:ascii="Calibri" w:eastAsia="Consolas" w:hAnsi="Calibri" w:cs="Calibri"/>
          <w:iCs/>
          <w:sz w:val="28"/>
          <w:szCs w:val="28"/>
        </w:rPr>
      </w:pPr>
    </w:p>
    <w:p w14:paraId="764AF10C" w14:textId="77777777" w:rsidR="000332C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</w:rPr>
      </w:pPr>
      <w:proofErr w:type="spellStart"/>
      <w:r>
        <w:rPr>
          <w:rFonts w:ascii="Calibri" w:eastAsia="Consolas" w:hAnsi="Calibri" w:cs="Calibri"/>
          <w:iCs/>
          <w:sz w:val="28"/>
          <w:szCs w:val="28"/>
        </w:rPr>
        <w:t>Presenty</w:t>
      </w:r>
      <w:proofErr w:type="spellEnd"/>
      <w:r>
        <w:rPr>
          <w:rFonts w:ascii="Calibri" w:eastAsia="Consolas" w:hAnsi="Calibri" w:cs="Calibri"/>
          <w:iCs/>
          <w:sz w:val="28"/>
          <w:szCs w:val="28"/>
        </w:rPr>
        <w:t xml:space="preserve"> average running hours per day for both crushers at phase-1 are about 15-16 hrs. With the proposed upgradation, the average running hours can be improved up to 18-19 hrs. </w:t>
      </w:r>
    </w:p>
    <w:p w14:paraId="340E4316" w14:textId="77777777" w:rsidR="000332CC" w:rsidRDefault="000332CC" w:rsidP="000332CC">
      <w:pPr>
        <w:jc w:val="left"/>
        <w:rPr>
          <w:rFonts w:ascii="Calibri" w:eastAsia="Consolas" w:hAnsi="Calibri" w:cs="Calibri"/>
          <w:iCs/>
          <w:sz w:val="28"/>
          <w:szCs w:val="28"/>
        </w:rPr>
      </w:pPr>
    </w:p>
    <w:p w14:paraId="223061DC" w14:textId="77777777" w:rsidR="000332CC" w:rsidRDefault="000332CC" w:rsidP="000332CC">
      <w:pPr>
        <w:jc w:val="left"/>
        <w:rPr>
          <w:rFonts w:ascii="Calibri" w:eastAsia="Consolas" w:hAnsi="Calibri" w:cs="Calibri"/>
          <w:iCs/>
          <w:sz w:val="28"/>
          <w:szCs w:val="28"/>
        </w:rPr>
      </w:pPr>
    </w:p>
    <w:p w14:paraId="3526F79C" w14:textId="77777777" w:rsidR="000332CC" w:rsidRDefault="000332CC" w:rsidP="000332CC">
      <w:pPr>
        <w:rPr>
          <w:rFonts w:ascii="Calibri" w:eastAsia="Consolas" w:hAnsi="Calibri" w:cs="Calibri"/>
          <w:b/>
          <w:bCs/>
          <w:iCs/>
          <w:sz w:val="28"/>
          <w:szCs w:val="28"/>
        </w:rPr>
      </w:pPr>
      <w:r w:rsidRPr="00F36F9E">
        <w:rPr>
          <w:rFonts w:ascii="Calibri" w:eastAsia="Consolas" w:hAnsi="Calibri" w:cs="Calibri"/>
          <w:b/>
          <w:bCs/>
          <w:iCs/>
          <w:sz w:val="28"/>
          <w:szCs w:val="28"/>
        </w:rPr>
        <w:lastRenderedPageBreak/>
        <w:t>4. Description and feature</w:t>
      </w:r>
    </w:p>
    <w:p w14:paraId="32F5E879" w14:textId="77777777" w:rsidR="000332CC" w:rsidRPr="00F36F9E" w:rsidRDefault="000332CC" w:rsidP="000332CC">
      <w:pPr>
        <w:rPr>
          <w:rFonts w:ascii="Calibri" w:eastAsia="Consolas" w:hAnsi="Calibri" w:cs="Calibri"/>
          <w:b/>
          <w:bCs/>
          <w:iCs/>
          <w:sz w:val="28"/>
          <w:szCs w:val="28"/>
        </w:rPr>
      </w:pPr>
    </w:p>
    <w:p w14:paraId="1EE44AC4" w14:textId="77777777" w:rsidR="000332C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</w:rPr>
      </w:pPr>
      <w:r>
        <w:rPr>
          <w:rFonts w:ascii="Calibri" w:eastAsia="Consolas" w:hAnsi="Calibri" w:cs="Calibri"/>
          <w:iCs/>
          <w:sz w:val="28"/>
          <w:szCs w:val="28"/>
        </w:rPr>
        <w:t>The proposed drive configuration used a 480kW slip-ring induction motor. The higher power and high starting torque of slip-ring motors will be able to quickly start the crusher with any starting trouble.</w:t>
      </w:r>
    </w:p>
    <w:p w14:paraId="37150EC1" w14:textId="77777777" w:rsidR="000332C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</w:rPr>
      </w:pPr>
    </w:p>
    <w:p w14:paraId="3DE3DBE1" w14:textId="77777777" w:rsidR="000332CC" w:rsidRDefault="000332CC" w:rsidP="000332CC">
      <w:pPr>
        <w:ind w:left="720"/>
        <w:rPr>
          <w:rFonts w:ascii="Calibri" w:eastAsia="Consolas" w:hAnsi="Calibri" w:cs="Calibri"/>
          <w:iCs/>
          <w:sz w:val="28"/>
          <w:szCs w:val="28"/>
        </w:rPr>
      </w:pPr>
      <w:r>
        <w:rPr>
          <w:rFonts w:ascii="Calibri" w:eastAsia="Consolas" w:hAnsi="Calibri" w:cs="Calibri"/>
          <w:iCs/>
          <w:sz w:val="28"/>
          <w:szCs w:val="28"/>
        </w:rPr>
        <w:t>In addition to elimination of the starting troubles with the proposed upgradation, the newer drive configuration has fewer parts, therefore, reduces points of failure as well.</w:t>
      </w:r>
    </w:p>
    <w:p w14:paraId="69771171" w14:textId="77777777" w:rsidR="000332CC" w:rsidRDefault="000332CC" w:rsidP="000332CC">
      <w:pPr>
        <w:rPr>
          <w:rFonts w:ascii="Calibri" w:eastAsia="Consolas" w:hAnsi="Calibri" w:cs="Calibri"/>
          <w:iCs/>
          <w:sz w:val="28"/>
          <w:szCs w:val="28"/>
        </w:rPr>
      </w:pPr>
    </w:p>
    <w:p w14:paraId="17E4F990" w14:textId="77777777" w:rsidR="000332CC" w:rsidRDefault="000332CC" w:rsidP="000332CC">
      <w:pPr>
        <w:rPr>
          <w:rFonts w:ascii="Calibri" w:eastAsia="Consolas" w:hAnsi="Calibri" w:cs="Calibri"/>
          <w:iCs/>
          <w:sz w:val="28"/>
          <w:szCs w:val="28"/>
        </w:rPr>
      </w:pPr>
    </w:p>
    <w:p w14:paraId="4646D72A" w14:textId="77777777" w:rsidR="000332CC" w:rsidRPr="00502090" w:rsidRDefault="000332CC" w:rsidP="000332CC">
      <w:pPr>
        <w:rPr>
          <w:rFonts w:ascii="Calibri" w:eastAsia="Consolas" w:hAnsi="Calibri" w:cs="Calibri"/>
          <w:b/>
          <w:bCs/>
          <w:iCs/>
          <w:sz w:val="28"/>
          <w:szCs w:val="28"/>
        </w:rPr>
      </w:pPr>
      <w:r w:rsidRPr="00502090">
        <w:rPr>
          <w:rFonts w:ascii="Calibri" w:eastAsia="Consolas" w:hAnsi="Calibri" w:cs="Calibri"/>
          <w:b/>
          <w:bCs/>
          <w:iCs/>
          <w:sz w:val="28"/>
          <w:szCs w:val="28"/>
        </w:rPr>
        <w:t>5. Capital investment</w:t>
      </w:r>
    </w:p>
    <w:p w14:paraId="26B93589" w14:textId="77777777" w:rsidR="000332CC" w:rsidRDefault="000332CC" w:rsidP="000332CC">
      <w:pPr>
        <w:rPr>
          <w:rFonts w:ascii="Calibri" w:eastAsia="Consolas" w:hAnsi="Calibri" w:cs="Calibri"/>
          <w:iCs/>
          <w:sz w:val="28"/>
          <w:szCs w:val="28"/>
        </w:rPr>
      </w:pPr>
    </w:p>
    <w:tbl>
      <w:tblPr>
        <w:tblW w:w="7725" w:type="dxa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9"/>
        <w:gridCol w:w="1134"/>
        <w:gridCol w:w="1134"/>
        <w:gridCol w:w="1418"/>
      </w:tblGrid>
      <w:tr w:rsidR="000332CC" w:rsidRPr="00D655A6" w14:paraId="4B99CE58" w14:textId="77777777" w:rsidTr="00080FA0">
        <w:tc>
          <w:tcPr>
            <w:tcW w:w="4039" w:type="dxa"/>
            <w:shd w:val="clear" w:color="auto" w:fill="auto"/>
          </w:tcPr>
          <w:p w14:paraId="2A4782FE" w14:textId="77777777" w:rsidR="000332CC" w:rsidRPr="00D655A6" w:rsidRDefault="000332CC" w:rsidP="00080FA0">
            <w:pPr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>Item</w:t>
            </w:r>
          </w:p>
        </w:tc>
        <w:tc>
          <w:tcPr>
            <w:tcW w:w="1134" w:type="dxa"/>
            <w:shd w:val="clear" w:color="auto" w:fill="auto"/>
          </w:tcPr>
          <w:p w14:paraId="147902EC" w14:textId="77777777" w:rsidR="000332CC" w:rsidRPr="00D655A6" w:rsidRDefault="000332CC" w:rsidP="00080FA0">
            <w:pPr>
              <w:jc w:val="right"/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>Qty</w:t>
            </w:r>
          </w:p>
        </w:tc>
        <w:tc>
          <w:tcPr>
            <w:tcW w:w="1134" w:type="dxa"/>
            <w:shd w:val="clear" w:color="auto" w:fill="auto"/>
          </w:tcPr>
          <w:p w14:paraId="0171D781" w14:textId="77777777" w:rsidR="000332CC" w:rsidRPr="00D655A6" w:rsidRDefault="000332CC" w:rsidP="00080FA0">
            <w:pPr>
              <w:jc w:val="right"/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Rate </w:t>
            </w:r>
          </w:p>
        </w:tc>
        <w:tc>
          <w:tcPr>
            <w:tcW w:w="1418" w:type="dxa"/>
            <w:shd w:val="clear" w:color="auto" w:fill="auto"/>
          </w:tcPr>
          <w:p w14:paraId="07651315" w14:textId="77777777" w:rsidR="000332CC" w:rsidRPr="00D655A6" w:rsidRDefault="000332CC" w:rsidP="00080FA0">
            <w:pPr>
              <w:jc w:val="right"/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Amount </w:t>
            </w:r>
          </w:p>
        </w:tc>
      </w:tr>
      <w:tr w:rsidR="000332CC" w:rsidRPr="00D655A6" w14:paraId="0B5B0AB0" w14:textId="77777777" w:rsidTr="00080FA0">
        <w:tc>
          <w:tcPr>
            <w:tcW w:w="4039" w:type="dxa"/>
            <w:shd w:val="clear" w:color="auto" w:fill="auto"/>
          </w:tcPr>
          <w:p w14:paraId="668DD068" w14:textId="77777777" w:rsidR="000332CC" w:rsidRPr="00D655A6" w:rsidRDefault="000332CC" w:rsidP="00080FA0">
            <w:pPr>
              <w:jc w:val="left"/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Drive unit for gyrator crusher with 480kW SQIM, soft starter, electrical panels essential spares with complete installation, </w:t>
            </w:r>
            <w:proofErr w:type="gramStart"/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>commissioning</w:t>
            </w:r>
            <w:proofErr w:type="gramEnd"/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 and testing.</w:t>
            </w:r>
          </w:p>
          <w:p w14:paraId="69812468" w14:textId="77777777" w:rsidR="000332CC" w:rsidRPr="00D655A6" w:rsidRDefault="000332CC" w:rsidP="00080FA0">
            <w:pPr>
              <w:jc w:val="left"/>
              <w:rPr>
                <w:rFonts w:ascii="Calibri" w:eastAsia="Consolas" w:hAnsi="Calibri" w:cs="Calibri"/>
                <w:i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A5EA8F0" w14:textId="77777777" w:rsidR="000332CC" w:rsidRPr="00D655A6" w:rsidRDefault="000332CC" w:rsidP="00080FA0">
            <w:pPr>
              <w:jc w:val="right"/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>2 nos</w:t>
            </w:r>
          </w:p>
        </w:tc>
        <w:tc>
          <w:tcPr>
            <w:tcW w:w="1134" w:type="dxa"/>
            <w:shd w:val="clear" w:color="auto" w:fill="auto"/>
          </w:tcPr>
          <w:p w14:paraId="3C83BC08" w14:textId="77777777" w:rsidR="000332CC" w:rsidRPr="00D655A6" w:rsidRDefault="000332CC" w:rsidP="00080FA0">
            <w:pPr>
              <w:jc w:val="right"/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Rs. 2 </w:t>
            </w:r>
            <w:proofErr w:type="spellStart"/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>cr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4D14544" w14:textId="77777777" w:rsidR="000332CC" w:rsidRPr="00D655A6" w:rsidRDefault="000332CC" w:rsidP="00080FA0">
            <w:pPr>
              <w:jc w:val="right"/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Rs. 4 </w:t>
            </w:r>
            <w:proofErr w:type="spellStart"/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>cr</w:t>
            </w:r>
            <w:proofErr w:type="spellEnd"/>
          </w:p>
        </w:tc>
      </w:tr>
      <w:tr w:rsidR="000332CC" w:rsidRPr="00D655A6" w14:paraId="0DF7DFB2" w14:textId="77777777" w:rsidTr="00080FA0">
        <w:tc>
          <w:tcPr>
            <w:tcW w:w="6307" w:type="dxa"/>
            <w:gridSpan w:val="3"/>
            <w:shd w:val="clear" w:color="auto" w:fill="auto"/>
          </w:tcPr>
          <w:p w14:paraId="3EB5B244" w14:textId="77777777" w:rsidR="000332CC" w:rsidRPr="00D655A6" w:rsidRDefault="000332CC" w:rsidP="00080FA0">
            <w:pPr>
              <w:jc w:val="right"/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>Service Tax</w:t>
            </w:r>
          </w:p>
        </w:tc>
        <w:tc>
          <w:tcPr>
            <w:tcW w:w="1418" w:type="dxa"/>
            <w:shd w:val="clear" w:color="auto" w:fill="auto"/>
          </w:tcPr>
          <w:p w14:paraId="5B84BA9C" w14:textId="77777777" w:rsidR="000332CC" w:rsidRPr="00D655A6" w:rsidRDefault="000332CC" w:rsidP="00080FA0">
            <w:pPr>
              <w:jc w:val="right"/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Rs. 0.72 </w:t>
            </w:r>
            <w:proofErr w:type="spellStart"/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>cr</w:t>
            </w:r>
            <w:proofErr w:type="spellEnd"/>
          </w:p>
        </w:tc>
      </w:tr>
      <w:tr w:rsidR="000332CC" w:rsidRPr="00D655A6" w14:paraId="3413C625" w14:textId="77777777" w:rsidTr="00080FA0">
        <w:tc>
          <w:tcPr>
            <w:tcW w:w="6307" w:type="dxa"/>
            <w:gridSpan w:val="3"/>
            <w:shd w:val="clear" w:color="auto" w:fill="auto"/>
          </w:tcPr>
          <w:p w14:paraId="794D6E27" w14:textId="77777777" w:rsidR="000332CC" w:rsidRPr="00D655A6" w:rsidRDefault="000332CC" w:rsidP="00080FA0">
            <w:pPr>
              <w:jc w:val="right"/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>Total</w:t>
            </w:r>
          </w:p>
        </w:tc>
        <w:tc>
          <w:tcPr>
            <w:tcW w:w="1418" w:type="dxa"/>
            <w:shd w:val="clear" w:color="auto" w:fill="auto"/>
          </w:tcPr>
          <w:p w14:paraId="2A87BABE" w14:textId="77777777" w:rsidR="000332CC" w:rsidRPr="00D655A6" w:rsidRDefault="000332CC" w:rsidP="00080FA0">
            <w:pPr>
              <w:jc w:val="right"/>
              <w:rPr>
                <w:rFonts w:ascii="Calibri" w:eastAsia="Consolas" w:hAnsi="Calibri" w:cs="Calibri"/>
                <w:iCs/>
                <w:sz w:val="28"/>
                <w:szCs w:val="28"/>
              </w:rPr>
            </w:pPr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 xml:space="preserve">Rs. 4.72 </w:t>
            </w:r>
            <w:proofErr w:type="spellStart"/>
            <w:r w:rsidRPr="00D655A6">
              <w:rPr>
                <w:rFonts w:ascii="Calibri" w:eastAsia="Consolas" w:hAnsi="Calibri" w:cs="Calibri"/>
                <w:iCs/>
                <w:sz w:val="28"/>
                <w:szCs w:val="28"/>
              </w:rPr>
              <w:t>cr</w:t>
            </w:r>
            <w:proofErr w:type="spellEnd"/>
          </w:p>
        </w:tc>
      </w:tr>
    </w:tbl>
    <w:p w14:paraId="75A538FA" w14:textId="77777777" w:rsidR="000332CC" w:rsidRDefault="000332CC" w:rsidP="000332CC">
      <w:pPr>
        <w:rPr>
          <w:rFonts w:ascii="Calibri" w:eastAsia="Consolas" w:hAnsi="Calibri" w:cs="Calibri"/>
          <w:iCs/>
          <w:sz w:val="28"/>
          <w:szCs w:val="28"/>
        </w:rPr>
      </w:pPr>
    </w:p>
    <w:p w14:paraId="5E87D038" w14:textId="77777777" w:rsidR="000332CC" w:rsidRPr="00502090" w:rsidRDefault="000332CC" w:rsidP="000332CC">
      <w:pPr>
        <w:rPr>
          <w:rFonts w:ascii="Calibri" w:eastAsia="Consolas" w:hAnsi="Calibri" w:cs="Calibri"/>
          <w:b/>
          <w:bCs/>
          <w:iCs/>
          <w:sz w:val="28"/>
          <w:szCs w:val="28"/>
        </w:rPr>
      </w:pPr>
      <w:r w:rsidRPr="00502090">
        <w:rPr>
          <w:rFonts w:ascii="Calibri" w:eastAsia="Consolas" w:hAnsi="Calibri" w:cs="Calibri"/>
          <w:b/>
          <w:bCs/>
          <w:iCs/>
          <w:sz w:val="28"/>
          <w:szCs w:val="28"/>
        </w:rPr>
        <w:t>6. Cost benefit analysis</w:t>
      </w:r>
    </w:p>
    <w:p w14:paraId="314DF087" w14:textId="77777777" w:rsidR="00174E90" w:rsidRDefault="000332CC"/>
    <w:sectPr w:rsidR="0017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C3"/>
    <w:rsid w:val="000332CC"/>
    <w:rsid w:val="000E418E"/>
    <w:rsid w:val="00112CC3"/>
    <w:rsid w:val="00A56EAB"/>
    <w:rsid w:val="00D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C544C-1A25-47A0-ADA8-BBD9F5CA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EA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3</cp:revision>
  <dcterms:created xsi:type="dcterms:W3CDTF">2020-10-03T05:13:00Z</dcterms:created>
  <dcterms:modified xsi:type="dcterms:W3CDTF">2020-10-03T05:13:00Z</dcterms:modified>
</cp:coreProperties>
</file>