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CRED Payments &amp; Rewards</w:t>
      </w:r>
    </w:p>
    <w:p>
      <w:pPr>
        <w:jc w:val="center"/>
      </w:pPr>
      <w:r>
        <w:rPr>
          <w:sz w:val="20"/>
        </w:rPr>
        <w:t>SOW Reference: TG-SOW-2026-016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CRED (Dreamplug Technologies)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CRED Payments &amp; Rewards engagement:</w:t>
      </w:r>
    </w:p>
    <w:p>
      <w:pPr>
        <w:pStyle w:val="ListBullet"/>
      </w:pPr>
      <w:r>
        <w:t>Payment account synchronization across providers</w:t>
      </w:r>
    </w:p>
    <w:p>
      <w:pPr>
        <w:pStyle w:val="ListBullet"/>
      </w:pPr>
      <w:r>
        <w:t>Re-onboarding missed users to CRED UPI</w:t>
      </w:r>
    </w:p>
    <w:p>
      <w:pPr>
        <w:pStyle w:val="ListBullet"/>
      </w:pPr>
      <w:r>
        <w:t>New SQS client implementation (~20% cost savings)</w:t>
      </w:r>
    </w:p>
    <w:p>
      <w:pPr>
        <w:pStyle w:val="ListBullet"/>
      </w:pPr>
      <w:r>
        <w:t>RuPay Link &amp; Pay support</w:t>
      </w:r>
    </w:p>
    <w:p>
      <w:pPr>
        <w:pStyle w:val="ListBullet"/>
      </w:pPr>
      <w:r>
        <w:t>Gold Rush and credit card rewards post-payment flow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Riyaaz Kagzi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$80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Manish K. Lath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Gaurav S.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UPI success rate</w:t>
            </w:r>
          </w:p>
        </w:tc>
        <w:tc>
          <w:tcPr>
            <w:tcW w:type="dxa" w:w="4320"/>
          </w:tcPr>
          <w:p>
            <w:r>
              <w:t>≥99%</w:t>
            </w:r>
          </w:p>
        </w:tc>
      </w:tr>
      <w:tr>
        <w:tc>
          <w:tcPr>
            <w:tcW w:type="dxa" w:w="4320"/>
          </w:tcPr>
          <w:p>
            <w:r>
              <w:t>Cost savings</w:t>
            </w:r>
          </w:p>
        </w:tc>
        <w:tc>
          <w:tcPr>
            <w:tcW w:type="dxa" w:w="4320"/>
          </w:tcPr>
          <w:p>
            <w:r>
              <w:t>≥20% on SQS</w:t>
            </w:r>
          </w:p>
        </w:tc>
      </w:tr>
      <w:tr>
        <w:tc>
          <w:tcPr>
            <w:tcW w:type="dxa" w:w="4320"/>
          </w:tcPr>
          <w:p>
            <w:r>
              <w:t>User re-onboarding</w:t>
            </w:r>
          </w:p>
        </w:tc>
        <w:tc>
          <w:tcPr>
            <w:tcW w:type="dxa" w:w="4320"/>
          </w:tcPr>
          <w:p>
            <w:r>
              <w:t>≥10K users/month</w:t>
            </w:r>
          </w:p>
        </w:tc>
      </w:tr>
    </w:tbl>
    <w:p/>
    <w:p>
      <w:pPr>
        <w:pStyle w:val="Heading2"/>
      </w:pPr>
      <w:r>
        <w:t>4.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CRED (Dreamplug Technologies)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