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Caizin (Smarsh K8s Migration)</w:t>
      </w:r>
    </w:p>
    <w:p>
      <w:pPr>
        <w:jc w:val="center"/>
      </w:pPr>
      <w:r>
        <w:rPr>
          <w:sz w:val="20"/>
        </w:rPr>
        <w:t>SOW Reference: TG-SOW-2026-015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Smarsh Inc.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Caizin (Smarsh K8s Migration) engagement:</w:t>
      </w:r>
    </w:p>
    <w:p>
      <w:pPr>
        <w:pStyle w:val="ListBullet"/>
      </w:pPr>
      <w:r>
        <w:t>K8s migration from PCF for 70+ applications</w:t>
      </w:r>
    </w:p>
    <w:p>
      <w:pPr>
        <w:pStyle w:val="ListBullet"/>
      </w:pPr>
      <w:r>
        <w:t>Common health-check library for 25 services across 11 fabrics</w:t>
      </w:r>
    </w:p>
    <w:p>
      <w:pPr>
        <w:pStyle w:val="ListBullet"/>
      </w:pPr>
      <w:r>
        <w:t>Integration test enablement for 15+ apps</w:t>
      </w:r>
    </w:p>
    <w:p>
      <w:pPr>
        <w:pStyle w:val="ListBullet"/>
      </w:pPr>
      <w:r>
        <w:t>Health-check library integration with K8s probes</w:t>
      </w:r>
    </w:p>
    <w:p>
      <w:pPr>
        <w:pStyle w:val="ListBullet"/>
      </w:pPr>
      <w:r>
        <w:t>Performance testing post-migration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K8s migration from PCF for 70+ applications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Common health-check library for 25 services across 11 fabrics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Integration test enablement for 15+ apps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Health-check library integration with K8s probes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Performance testing post-migration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Apps migrated to K8s staging</w:t>
            </w:r>
          </w:p>
        </w:tc>
        <w:tc>
          <w:tcPr>
            <w:tcW w:type="dxa" w:w="4320"/>
          </w:tcPr>
          <w:p>
            <w:r>
              <w:t>≥20/month</w:t>
            </w:r>
          </w:p>
        </w:tc>
      </w:tr>
      <w:tr>
        <w:tc>
          <w:tcPr>
            <w:tcW w:type="dxa" w:w="4320"/>
          </w:tcPr>
          <w:p>
            <w:r>
              <w:t>Integration test coverage</w:t>
            </w:r>
          </w:p>
        </w:tc>
        <w:tc>
          <w:tcPr>
            <w:tcW w:type="dxa" w:w="4320"/>
          </w:tcPr>
          <w:p>
            <w:r>
              <w:t>≥15 apps</w:t>
            </w:r>
          </w:p>
        </w:tc>
      </w:tr>
      <w:tr>
        <w:tc>
          <w:tcPr>
            <w:tcW w:type="dxa" w:w="4320"/>
          </w:tcPr>
          <w:p>
            <w:r>
              <w:t>Health-check adoption</w:t>
            </w:r>
          </w:p>
        </w:tc>
        <w:tc>
          <w:tcPr>
            <w:tcW w:type="dxa" w:w="4320"/>
          </w:tcPr>
          <w:p>
            <w:r>
              <w:t>25 services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Smarsh Inc.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