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Economist InLife Retention</w:t>
      </w:r>
    </w:p>
    <w:p>
      <w:pPr>
        <w:jc w:val="center"/>
      </w:pPr>
      <w:r>
        <w:rPr>
          <w:sz w:val="20"/>
        </w:rPr>
        <w:t>SOW Reference: TG-SOW-2026-010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The Economist Group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Technogise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Feb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Mar 18,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1. Scope of Work</w:t>
      </w:r>
    </w:p>
    <w:p>
      <w:r>
        <w:t>Technogise shall provide consulting and development services for the Economist InLife Retention engagement:</w:t>
      </w:r>
    </w:p>
    <w:p>
      <w:pPr>
        <w:pStyle w:val="ListBullet"/>
      </w:pPr>
      <w:r>
        <w:t>Cancellation flow redesign — content-led friction</w:t>
      </w:r>
    </w:p>
    <w:p>
      <w:pPr>
        <w:pStyle w:val="ListBullet"/>
      </w:pPr>
      <w:r>
        <w:t>Dynamic save offers based on context</w:t>
      </w:r>
    </w:p>
    <w:p>
      <w:pPr>
        <w:pStyle w:val="ListBullet"/>
      </w:pPr>
      <w:r>
        <w:t>Post-cancellation engagement (opt-ins, restart)</w:t>
      </w:r>
    </w:p>
    <w:p>
      <w:pPr>
        <w:pStyle w:val="ListBullet"/>
      </w:pPr>
      <w:r>
        <w:t>WCAG-compliant reusable component library</w:t>
      </w:r>
    </w:p>
    <w:p>
      <w:pPr>
        <w:pStyle w:val="ListBullet"/>
      </w:pPr>
      <w:r>
        <w:t>A/B testing infrastructure</w:t>
      </w:r>
    </w:p>
    <w:p>
      <w:pPr>
        <w:pStyle w:val="Heading2"/>
      </w:pPr>
      <w:r>
        <w:t>2. Team Composition &amp; Billing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(USD/hr)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Hours</w:t>
            </w:r>
          </w:p>
        </w:tc>
      </w:tr>
      <w:tr>
        <w:tc>
          <w:tcPr>
            <w:tcW w:type="dxa" w:w="1728"/>
          </w:tcPr>
          <w:p>
            <w:r>
              <w:t>Santhosh</w:t>
            </w:r>
          </w:p>
        </w:tc>
        <w:tc>
          <w:tcPr>
            <w:tcW w:type="dxa" w:w="1728"/>
          </w:tcPr>
          <w:p>
            <w:r>
              <w:t>Senior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Rekha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$45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</w:tbl>
    <w:p/>
    <w:p>
      <w:pPr>
        <w:pStyle w:val="Heading2"/>
      </w:pPr>
      <w:r>
        <w:t>3. Deliverables &amp;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Cancellation flow redesign — content-led friction</w:t>
            </w:r>
          </w:p>
        </w:tc>
        <w:tc>
          <w:tcPr>
            <w:tcW w:type="dxa" w:w="2880"/>
          </w:tcPr>
          <w:p>
            <w:r>
              <w:t>Mar 18, 2026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Dynamic save offers based on context</w:t>
            </w:r>
          </w:p>
        </w:tc>
        <w:tc>
          <w:tcPr>
            <w:tcW w:type="dxa" w:w="2880"/>
          </w:tcPr>
          <w:p>
            <w:r>
              <w:t>Mar 18, 2026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Post-cancellation engagement (opt-ins, restart)</w:t>
            </w:r>
          </w:p>
        </w:tc>
        <w:tc>
          <w:tcPr>
            <w:tcW w:type="dxa" w:w="2880"/>
          </w:tcPr>
          <w:p>
            <w:r>
              <w:t>Mar 18, 2026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WCAG-compliant reusable component library</w:t>
            </w:r>
          </w:p>
        </w:tc>
        <w:tc>
          <w:tcPr>
            <w:tcW w:type="dxa" w:w="2880"/>
          </w:tcPr>
          <w:p>
            <w:r>
              <w:t>Mar 18, 2026</w:t>
            </w:r>
          </w:p>
        </w:tc>
      </w:tr>
      <w:tr>
        <w:tc>
          <w:tcPr>
            <w:tcW w:type="dxa" w:w="2880"/>
          </w:tcPr>
          <w:p>
            <w:r>
              <w:t>D5</w:t>
            </w:r>
          </w:p>
        </w:tc>
        <w:tc>
          <w:tcPr>
            <w:tcW w:type="dxa" w:w="2880"/>
          </w:tcPr>
          <w:p>
            <w:r>
              <w:t>A/B testing infrastructure</w:t>
            </w:r>
          </w:p>
        </w:tc>
        <w:tc>
          <w:tcPr>
            <w:tcW w:type="dxa" w:w="2880"/>
          </w:tcPr>
          <w:p>
            <w:r>
              <w:t>Mar 18, 2026</w:t>
            </w:r>
          </w:p>
        </w:tc>
      </w:tr>
    </w:tbl>
    <w:p/>
    <w:p>
      <w:pPr>
        <w:pStyle w:val="Heading2"/>
      </w:pPr>
      <w:r>
        <w:t>4. 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Churn reduction</w:t>
            </w:r>
          </w:p>
        </w:tc>
        <w:tc>
          <w:tcPr>
            <w:tcW w:type="dxa" w:w="4320"/>
          </w:tcPr>
          <w:p>
            <w:r>
              <w:t>≥5%</w:t>
            </w:r>
          </w:p>
        </w:tc>
      </w:tr>
      <w:tr>
        <w:tc>
          <w:tcPr>
            <w:tcW w:type="dxa" w:w="4320"/>
          </w:tcPr>
          <w:p>
            <w:r>
              <w:t>WCAG compliance</w:t>
            </w:r>
          </w:p>
        </w:tc>
        <w:tc>
          <w:tcPr>
            <w:tcW w:type="dxa" w:w="4320"/>
          </w:tcPr>
          <w:p>
            <w:r>
              <w:t>AA level</w:t>
            </w:r>
          </w:p>
        </w:tc>
      </w:tr>
      <w:tr>
        <w:tc>
          <w:tcPr>
            <w:tcW w:type="dxa" w:w="4320"/>
          </w:tcPr>
          <w:p>
            <w:r>
              <w:t>A/B test coverage</w:t>
            </w:r>
          </w:p>
        </w:tc>
        <w:tc>
          <w:tcPr>
            <w:tcW w:type="dxa" w:w="4320"/>
          </w:tcPr>
          <w:p>
            <w:r>
              <w:t>≥3 experiments/quarter</w:t>
            </w:r>
          </w:p>
        </w:tc>
      </w:tr>
    </w:tbl>
    <w:p/>
    <w:p>
      <w:pPr>
        <w:pStyle w:val="Heading2"/>
      </w:pPr>
      <w:r>
        <w:t>5. Commercial Terms</w:t>
      </w:r>
    </w:p>
    <w:p>
      <w:r>
        <w:t>Estimated monthly value: $16,000</w:t>
      </w:r>
    </w:p>
    <w:p>
      <w:r>
        <w:t>Invoicing: Monthly in arrears based on actual hours logged in Kimai.</w:t>
      </w:r>
    </w:p>
    <w:p>
      <w:r>
        <w:t>Payment terms: Net 30 days from invoice date.</w:t>
      </w:r>
    </w:p>
    <w:p>
      <w:pPr>
        <w:pStyle w:val="Heading2"/>
      </w:pPr>
      <w:r>
        <w:t>6. Assumptions &amp; Exclusions</w:t>
      </w:r>
    </w:p>
    <w:p>
      <w:pPr>
        <w:pStyle w:val="ListBullet"/>
      </w:pPr>
      <w:r>
        <w:t>Client provides timely access to environments and stakeholders.</w:t>
      </w:r>
    </w:p>
    <w:p>
      <w:pPr>
        <w:pStyle w:val="ListBullet"/>
      </w:pPr>
      <w:r>
        <w:t>Infrastructure and hosting costs borne by client.</w:t>
      </w:r>
    </w:p>
    <w:p>
      <w:pPr>
        <w:pStyle w:val="ListBullet"/>
      </w:pPr>
      <w:r>
        <w:t>Scope changes require formal Change Request approval.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Technogise Solutions Pvt. Ltd.</w:t>
            </w:r>
          </w:p>
        </w:tc>
        <w:tc>
          <w:tcPr>
            <w:tcW w:type="dxa" w:w="4320"/>
          </w:tcPr>
          <w:p>
            <w:r>
              <w:t>For: The Economist Group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