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Entain CRM Transformation</w:t>
      </w:r>
    </w:p>
    <w:p>
      <w:pPr>
        <w:jc w:val="center"/>
      </w:pPr>
      <w:r>
        <w:rPr>
          <w:sz w:val="20"/>
        </w:rPr>
        <w:t>SOW Reference: TG-SOW-2026-012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Entain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Entain CRM Transformation engagement:</w:t>
      </w:r>
    </w:p>
    <w:p>
      <w:pPr>
        <w:pStyle w:val="ListBullet"/>
      </w:pPr>
      <w:r>
        <w:t>Optimove migration and deep integration</w:t>
      </w:r>
    </w:p>
    <w:p>
      <w:pPr>
        <w:pStyle w:val="ListBullet"/>
      </w:pPr>
      <w:r>
        <w:t>Campaign dashboards development</w:t>
      </w:r>
    </w:p>
    <w:p>
      <w:pPr>
        <w:pStyle w:val="ListBullet"/>
      </w:pPr>
      <w:r>
        <w:t>Cancellation and tokenization features</w:t>
      </w:r>
    </w:p>
    <w:p>
      <w:pPr>
        <w:pStyle w:val="ListBullet"/>
      </w:pPr>
      <w:r>
        <w:t>JVM 17/21 migration for CRM services</w:t>
      </w:r>
    </w:p>
    <w:p>
      <w:pPr>
        <w:pStyle w:val="ListBullet"/>
      </w:pPr>
      <w:r>
        <w:t>New Java 21 service development</w:t>
      </w:r>
    </w:p>
    <w:p>
      <w:pPr>
        <w:pStyle w:val="ListBullet"/>
      </w:pPr>
      <w:r>
        <w:t>Architecture improvement and messaging format modernization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  <w:tr>
        <w:tc>
          <w:tcPr>
            <w:tcW w:type="dxa" w:w="1728"/>
          </w:tcPr>
          <w:p>
            <w:r>
              <w:t>Pranav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Saagar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Abhishek T.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Hrishabh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Jay P.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Sahil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Pranjal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Tushar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Neel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Optimove migration and deep integration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Campaign dashboards development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Cancellation and tokenization features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JVM 17/21 migration for CRM services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New Java 21 service development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Architecture improvement and messaging format modernization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Delivery velocity</w:t>
            </w:r>
          </w:p>
        </w:tc>
        <w:tc>
          <w:tcPr>
            <w:tcW w:type="dxa" w:w="4320"/>
          </w:tcPr>
          <w:p>
            <w:r>
              <w:t>≥3 features/sprint</w:t>
            </w:r>
          </w:p>
        </w:tc>
      </w:tr>
      <w:tr>
        <w:tc>
          <w:tcPr>
            <w:tcW w:type="dxa" w:w="4320"/>
          </w:tcPr>
          <w:p>
            <w:r>
              <w:t>Optimove integration</w:t>
            </w:r>
          </w:p>
        </w:tc>
        <w:tc>
          <w:tcPr>
            <w:tcW w:type="dxa" w:w="4320"/>
          </w:tcPr>
          <w:p>
            <w:r>
              <w:t>100% by Q2</w:t>
            </w:r>
          </w:p>
        </w:tc>
      </w:tr>
      <w:tr>
        <w:tc>
          <w:tcPr>
            <w:tcW w:type="dxa" w:w="4320"/>
          </w:tcPr>
          <w:p>
            <w:r>
              <w:t>JVM migration</w:t>
            </w:r>
          </w:p>
        </w:tc>
        <w:tc>
          <w:tcPr>
            <w:tcW w:type="dxa" w:w="4320"/>
          </w:tcPr>
          <w:p>
            <w:r>
              <w:t>≥80% services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Entain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