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HHN (Home Health Notify)</w:t>
      </w:r>
    </w:p>
    <w:p>
      <w:pPr>
        <w:jc w:val="center"/>
      </w:pPr>
      <w:r>
        <w:rPr>
          <w:sz w:val="20"/>
        </w:rPr>
        <w:t>SOW Reference: TG-SOW-2026-003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Home Health Notify Inc.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25,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HHN (Home Health Notify) engagement:</w:t>
      </w:r>
    </w:p>
    <w:p>
      <w:pPr>
        <w:pStyle w:val="ListBullet"/>
      </w:pPr>
      <w:r>
        <w:t>Lab Requisition feature development</w:t>
      </w:r>
    </w:p>
    <w:p>
      <w:pPr>
        <w:pStyle w:val="ListBullet"/>
      </w:pPr>
      <w:r>
        <w:t>Mobile app development (Android beta for clinician users)</w:t>
      </w:r>
    </w:p>
    <w:p>
      <w:pPr>
        <w:pStyle w:val="ListBullet"/>
      </w:pPr>
      <w:r>
        <w:t>UI Architecture Library setup (Atomic Design)</w:t>
      </w:r>
    </w:p>
    <w:p>
      <w:pPr>
        <w:pStyle w:val="ListBullet"/>
      </w:pPr>
      <w:r>
        <w:t>React Compiler enablement on web &amp; mobile</w:t>
      </w:r>
    </w:p>
    <w:p>
      <w:pPr>
        <w:pStyle w:val="ListBullet"/>
      </w:pPr>
      <w:r>
        <w:t>Enhanced Sentry error monitoring</w:t>
      </w:r>
    </w:p>
    <w:p>
      <w:pPr>
        <w:pStyle w:val="ListBullet"/>
      </w:pPr>
      <w:r>
        <w:t>Patient onboarding automation from EMR rosters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Pathik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Priyanka M.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Lab Requisition feature development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Mobile app development (Android beta for clinician users)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UI Architecture Library setup (Atomic Design)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React Compiler enablement on web &amp; mobile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Enhanced Sentry error monitoring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Patient onboarding automation from EMR rosters</w:t>
            </w:r>
          </w:p>
        </w:tc>
        <w:tc>
          <w:tcPr>
            <w:tcW w:type="dxa" w:w="2880"/>
          </w:tcPr>
          <w:p>
            <w:r>
              <w:t>Mar 25,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Mobile app completion</w:t>
            </w:r>
          </w:p>
        </w:tc>
        <w:tc>
          <w:tcPr>
            <w:tcW w:type="dxa" w:w="4320"/>
          </w:tcPr>
          <w:p>
            <w:r>
              <w:t>≥80%</w:t>
            </w:r>
          </w:p>
        </w:tc>
      </w:tr>
      <w:tr>
        <w:tc>
          <w:tcPr>
            <w:tcW w:type="dxa" w:w="4320"/>
          </w:tcPr>
          <w:p>
            <w:r>
              <w:t>Crash-free rate</w:t>
            </w:r>
          </w:p>
        </w:tc>
        <w:tc>
          <w:tcPr>
            <w:tcW w:type="dxa" w:w="4320"/>
          </w:tcPr>
          <w:p>
            <w:r>
              <w:t>≥99%</w:t>
            </w:r>
          </w:p>
        </w:tc>
      </w:tr>
      <w:tr>
        <w:tc>
          <w:tcPr>
            <w:tcW w:type="dxa" w:w="4320"/>
          </w:tcPr>
          <w:p>
            <w:r>
              <w:t>API error rate</w:t>
            </w:r>
          </w:p>
        </w:tc>
        <w:tc>
          <w:tcPr>
            <w:tcW w:type="dxa" w:w="4320"/>
          </w:tcPr>
          <w:p>
            <w:r>
              <w:t>&lt;1%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Home Health Notify Inc.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